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9D37" w14:textId="0D0E34C1" w:rsidR="004A7EEE" w:rsidRPr="004A7EEE" w:rsidRDefault="004A7EEE" w:rsidP="004A7EEE">
      <w:pPr>
        <w:keepNext/>
        <w:spacing w:before="240" w:after="120" w:line="360" w:lineRule="auto"/>
        <w:outlineLvl w:val="0"/>
        <w:rPr>
          <w:rFonts w:ascii="Arial" w:eastAsia="Times New Roman" w:hAnsi="Arial" w:cs="Times New Roman"/>
          <w:b/>
          <w:color w:val="081627"/>
          <w:sz w:val="32"/>
          <w:szCs w:val="28"/>
          <w:lang w:bidi="en-US"/>
        </w:rPr>
      </w:pPr>
      <w:r w:rsidRPr="004A7EEE">
        <w:rPr>
          <w:rFonts w:ascii="Arial" w:eastAsia="Times New Roman" w:hAnsi="Arial" w:cs="Times New Roman"/>
          <w:b/>
          <w:color w:val="081627"/>
          <w:sz w:val="32"/>
          <w:szCs w:val="28"/>
          <w:lang w:bidi="en-US"/>
        </w:rPr>
        <w:t>Appendices</w:t>
      </w:r>
    </w:p>
    <w:p w14:paraId="57A129E2" w14:textId="77777777" w:rsidR="004A7EEE" w:rsidRPr="004A7EEE" w:rsidRDefault="004A7EEE" w:rsidP="004A7EEE">
      <w:pPr>
        <w:spacing w:before="120" w:after="120" w:line="360" w:lineRule="auto"/>
        <w:rPr>
          <w:rFonts w:ascii="Arial" w:eastAsia="Arial" w:hAnsi="Arial" w:cs="Times New Roman"/>
          <w:b/>
          <w:bCs/>
          <w:color w:val="081627"/>
        </w:rPr>
      </w:pPr>
      <w:r w:rsidRPr="004A7EEE">
        <w:rPr>
          <w:rFonts w:ascii="Arial" w:eastAsia="Arial" w:hAnsi="Arial" w:cs="Times New Roman"/>
          <w:b/>
          <w:bCs/>
          <w:color w:val="081627"/>
        </w:rPr>
        <w:t>Appendix 1. RESTORE IMI-2 Eligibility Criteria</w:t>
      </w:r>
    </w:p>
    <w:p w14:paraId="5CD0BA50" w14:textId="77777777" w:rsidR="004A7EEE" w:rsidRPr="004A7EEE" w:rsidRDefault="004A7EEE" w:rsidP="004A7EEE">
      <w:pPr>
        <w:spacing w:before="120" w:after="120" w:line="360" w:lineRule="auto"/>
        <w:rPr>
          <w:rFonts w:ascii="Arial" w:eastAsia="Arial" w:hAnsi="Arial" w:cs="Times New Roman"/>
          <w:color w:val="081627"/>
        </w:rPr>
      </w:pPr>
      <w:r w:rsidRPr="004A7EEE">
        <w:rPr>
          <w:rFonts w:ascii="Arial" w:eastAsia="Arial" w:hAnsi="Arial" w:cs="Times New Roman"/>
          <w:color w:val="081627"/>
        </w:rPr>
        <w:t>In RESTORE-IMI 2, eligible patients were aged 18 years or above and required intravenous antibacterial therapy for nonventilated HABP, ventilated HABP, or VABP. Patients with more than 24 hours of effective antibacterial therapy for the current HABP/VABP episode within 72 hours prior to randomization were not eligible for RESTORE-IMI 2, unless they failed this prior therapy (namely, persistent/worsening signs/symptoms of HABP/VABP despite more than 48 hours on the prior regimen). The MITT population included randomized patients who received 1 or more doses of study treatment and whose baseline Gram stain did not show only gram-positive cocci.</w:t>
      </w:r>
    </w:p>
    <w:p w14:paraId="0027AFB5" w14:textId="77777777" w:rsidR="00E81F99" w:rsidRPr="002C4CBB" w:rsidRDefault="00E81F99" w:rsidP="004A7EEE">
      <w:pPr>
        <w:keepNext/>
        <w:spacing w:before="120" w:after="60" w:line="240" w:lineRule="auto"/>
        <w:rPr>
          <w:rFonts w:ascii="Arial" w:eastAsia="Times New Roman" w:hAnsi="Arial" w:cs="Times New Roman"/>
          <w:b/>
          <w:color w:val="081627"/>
          <w:spacing w:val="10"/>
          <w:szCs w:val="18"/>
          <w:lang w:bidi="en-US"/>
        </w:rPr>
      </w:pPr>
    </w:p>
    <w:p w14:paraId="4E886887" w14:textId="5FF975C3" w:rsidR="004A7EEE" w:rsidRPr="004A7EEE" w:rsidRDefault="004A7EEE" w:rsidP="004A7EEE">
      <w:pPr>
        <w:keepNext/>
        <w:spacing w:before="120" w:after="60" w:line="240" w:lineRule="auto"/>
        <w:rPr>
          <w:rFonts w:ascii="Arial" w:eastAsia="Times New Roman" w:hAnsi="Arial" w:cs="Times New Roman"/>
          <w:b/>
          <w:color w:val="081627"/>
          <w:spacing w:val="10"/>
          <w:szCs w:val="18"/>
          <w:lang w:bidi="en-US"/>
        </w:rPr>
      </w:pPr>
      <w:r w:rsidRPr="004A7EEE">
        <w:rPr>
          <w:rFonts w:ascii="Arial" w:eastAsia="Times New Roman" w:hAnsi="Arial" w:cs="Times New Roman"/>
          <w:b/>
          <w:color w:val="081627"/>
          <w:spacing w:val="10"/>
          <w:szCs w:val="18"/>
          <w:lang w:bidi="en-US"/>
        </w:rPr>
        <w:t xml:space="preserve">Appendix 2: US age- and sex-matched general population mortality (used in the long-term Markov model) </w:t>
      </w:r>
    </w:p>
    <w:tbl>
      <w:tblPr>
        <w:tblStyle w:val="TableGrid"/>
        <w:tblW w:w="5000" w:type="pct"/>
        <w:tblLook w:val="04A0" w:firstRow="1" w:lastRow="0" w:firstColumn="1" w:lastColumn="0" w:noHBand="0" w:noVBand="1"/>
      </w:tblPr>
      <w:tblGrid>
        <w:gridCol w:w="1604"/>
        <w:gridCol w:w="1606"/>
        <w:gridCol w:w="1606"/>
        <w:gridCol w:w="1604"/>
        <w:gridCol w:w="1606"/>
        <w:gridCol w:w="1602"/>
      </w:tblGrid>
      <w:tr w:rsidR="004A7EEE" w:rsidRPr="004A7EEE" w14:paraId="48B16854" w14:textId="77777777" w:rsidTr="00026CB6">
        <w:trPr>
          <w:trHeight w:val="297"/>
        </w:trPr>
        <w:tc>
          <w:tcPr>
            <w:tcW w:w="833" w:type="pct"/>
            <w:vMerge w:val="restart"/>
            <w:noWrap/>
            <w:vAlign w:val="center"/>
            <w:hideMark/>
          </w:tcPr>
          <w:p w14:paraId="621ED83C" w14:textId="77777777" w:rsidR="004A7EEE" w:rsidRPr="004A7EEE" w:rsidRDefault="004A7EEE" w:rsidP="004A7EEE">
            <w:pPr>
              <w:keepNext/>
              <w:tabs>
                <w:tab w:val="left" w:pos="268"/>
              </w:tabs>
              <w:spacing w:before="60" w:after="60"/>
              <w:jc w:val="center"/>
              <w:rPr>
                <w:rFonts w:ascii="Arial" w:eastAsia="Times New Roman" w:hAnsi="Arial" w:cs="Arial"/>
                <w:b/>
                <w:sz w:val="20"/>
                <w:szCs w:val="20"/>
                <w:lang w:bidi="en-US"/>
              </w:rPr>
            </w:pPr>
            <w:r w:rsidRPr="004A7EEE">
              <w:rPr>
                <w:rFonts w:ascii="Arial" w:eastAsia="Times New Roman" w:hAnsi="Arial" w:cs="Arial"/>
                <w:b/>
                <w:sz w:val="20"/>
                <w:szCs w:val="20"/>
                <w:lang w:bidi="en-US"/>
              </w:rPr>
              <w:t>Age</w:t>
            </w:r>
          </w:p>
        </w:tc>
        <w:tc>
          <w:tcPr>
            <w:tcW w:w="1668" w:type="pct"/>
            <w:gridSpan w:val="2"/>
            <w:noWrap/>
            <w:vAlign w:val="center"/>
            <w:hideMark/>
          </w:tcPr>
          <w:p w14:paraId="545A63CA" w14:textId="77777777" w:rsidR="004A7EEE" w:rsidRPr="004A7EEE" w:rsidRDefault="004A7EEE" w:rsidP="004A7EEE">
            <w:pPr>
              <w:keepNext/>
              <w:tabs>
                <w:tab w:val="left" w:pos="268"/>
              </w:tabs>
              <w:spacing w:before="60" w:after="60"/>
              <w:jc w:val="center"/>
              <w:rPr>
                <w:rFonts w:ascii="Arial" w:eastAsia="Times New Roman" w:hAnsi="Arial" w:cs="Arial"/>
                <w:b/>
                <w:sz w:val="20"/>
                <w:szCs w:val="20"/>
                <w:lang w:bidi="en-US"/>
              </w:rPr>
            </w:pPr>
            <w:r w:rsidRPr="004A7EEE">
              <w:rPr>
                <w:rFonts w:ascii="Arial" w:eastAsia="Times New Roman" w:hAnsi="Arial" w:cs="Arial"/>
                <w:b/>
                <w:sz w:val="20"/>
                <w:szCs w:val="20"/>
                <w:lang w:bidi="en-US"/>
              </w:rPr>
              <w:t>Annual mortality rate</w:t>
            </w:r>
          </w:p>
        </w:tc>
        <w:tc>
          <w:tcPr>
            <w:tcW w:w="833" w:type="pct"/>
            <w:vMerge w:val="restart"/>
            <w:vAlign w:val="center"/>
          </w:tcPr>
          <w:p w14:paraId="2AB32F1A" w14:textId="77777777" w:rsidR="004A7EEE" w:rsidRPr="004A7EEE" w:rsidRDefault="004A7EEE" w:rsidP="004A7EEE">
            <w:pPr>
              <w:keepNext/>
              <w:tabs>
                <w:tab w:val="left" w:pos="268"/>
              </w:tabs>
              <w:spacing w:before="60" w:after="60"/>
              <w:jc w:val="center"/>
              <w:rPr>
                <w:rFonts w:ascii="Arial" w:eastAsia="Times New Roman" w:hAnsi="Arial" w:cs="Arial"/>
                <w:b/>
                <w:sz w:val="20"/>
                <w:szCs w:val="20"/>
                <w:lang w:bidi="en-US"/>
              </w:rPr>
            </w:pPr>
            <w:r w:rsidRPr="004A7EEE">
              <w:rPr>
                <w:rFonts w:ascii="Arial" w:eastAsia="Times New Roman" w:hAnsi="Arial" w:cs="Arial"/>
                <w:b/>
                <w:sz w:val="20"/>
                <w:szCs w:val="20"/>
                <w:lang w:bidi="en-US"/>
              </w:rPr>
              <w:t>Age</w:t>
            </w:r>
          </w:p>
        </w:tc>
        <w:tc>
          <w:tcPr>
            <w:tcW w:w="1666" w:type="pct"/>
            <w:gridSpan w:val="2"/>
            <w:vAlign w:val="center"/>
          </w:tcPr>
          <w:p w14:paraId="3722AF72" w14:textId="77777777" w:rsidR="004A7EEE" w:rsidRPr="004A7EEE" w:rsidRDefault="004A7EEE" w:rsidP="004A7EEE">
            <w:pPr>
              <w:keepNext/>
              <w:tabs>
                <w:tab w:val="left" w:pos="268"/>
              </w:tabs>
              <w:spacing w:before="60" w:after="60"/>
              <w:jc w:val="center"/>
              <w:rPr>
                <w:rFonts w:ascii="Arial" w:eastAsia="Times New Roman" w:hAnsi="Arial" w:cs="Arial"/>
                <w:b/>
                <w:sz w:val="20"/>
                <w:szCs w:val="20"/>
                <w:lang w:bidi="en-US"/>
              </w:rPr>
            </w:pPr>
            <w:r w:rsidRPr="004A7EEE">
              <w:rPr>
                <w:rFonts w:ascii="Arial" w:eastAsia="Times New Roman" w:hAnsi="Arial" w:cs="Arial"/>
                <w:b/>
                <w:sz w:val="20"/>
                <w:szCs w:val="20"/>
                <w:lang w:bidi="en-US"/>
              </w:rPr>
              <w:t>Annual mortality rate</w:t>
            </w:r>
          </w:p>
        </w:tc>
      </w:tr>
      <w:tr w:rsidR="004A7EEE" w:rsidRPr="004A7EEE" w14:paraId="2E023458" w14:textId="77777777" w:rsidTr="00026CB6">
        <w:trPr>
          <w:trHeight w:val="297"/>
        </w:trPr>
        <w:tc>
          <w:tcPr>
            <w:tcW w:w="833" w:type="pct"/>
            <w:vMerge/>
            <w:vAlign w:val="center"/>
            <w:hideMark/>
          </w:tcPr>
          <w:p w14:paraId="58FC3608" w14:textId="77777777" w:rsidR="004A7EEE" w:rsidRPr="004A7EEE" w:rsidRDefault="004A7EEE" w:rsidP="004A7EEE">
            <w:pPr>
              <w:keepNext/>
              <w:tabs>
                <w:tab w:val="left" w:pos="268"/>
              </w:tabs>
              <w:spacing w:before="60" w:after="60"/>
              <w:jc w:val="center"/>
              <w:rPr>
                <w:rFonts w:ascii="Arial" w:eastAsia="Times New Roman" w:hAnsi="Arial" w:cs="Arial"/>
                <w:b/>
                <w:sz w:val="20"/>
                <w:szCs w:val="20"/>
                <w:lang w:bidi="en-US"/>
              </w:rPr>
            </w:pPr>
          </w:p>
        </w:tc>
        <w:tc>
          <w:tcPr>
            <w:tcW w:w="834" w:type="pct"/>
            <w:noWrap/>
            <w:vAlign w:val="center"/>
            <w:hideMark/>
          </w:tcPr>
          <w:p w14:paraId="5EB1B0BD" w14:textId="77777777" w:rsidR="004A7EEE" w:rsidRPr="004A7EEE" w:rsidRDefault="004A7EEE" w:rsidP="004A7EEE">
            <w:pPr>
              <w:keepNext/>
              <w:tabs>
                <w:tab w:val="left" w:pos="268"/>
              </w:tabs>
              <w:spacing w:before="60" w:after="60"/>
              <w:jc w:val="center"/>
              <w:rPr>
                <w:rFonts w:ascii="Arial" w:eastAsia="Times New Roman" w:hAnsi="Arial" w:cs="Arial"/>
                <w:b/>
                <w:sz w:val="20"/>
                <w:szCs w:val="20"/>
                <w:lang w:bidi="en-US"/>
              </w:rPr>
            </w:pPr>
            <w:r w:rsidRPr="004A7EEE">
              <w:rPr>
                <w:rFonts w:ascii="Arial" w:eastAsia="Times New Roman" w:hAnsi="Arial" w:cs="Arial"/>
                <w:b/>
                <w:sz w:val="20"/>
                <w:szCs w:val="20"/>
                <w:lang w:bidi="en-US"/>
              </w:rPr>
              <w:t>Male</w:t>
            </w:r>
          </w:p>
        </w:tc>
        <w:tc>
          <w:tcPr>
            <w:tcW w:w="834" w:type="pct"/>
            <w:noWrap/>
            <w:vAlign w:val="center"/>
            <w:hideMark/>
          </w:tcPr>
          <w:p w14:paraId="61D628B6" w14:textId="77777777" w:rsidR="004A7EEE" w:rsidRPr="004A7EEE" w:rsidRDefault="004A7EEE" w:rsidP="004A7EEE">
            <w:pPr>
              <w:keepNext/>
              <w:tabs>
                <w:tab w:val="left" w:pos="268"/>
              </w:tabs>
              <w:spacing w:before="60" w:after="60"/>
              <w:jc w:val="center"/>
              <w:rPr>
                <w:rFonts w:ascii="Arial" w:eastAsia="Times New Roman" w:hAnsi="Arial" w:cs="Arial"/>
                <w:b/>
                <w:sz w:val="20"/>
                <w:szCs w:val="20"/>
                <w:lang w:bidi="en-US"/>
              </w:rPr>
            </w:pPr>
            <w:r w:rsidRPr="004A7EEE">
              <w:rPr>
                <w:rFonts w:ascii="Arial" w:eastAsia="Times New Roman" w:hAnsi="Arial" w:cs="Arial"/>
                <w:b/>
                <w:sz w:val="20"/>
                <w:szCs w:val="20"/>
                <w:lang w:bidi="en-US"/>
              </w:rPr>
              <w:t>Female</w:t>
            </w:r>
          </w:p>
        </w:tc>
        <w:tc>
          <w:tcPr>
            <w:tcW w:w="833" w:type="pct"/>
            <w:vMerge/>
            <w:vAlign w:val="center"/>
          </w:tcPr>
          <w:p w14:paraId="6FE4B717" w14:textId="77777777" w:rsidR="004A7EEE" w:rsidRPr="004A7EEE" w:rsidRDefault="004A7EEE" w:rsidP="004A7EEE">
            <w:pPr>
              <w:keepNext/>
              <w:tabs>
                <w:tab w:val="left" w:pos="268"/>
              </w:tabs>
              <w:spacing w:before="60" w:after="60"/>
              <w:jc w:val="center"/>
              <w:rPr>
                <w:rFonts w:ascii="Arial" w:eastAsia="Times New Roman" w:hAnsi="Arial" w:cs="Arial"/>
                <w:b/>
                <w:sz w:val="20"/>
                <w:szCs w:val="20"/>
                <w:lang w:bidi="en-US"/>
              </w:rPr>
            </w:pPr>
          </w:p>
        </w:tc>
        <w:tc>
          <w:tcPr>
            <w:tcW w:w="833" w:type="pct"/>
            <w:vAlign w:val="center"/>
          </w:tcPr>
          <w:p w14:paraId="3450D98E" w14:textId="77777777" w:rsidR="004A7EEE" w:rsidRPr="004A7EEE" w:rsidRDefault="004A7EEE" w:rsidP="004A7EEE">
            <w:pPr>
              <w:keepNext/>
              <w:tabs>
                <w:tab w:val="left" w:pos="268"/>
              </w:tabs>
              <w:spacing w:before="60" w:after="60"/>
              <w:jc w:val="center"/>
              <w:rPr>
                <w:rFonts w:ascii="Arial" w:eastAsia="Times New Roman" w:hAnsi="Arial" w:cs="Arial"/>
                <w:b/>
                <w:sz w:val="20"/>
                <w:szCs w:val="20"/>
                <w:lang w:bidi="en-US"/>
              </w:rPr>
            </w:pPr>
            <w:r w:rsidRPr="004A7EEE">
              <w:rPr>
                <w:rFonts w:ascii="Arial" w:eastAsia="Times New Roman" w:hAnsi="Arial" w:cs="Arial"/>
                <w:b/>
                <w:sz w:val="20"/>
                <w:szCs w:val="20"/>
                <w:lang w:bidi="en-US"/>
              </w:rPr>
              <w:t>Male</w:t>
            </w:r>
          </w:p>
        </w:tc>
        <w:tc>
          <w:tcPr>
            <w:tcW w:w="833" w:type="pct"/>
          </w:tcPr>
          <w:p w14:paraId="1CB6DB27" w14:textId="77777777" w:rsidR="004A7EEE" w:rsidRPr="004A7EEE" w:rsidRDefault="004A7EEE" w:rsidP="004A7EEE">
            <w:pPr>
              <w:keepNext/>
              <w:tabs>
                <w:tab w:val="left" w:pos="268"/>
              </w:tabs>
              <w:spacing w:before="60" w:after="60"/>
              <w:jc w:val="center"/>
              <w:rPr>
                <w:rFonts w:ascii="Arial" w:eastAsia="Times New Roman" w:hAnsi="Arial" w:cs="Arial"/>
                <w:b/>
                <w:sz w:val="20"/>
                <w:szCs w:val="20"/>
                <w:lang w:bidi="en-US"/>
              </w:rPr>
            </w:pPr>
            <w:r w:rsidRPr="004A7EEE">
              <w:rPr>
                <w:rFonts w:ascii="Arial" w:eastAsia="Times New Roman" w:hAnsi="Arial" w:cs="Arial"/>
                <w:b/>
                <w:sz w:val="20"/>
                <w:szCs w:val="20"/>
                <w:lang w:bidi="en-US"/>
              </w:rPr>
              <w:t>Female</w:t>
            </w:r>
          </w:p>
        </w:tc>
      </w:tr>
      <w:tr w:rsidR="004A7EEE" w:rsidRPr="004A7EEE" w14:paraId="7462CC59" w14:textId="77777777" w:rsidTr="00026CB6">
        <w:trPr>
          <w:trHeight w:val="285"/>
        </w:trPr>
        <w:tc>
          <w:tcPr>
            <w:tcW w:w="833" w:type="pct"/>
            <w:noWrap/>
            <w:hideMark/>
          </w:tcPr>
          <w:p w14:paraId="259EF142"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60</w:t>
            </w:r>
          </w:p>
        </w:tc>
        <w:tc>
          <w:tcPr>
            <w:tcW w:w="834" w:type="pct"/>
            <w:noWrap/>
            <w:hideMark/>
          </w:tcPr>
          <w:p w14:paraId="5D9A29E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0.0115</w:t>
            </w:r>
          </w:p>
        </w:tc>
        <w:tc>
          <w:tcPr>
            <w:tcW w:w="834" w:type="pct"/>
            <w:noWrap/>
            <w:hideMark/>
          </w:tcPr>
          <w:p w14:paraId="7E471E5E"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0.0068</w:t>
            </w:r>
          </w:p>
        </w:tc>
        <w:tc>
          <w:tcPr>
            <w:tcW w:w="833" w:type="pct"/>
          </w:tcPr>
          <w:p w14:paraId="096501F9"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80</w:t>
            </w:r>
          </w:p>
        </w:tc>
        <w:tc>
          <w:tcPr>
            <w:tcW w:w="834" w:type="pct"/>
          </w:tcPr>
          <w:p w14:paraId="030970D2"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0.0557</w:t>
            </w:r>
          </w:p>
        </w:tc>
        <w:tc>
          <w:tcPr>
            <w:tcW w:w="832" w:type="pct"/>
          </w:tcPr>
          <w:p w14:paraId="1C39E715"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0.0406</w:t>
            </w:r>
          </w:p>
        </w:tc>
      </w:tr>
      <w:tr w:rsidR="004A7EEE" w:rsidRPr="004A7EEE" w14:paraId="6413987C" w14:textId="77777777" w:rsidTr="00026CB6">
        <w:trPr>
          <w:trHeight w:val="285"/>
        </w:trPr>
        <w:tc>
          <w:tcPr>
            <w:tcW w:w="833" w:type="pct"/>
            <w:noWrap/>
            <w:hideMark/>
          </w:tcPr>
          <w:p w14:paraId="0D465A43"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61</w:t>
            </w:r>
          </w:p>
        </w:tc>
        <w:tc>
          <w:tcPr>
            <w:tcW w:w="834" w:type="pct"/>
            <w:noWrap/>
            <w:hideMark/>
          </w:tcPr>
          <w:p w14:paraId="5F016D6B"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0.0124</w:t>
            </w:r>
          </w:p>
        </w:tc>
        <w:tc>
          <w:tcPr>
            <w:tcW w:w="834" w:type="pct"/>
            <w:noWrap/>
            <w:hideMark/>
          </w:tcPr>
          <w:p w14:paraId="54CF7AB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0.0074</w:t>
            </w:r>
          </w:p>
        </w:tc>
        <w:tc>
          <w:tcPr>
            <w:tcW w:w="833" w:type="pct"/>
          </w:tcPr>
          <w:p w14:paraId="36A46879"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81</w:t>
            </w:r>
          </w:p>
        </w:tc>
        <w:tc>
          <w:tcPr>
            <w:tcW w:w="834" w:type="pct"/>
          </w:tcPr>
          <w:p w14:paraId="5C48AC31"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0.0617</w:t>
            </w:r>
          </w:p>
        </w:tc>
        <w:tc>
          <w:tcPr>
            <w:tcW w:w="832" w:type="pct"/>
          </w:tcPr>
          <w:p w14:paraId="6B02C384"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0.0456</w:t>
            </w:r>
          </w:p>
        </w:tc>
      </w:tr>
      <w:tr w:rsidR="004A7EEE" w:rsidRPr="004A7EEE" w14:paraId="775FF5D6" w14:textId="77777777" w:rsidTr="00026CB6">
        <w:trPr>
          <w:trHeight w:val="285"/>
        </w:trPr>
        <w:tc>
          <w:tcPr>
            <w:tcW w:w="833" w:type="pct"/>
            <w:noWrap/>
            <w:hideMark/>
          </w:tcPr>
          <w:p w14:paraId="5ECDBEDD"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62</w:t>
            </w:r>
          </w:p>
        </w:tc>
        <w:tc>
          <w:tcPr>
            <w:tcW w:w="834" w:type="pct"/>
            <w:noWrap/>
            <w:hideMark/>
          </w:tcPr>
          <w:p w14:paraId="161FFAC1"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0.0133</w:t>
            </w:r>
          </w:p>
        </w:tc>
        <w:tc>
          <w:tcPr>
            <w:tcW w:w="834" w:type="pct"/>
            <w:noWrap/>
            <w:hideMark/>
          </w:tcPr>
          <w:p w14:paraId="63E3891D"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0.0079</w:t>
            </w:r>
          </w:p>
        </w:tc>
        <w:tc>
          <w:tcPr>
            <w:tcW w:w="833" w:type="pct"/>
          </w:tcPr>
          <w:p w14:paraId="2B1016E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82</w:t>
            </w:r>
          </w:p>
        </w:tc>
        <w:tc>
          <w:tcPr>
            <w:tcW w:w="834" w:type="pct"/>
          </w:tcPr>
          <w:p w14:paraId="234C191A"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0.0684</w:t>
            </w:r>
          </w:p>
        </w:tc>
        <w:tc>
          <w:tcPr>
            <w:tcW w:w="832" w:type="pct"/>
          </w:tcPr>
          <w:p w14:paraId="396BCB38"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0.0513</w:t>
            </w:r>
          </w:p>
        </w:tc>
      </w:tr>
      <w:tr w:rsidR="004A7EEE" w:rsidRPr="004A7EEE" w14:paraId="267140CD" w14:textId="77777777" w:rsidTr="00026CB6">
        <w:trPr>
          <w:trHeight w:val="285"/>
        </w:trPr>
        <w:tc>
          <w:tcPr>
            <w:tcW w:w="833" w:type="pct"/>
            <w:noWrap/>
            <w:hideMark/>
          </w:tcPr>
          <w:p w14:paraId="3767126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63</w:t>
            </w:r>
          </w:p>
        </w:tc>
        <w:tc>
          <w:tcPr>
            <w:tcW w:w="834" w:type="pct"/>
            <w:noWrap/>
            <w:hideMark/>
          </w:tcPr>
          <w:p w14:paraId="083A807F"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0.0142</w:t>
            </w:r>
          </w:p>
        </w:tc>
        <w:tc>
          <w:tcPr>
            <w:tcW w:w="834" w:type="pct"/>
            <w:noWrap/>
            <w:hideMark/>
          </w:tcPr>
          <w:p w14:paraId="476031A6"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0.0084</w:t>
            </w:r>
          </w:p>
        </w:tc>
        <w:tc>
          <w:tcPr>
            <w:tcW w:w="833" w:type="pct"/>
          </w:tcPr>
          <w:p w14:paraId="505D78E8"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83</w:t>
            </w:r>
          </w:p>
        </w:tc>
        <w:tc>
          <w:tcPr>
            <w:tcW w:w="834" w:type="pct"/>
          </w:tcPr>
          <w:p w14:paraId="2CF440B0"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0.0757</w:t>
            </w:r>
          </w:p>
        </w:tc>
        <w:tc>
          <w:tcPr>
            <w:tcW w:w="832" w:type="pct"/>
          </w:tcPr>
          <w:p w14:paraId="316262B3"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0.0574</w:t>
            </w:r>
          </w:p>
        </w:tc>
      </w:tr>
      <w:tr w:rsidR="004A7EEE" w:rsidRPr="004A7EEE" w14:paraId="3670190D" w14:textId="77777777" w:rsidTr="00026CB6">
        <w:trPr>
          <w:trHeight w:val="285"/>
        </w:trPr>
        <w:tc>
          <w:tcPr>
            <w:tcW w:w="833" w:type="pct"/>
            <w:noWrap/>
            <w:hideMark/>
          </w:tcPr>
          <w:p w14:paraId="61CFAECB"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64</w:t>
            </w:r>
          </w:p>
        </w:tc>
        <w:tc>
          <w:tcPr>
            <w:tcW w:w="834" w:type="pct"/>
            <w:noWrap/>
            <w:hideMark/>
          </w:tcPr>
          <w:p w14:paraId="77719608"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0.0151</w:t>
            </w:r>
          </w:p>
        </w:tc>
        <w:tc>
          <w:tcPr>
            <w:tcW w:w="834" w:type="pct"/>
            <w:noWrap/>
            <w:hideMark/>
          </w:tcPr>
          <w:p w14:paraId="5B95AD83"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0.0090</w:t>
            </w:r>
          </w:p>
        </w:tc>
        <w:tc>
          <w:tcPr>
            <w:tcW w:w="833" w:type="pct"/>
          </w:tcPr>
          <w:p w14:paraId="182E5721"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84</w:t>
            </w:r>
          </w:p>
        </w:tc>
        <w:tc>
          <w:tcPr>
            <w:tcW w:w="834" w:type="pct"/>
          </w:tcPr>
          <w:p w14:paraId="44D14CFA"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0.0852</w:t>
            </w:r>
          </w:p>
        </w:tc>
        <w:tc>
          <w:tcPr>
            <w:tcW w:w="832" w:type="pct"/>
          </w:tcPr>
          <w:p w14:paraId="2C82F14E"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0.0650</w:t>
            </w:r>
          </w:p>
        </w:tc>
      </w:tr>
      <w:tr w:rsidR="004A7EEE" w:rsidRPr="004A7EEE" w14:paraId="0A09E85C" w14:textId="77777777" w:rsidTr="00026CB6">
        <w:trPr>
          <w:trHeight w:val="285"/>
        </w:trPr>
        <w:tc>
          <w:tcPr>
            <w:tcW w:w="833" w:type="pct"/>
            <w:noWrap/>
            <w:hideMark/>
          </w:tcPr>
          <w:p w14:paraId="057DC7CA"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65</w:t>
            </w:r>
          </w:p>
        </w:tc>
        <w:tc>
          <w:tcPr>
            <w:tcW w:w="834" w:type="pct"/>
            <w:noWrap/>
            <w:hideMark/>
          </w:tcPr>
          <w:p w14:paraId="45664F79"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0.0161</w:t>
            </w:r>
          </w:p>
        </w:tc>
        <w:tc>
          <w:tcPr>
            <w:tcW w:w="834" w:type="pct"/>
            <w:noWrap/>
            <w:hideMark/>
          </w:tcPr>
          <w:p w14:paraId="0103AC8D"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0.0096</w:t>
            </w:r>
          </w:p>
        </w:tc>
        <w:tc>
          <w:tcPr>
            <w:tcW w:w="833" w:type="pct"/>
          </w:tcPr>
          <w:p w14:paraId="04FF5DAA"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85</w:t>
            </w:r>
          </w:p>
        </w:tc>
        <w:tc>
          <w:tcPr>
            <w:tcW w:w="834" w:type="pct"/>
          </w:tcPr>
          <w:p w14:paraId="53B8FE53"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0.0945</w:t>
            </w:r>
          </w:p>
        </w:tc>
        <w:tc>
          <w:tcPr>
            <w:tcW w:w="832" w:type="pct"/>
          </w:tcPr>
          <w:p w14:paraId="7B01AAFF"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0.0729</w:t>
            </w:r>
          </w:p>
        </w:tc>
      </w:tr>
      <w:tr w:rsidR="004A7EEE" w:rsidRPr="004A7EEE" w14:paraId="14A8151F" w14:textId="77777777" w:rsidTr="00026CB6">
        <w:trPr>
          <w:trHeight w:val="285"/>
        </w:trPr>
        <w:tc>
          <w:tcPr>
            <w:tcW w:w="833" w:type="pct"/>
            <w:noWrap/>
            <w:hideMark/>
          </w:tcPr>
          <w:p w14:paraId="3923BE4E"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66</w:t>
            </w:r>
          </w:p>
        </w:tc>
        <w:tc>
          <w:tcPr>
            <w:tcW w:w="834" w:type="pct"/>
            <w:noWrap/>
            <w:hideMark/>
          </w:tcPr>
          <w:p w14:paraId="2B48889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0.0172</w:t>
            </w:r>
          </w:p>
        </w:tc>
        <w:tc>
          <w:tcPr>
            <w:tcW w:w="834" w:type="pct"/>
            <w:noWrap/>
            <w:hideMark/>
          </w:tcPr>
          <w:p w14:paraId="18AD8D16"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0.0104</w:t>
            </w:r>
          </w:p>
        </w:tc>
        <w:tc>
          <w:tcPr>
            <w:tcW w:w="833" w:type="pct"/>
          </w:tcPr>
          <w:p w14:paraId="550A323F"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86</w:t>
            </w:r>
          </w:p>
        </w:tc>
        <w:tc>
          <w:tcPr>
            <w:tcW w:w="834" w:type="pct"/>
          </w:tcPr>
          <w:p w14:paraId="03369001"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0.1048</w:t>
            </w:r>
          </w:p>
        </w:tc>
        <w:tc>
          <w:tcPr>
            <w:tcW w:w="832" w:type="pct"/>
          </w:tcPr>
          <w:p w14:paraId="5F3F262A"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0.0801</w:t>
            </w:r>
          </w:p>
        </w:tc>
      </w:tr>
      <w:tr w:rsidR="004A7EEE" w:rsidRPr="004A7EEE" w14:paraId="2837402B" w14:textId="77777777" w:rsidTr="00026CB6">
        <w:trPr>
          <w:trHeight w:val="285"/>
        </w:trPr>
        <w:tc>
          <w:tcPr>
            <w:tcW w:w="833" w:type="pct"/>
            <w:noWrap/>
            <w:hideMark/>
          </w:tcPr>
          <w:p w14:paraId="0F3EF40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67</w:t>
            </w:r>
          </w:p>
        </w:tc>
        <w:tc>
          <w:tcPr>
            <w:tcW w:w="834" w:type="pct"/>
            <w:noWrap/>
            <w:hideMark/>
          </w:tcPr>
          <w:p w14:paraId="7D252328"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0.0184</w:t>
            </w:r>
          </w:p>
        </w:tc>
        <w:tc>
          <w:tcPr>
            <w:tcW w:w="834" w:type="pct"/>
            <w:noWrap/>
            <w:hideMark/>
          </w:tcPr>
          <w:p w14:paraId="14C2BB95"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0.0112</w:t>
            </w:r>
          </w:p>
        </w:tc>
        <w:tc>
          <w:tcPr>
            <w:tcW w:w="833" w:type="pct"/>
          </w:tcPr>
          <w:p w14:paraId="0DA2F4F6"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87</w:t>
            </w:r>
          </w:p>
        </w:tc>
        <w:tc>
          <w:tcPr>
            <w:tcW w:w="834" w:type="pct"/>
          </w:tcPr>
          <w:p w14:paraId="3F9C2CD3"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0.1175</w:t>
            </w:r>
          </w:p>
        </w:tc>
        <w:tc>
          <w:tcPr>
            <w:tcW w:w="832" w:type="pct"/>
          </w:tcPr>
          <w:p w14:paraId="657081FA"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0.0907</w:t>
            </w:r>
          </w:p>
        </w:tc>
      </w:tr>
      <w:tr w:rsidR="004A7EEE" w:rsidRPr="004A7EEE" w14:paraId="5BBD9EED" w14:textId="77777777" w:rsidTr="00026CB6">
        <w:trPr>
          <w:trHeight w:val="285"/>
        </w:trPr>
        <w:tc>
          <w:tcPr>
            <w:tcW w:w="833" w:type="pct"/>
            <w:noWrap/>
            <w:hideMark/>
          </w:tcPr>
          <w:p w14:paraId="6AA57E1F"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68</w:t>
            </w:r>
          </w:p>
        </w:tc>
        <w:tc>
          <w:tcPr>
            <w:tcW w:w="834" w:type="pct"/>
            <w:noWrap/>
            <w:hideMark/>
          </w:tcPr>
          <w:p w14:paraId="69E4568F"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0.0197</w:t>
            </w:r>
          </w:p>
        </w:tc>
        <w:tc>
          <w:tcPr>
            <w:tcW w:w="834" w:type="pct"/>
            <w:noWrap/>
            <w:hideMark/>
          </w:tcPr>
          <w:p w14:paraId="77D989FB"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0.0122</w:t>
            </w:r>
          </w:p>
        </w:tc>
        <w:tc>
          <w:tcPr>
            <w:tcW w:w="833" w:type="pct"/>
          </w:tcPr>
          <w:p w14:paraId="6F8F60CF"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88</w:t>
            </w:r>
          </w:p>
        </w:tc>
        <w:tc>
          <w:tcPr>
            <w:tcW w:w="834" w:type="pct"/>
          </w:tcPr>
          <w:p w14:paraId="6A81E480"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0.1313</w:t>
            </w:r>
          </w:p>
        </w:tc>
        <w:tc>
          <w:tcPr>
            <w:tcW w:w="832" w:type="pct"/>
          </w:tcPr>
          <w:p w14:paraId="1427F3B8"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0.1023</w:t>
            </w:r>
          </w:p>
        </w:tc>
      </w:tr>
      <w:tr w:rsidR="004A7EEE" w:rsidRPr="004A7EEE" w14:paraId="117CD011" w14:textId="77777777" w:rsidTr="00026CB6">
        <w:trPr>
          <w:trHeight w:val="285"/>
        </w:trPr>
        <w:tc>
          <w:tcPr>
            <w:tcW w:w="833" w:type="pct"/>
            <w:noWrap/>
            <w:hideMark/>
          </w:tcPr>
          <w:p w14:paraId="1486D613"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69</w:t>
            </w:r>
          </w:p>
        </w:tc>
        <w:tc>
          <w:tcPr>
            <w:tcW w:w="834" w:type="pct"/>
            <w:noWrap/>
            <w:hideMark/>
          </w:tcPr>
          <w:p w14:paraId="13CF4091"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0.0211</w:t>
            </w:r>
          </w:p>
        </w:tc>
        <w:tc>
          <w:tcPr>
            <w:tcW w:w="834" w:type="pct"/>
            <w:noWrap/>
            <w:hideMark/>
          </w:tcPr>
          <w:p w14:paraId="10ECADDB"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0.0134</w:t>
            </w:r>
          </w:p>
        </w:tc>
        <w:tc>
          <w:tcPr>
            <w:tcW w:w="833" w:type="pct"/>
          </w:tcPr>
          <w:p w14:paraId="62D6605B"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89</w:t>
            </w:r>
          </w:p>
        </w:tc>
        <w:tc>
          <w:tcPr>
            <w:tcW w:w="834" w:type="pct"/>
          </w:tcPr>
          <w:p w14:paraId="553B6CEE"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0.1464</w:t>
            </w:r>
          </w:p>
        </w:tc>
        <w:tc>
          <w:tcPr>
            <w:tcW w:w="832" w:type="pct"/>
          </w:tcPr>
          <w:p w14:paraId="63CED98D"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0.1152</w:t>
            </w:r>
          </w:p>
        </w:tc>
      </w:tr>
      <w:tr w:rsidR="004A7EEE" w:rsidRPr="004A7EEE" w14:paraId="6C030616" w14:textId="77777777" w:rsidTr="00026CB6">
        <w:trPr>
          <w:trHeight w:val="285"/>
        </w:trPr>
        <w:tc>
          <w:tcPr>
            <w:tcW w:w="833" w:type="pct"/>
            <w:noWrap/>
            <w:hideMark/>
          </w:tcPr>
          <w:p w14:paraId="7C46C77B"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70</w:t>
            </w:r>
          </w:p>
        </w:tc>
        <w:tc>
          <w:tcPr>
            <w:tcW w:w="834" w:type="pct"/>
            <w:noWrap/>
            <w:hideMark/>
          </w:tcPr>
          <w:p w14:paraId="425FB970"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0.0225</w:t>
            </w:r>
          </w:p>
        </w:tc>
        <w:tc>
          <w:tcPr>
            <w:tcW w:w="834" w:type="pct"/>
            <w:noWrap/>
            <w:hideMark/>
          </w:tcPr>
          <w:p w14:paraId="6D59CBF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0.0147</w:t>
            </w:r>
          </w:p>
        </w:tc>
        <w:tc>
          <w:tcPr>
            <w:tcW w:w="833" w:type="pct"/>
          </w:tcPr>
          <w:p w14:paraId="28F37BA2"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90</w:t>
            </w:r>
          </w:p>
        </w:tc>
        <w:tc>
          <w:tcPr>
            <w:tcW w:w="834" w:type="pct"/>
          </w:tcPr>
          <w:p w14:paraId="1FDABDB6"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0.1626</w:t>
            </w:r>
          </w:p>
        </w:tc>
        <w:tc>
          <w:tcPr>
            <w:tcW w:w="832" w:type="pct"/>
          </w:tcPr>
          <w:p w14:paraId="25ACAA03"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0.1293</w:t>
            </w:r>
          </w:p>
        </w:tc>
      </w:tr>
      <w:tr w:rsidR="004A7EEE" w:rsidRPr="004A7EEE" w14:paraId="23922401" w14:textId="77777777" w:rsidTr="00026CB6">
        <w:trPr>
          <w:trHeight w:val="285"/>
        </w:trPr>
        <w:tc>
          <w:tcPr>
            <w:tcW w:w="833" w:type="pct"/>
            <w:noWrap/>
            <w:hideMark/>
          </w:tcPr>
          <w:p w14:paraId="4B0D6165"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71</w:t>
            </w:r>
          </w:p>
        </w:tc>
        <w:tc>
          <w:tcPr>
            <w:tcW w:w="834" w:type="pct"/>
            <w:noWrap/>
            <w:hideMark/>
          </w:tcPr>
          <w:p w14:paraId="5B5E2CA4"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0.0241</w:t>
            </w:r>
          </w:p>
        </w:tc>
        <w:tc>
          <w:tcPr>
            <w:tcW w:w="834" w:type="pct"/>
            <w:noWrap/>
            <w:hideMark/>
          </w:tcPr>
          <w:p w14:paraId="46E37E52"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0.0161</w:t>
            </w:r>
          </w:p>
        </w:tc>
        <w:tc>
          <w:tcPr>
            <w:tcW w:w="833" w:type="pct"/>
          </w:tcPr>
          <w:p w14:paraId="2071FB77"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91</w:t>
            </w:r>
          </w:p>
        </w:tc>
        <w:tc>
          <w:tcPr>
            <w:tcW w:w="834" w:type="pct"/>
          </w:tcPr>
          <w:p w14:paraId="4FC8B861"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0.1801</w:t>
            </w:r>
          </w:p>
        </w:tc>
        <w:tc>
          <w:tcPr>
            <w:tcW w:w="832" w:type="pct"/>
          </w:tcPr>
          <w:p w14:paraId="62564B43"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0.1447</w:t>
            </w:r>
          </w:p>
        </w:tc>
      </w:tr>
      <w:tr w:rsidR="004A7EEE" w:rsidRPr="004A7EEE" w14:paraId="6901841D" w14:textId="77777777" w:rsidTr="00026CB6">
        <w:trPr>
          <w:trHeight w:val="285"/>
        </w:trPr>
        <w:tc>
          <w:tcPr>
            <w:tcW w:w="833" w:type="pct"/>
            <w:noWrap/>
            <w:hideMark/>
          </w:tcPr>
          <w:p w14:paraId="387C0BF6"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72</w:t>
            </w:r>
          </w:p>
        </w:tc>
        <w:tc>
          <w:tcPr>
            <w:tcW w:w="834" w:type="pct"/>
            <w:noWrap/>
            <w:hideMark/>
          </w:tcPr>
          <w:p w14:paraId="09E3AECB"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0.0264</w:t>
            </w:r>
          </w:p>
        </w:tc>
        <w:tc>
          <w:tcPr>
            <w:tcW w:w="834" w:type="pct"/>
            <w:noWrap/>
            <w:hideMark/>
          </w:tcPr>
          <w:p w14:paraId="7EB54DBA"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0.0180</w:t>
            </w:r>
          </w:p>
        </w:tc>
        <w:tc>
          <w:tcPr>
            <w:tcW w:w="833" w:type="pct"/>
          </w:tcPr>
          <w:p w14:paraId="0C73CA51"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92</w:t>
            </w:r>
          </w:p>
        </w:tc>
        <w:tc>
          <w:tcPr>
            <w:tcW w:w="834" w:type="pct"/>
          </w:tcPr>
          <w:p w14:paraId="51252EB6"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0.1986</w:t>
            </w:r>
          </w:p>
        </w:tc>
        <w:tc>
          <w:tcPr>
            <w:tcW w:w="832" w:type="pct"/>
          </w:tcPr>
          <w:p w14:paraId="1A7DD92E"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0.1614</w:t>
            </w:r>
          </w:p>
        </w:tc>
      </w:tr>
      <w:tr w:rsidR="004A7EEE" w:rsidRPr="004A7EEE" w14:paraId="6F1D7C2E" w14:textId="77777777" w:rsidTr="00026CB6">
        <w:trPr>
          <w:trHeight w:val="285"/>
        </w:trPr>
        <w:tc>
          <w:tcPr>
            <w:tcW w:w="833" w:type="pct"/>
            <w:noWrap/>
            <w:hideMark/>
          </w:tcPr>
          <w:p w14:paraId="7A363488"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73</w:t>
            </w:r>
          </w:p>
        </w:tc>
        <w:tc>
          <w:tcPr>
            <w:tcW w:w="834" w:type="pct"/>
            <w:noWrap/>
            <w:hideMark/>
          </w:tcPr>
          <w:p w14:paraId="0C8A4A1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0.0286</w:t>
            </w:r>
          </w:p>
        </w:tc>
        <w:tc>
          <w:tcPr>
            <w:tcW w:w="834" w:type="pct"/>
            <w:noWrap/>
            <w:hideMark/>
          </w:tcPr>
          <w:p w14:paraId="3049BBA9"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0.0196</w:t>
            </w:r>
          </w:p>
        </w:tc>
        <w:tc>
          <w:tcPr>
            <w:tcW w:w="833" w:type="pct"/>
          </w:tcPr>
          <w:p w14:paraId="17B111A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93</w:t>
            </w:r>
          </w:p>
        </w:tc>
        <w:tc>
          <w:tcPr>
            <w:tcW w:w="834" w:type="pct"/>
          </w:tcPr>
          <w:p w14:paraId="7EFFADB3"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0.2182</w:t>
            </w:r>
          </w:p>
        </w:tc>
        <w:tc>
          <w:tcPr>
            <w:tcW w:w="832" w:type="pct"/>
          </w:tcPr>
          <w:p w14:paraId="31B7B167"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0.1793</w:t>
            </w:r>
          </w:p>
        </w:tc>
      </w:tr>
      <w:tr w:rsidR="004A7EEE" w:rsidRPr="004A7EEE" w14:paraId="53395378" w14:textId="77777777" w:rsidTr="00026CB6">
        <w:trPr>
          <w:trHeight w:val="285"/>
        </w:trPr>
        <w:tc>
          <w:tcPr>
            <w:tcW w:w="833" w:type="pct"/>
            <w:noWrap/>
            <w:hideMark/>
          </w:tcPr>
          <w:p w14:paraId="5931E0A7"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74</w:t>
            </w:r>
          </w:p>
        </w:tc>
        <w:tc>
          <w:tcPr>
            <w:tcW w:w="834" w:type="pct"/>
            <w:noWrap/>
            <w:hideMark/>
          </w:tcPr>
          <w:p w14:paraId="69844EE4"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0.0314</w:t>
            </w:r>
          </w:p>
        </w:tc>
        <w:tc>
          <w:tcPr>
            <w:tcW w:w="834" w:type="pct"/>
            <w:noWrap/>
            <w:hideMark/>
          </w:tcPr>
          <w:p w14:paraId="13D37412"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0.0217</w:t>
            </w:r>
          </w:p>
        </w:tc>
        <w:tc>
          <w:tcPr>
            <w:tcW w:w="833" w:type="pct"/>
          </w:tcPr>
          <w:p w14:paraId="321897F4"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94</w:t>
            </w:r>
          </w:p>
        </w:tc>
        <w:tc>
          <w:tcPr>
            <w:tcW w:w="834" w:type="pct"/>
          </w:tcPr>
          <w:p w14:paraId="748A3511"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0.2388</w:t>
            </w:r>
          </w:p>
        </w:tc>
        <w:tc>
          <w:tcPr>
            <w:tcW w:w="832" w:type="pct"/>
          </w:tcPr>
          <w:p w14:paraId="7522CDAD"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0.1985</w:t>
            </w:r>
          </w:p>
        </w:tc>
      </w:tr>
      <w:tr w:rsidR="004A7EEE" w:rsidRPr="004A7EEE" w14:paraId="4388CAB2" w14:textId="77777777" w:rsidTr="00026CB6">
        <w:trPr>
          <w:trHeight w:val="285"/>
        </w:trPr>
        <w:tc>
          <w:tcPr>
            <w:tcW w:w="833" w:type="pct"/>
            <w:noWrap/>
            <w:hideMark/>
          </w:tcPr>
          <w:p w14:paraId="5943F28B"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75</w:t>
            </w:r>
          </w:p>
        </w:tc>
        <w:tc>
          <w:tcPr>
            <w:tcW w:w="834" w:type="pct"/>
            <w:noWrap/>
            <w:hideMark/>
          </w:tcPr>
          <w:p w14:paraId="1EBC9112"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0.0343</w:t>
            </w:r>
          </w:p>
        </w:tc>
        <w:tc>
          <w:tcPr>
            <w:tcW w:w="834" w:type="pct"/>
            <w:noWrap/>
            <w:hideMark/>
          </w:tcPr>
          <w:p w14:paraId="43161975"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0.0239</w:t>
            </w:r>
          </w:p>
        </w:tc>
        <w:tc>
          <w:tcPr>
            <w:tcW w:w="833" w:type="pct"/>
          </w:tcPr>
          <w:p w14:paraId="41DB8701"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95</w:t>
            </w:r>
          </w:p>
        </w:tc>
        <w:tc>
          <w:tcPr>
            <w:tcW w:w="834" w:type="pct"/>
          </w:tcPr>
          <w:p w14:paraId="1DD7019D"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0.2602</w:t>
            </w:r>
          </w:p>
        </w:tc>
        <w:tc>
          <w:tcPr>
            <w:tcW w:w="832" w:type="pct"/>
          </w:tcPr>
          <w:p w14:paraId="5C65AC1D"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0.2188</w:t>
            </w:r>
          </w:p>
        </w:tc>
      </w:tr>
      <w:tr w:rsidR="004A7EEE" w:rsidRPr="004A7EEE" w14:paraId="7DBC4794" w14:textId="77777777" w:rsidTr="00026CB6">
        <w:trPr>
          <w:trHeight w:val="285"/>
        </w:trPr>
        <w:tc>
          <w:tcPr>
            <w:tcW w:w="833" w:type="pct"/>
            <w:noWrap/>
            <w:hideMark/>
          </w:tcPr>
          <w:p w14:paraId="71D4F9A9"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76</w:t>
            </w:r>
          </w:p>
        </w:tc>
        <w:tc>
          <w:tcPr>
            <w:tcW w:w="834" w:type="pct"/>
            <w:noWrap/>
            <w:hideMark/>
          </w:tcPr>
          <w:p w14:paraId="127AB0E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0.0380</w:t>
            </w:r>
          </w:p>
        </w:tc>
        <w:tc>
          <w:tcPr>
            <w:tcW w:w="834" w:type="pct"/>
            <w:noWrap/>
            <w:hideMark/>
          </w:tcPr>
          <w:p w14:paraId="07E21033"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0.0266</w:t>
            </w:r>
          </w:p>
        </w:tc>
        <w:tc>
          <w:tcPr>
            <w:tcW w:w="833" w:type="pct"/>
          </w:tcPr>
          <w:p w14:paraId="06942C6D"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96</w:t>
            </w:r>
          </w:p>
        </w:tc>
        <w:tc>
          <w:tcPr>
            <w:tcW w:w="834" w:type="pct"/>
          </w:tcPr>
          <w:p w14:paraId="7D791867"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0.2822</w:t>
            </w:r>
          </w:p>
        </w:tc>
        <w:tc>
          <w:tcPr>
            <w:tcW w:w="832" w:type="pct"/>
          </w:tcPr>
          <w:p w14:paraId="29AA1A36"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0.2401</w:t>
            </w:r>
          </w:p>
        </w:tc>
      </w:tr>
      <w:tr w:rsidR="004A7EEE" w:rsidRPr="004A7EEE" w14:paraId="429AAF6C" w14:textId="77777777" w:rsidTr="00026CB6">
        <w:trPr>
          <w:trHeight w:val="285"/>
        </w:trPr>
        <w:tc>
          <w:tcPr>
            <w:tcW w:w="833" w:type="pct"/>
            <w:noWrap/>
            <w:hideMark/>
          </w:tcPr>
          <w:p w14:paraId="3B130149"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77</w:t>
            </w:r>
          </w:p>
        </w:tc>
        <w:tc>
          <w:tcPr>
            <w:tcW w:w="834" w:type="pct"/>
            <w:noWrap/>
            <w:hideMark/>
          </w:tcPr>
          <w:p w14:paraId="6325258F"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0.0419</w:t>
            </w:r>
          </w:p>
        </w:tc>
        <w:tc>
          <w:tcPr>
            <w:tcW w:w="834" w:type="pct"/>
            <w:noWrap/>
            <w:hideMark/>
          </w:tcPr>
          <w:p w14:paraId="231EC933"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0.0295</w:t>
            </w:r>
          </w:p>
        </w:tc>
        <w:tc>
          <w:tcPr>
            <w:tcW w:w="833" w:type="pct"/>
          </w:tcPr>
          <w:p w14:paraId="6F1972BB"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97</w:t>
            </w:r>
          </w:p>
        </w:tc>
        <w:tc>
          <w:tcPr>
            <w:tcW w:w="834" w:type="pct"/>
          </w:tcPr>
          <w:p w14:paraId="3E535B88"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0.3047</w:t>
            </w:r>
          </w:p>
        </w:tc>
        <w:tc>
          <w:tcPr>
            <w:tcW w:w="832" w:type="pct"/>
          </w:tcPr>
          <w:p w14:paraId="1EEB43F4"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0.2622</w:t>
            </w:r>
          </w:p>
        </w:tc>
      </w:tr>
      <w:tr w:rsidR="004A7EEE" w:rsidRPr="004A7EEE" w14:paraId="591816E6" w14:textId="77777777" w:rsidTr="00026CB6">
        <w:trPr>
          <w:trHeight w:val="285"/>
        </w:trPr>
        <w:tc>
          <w:tcPr>
            <w:tcW w:w="833" w:type="pct"/>
            <w:noWrap/>
            <w:hideMark/>
          </w:tcPr>
          <w:p w14:paraId="43489C86"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78</w:t>
            </w:r>
          </w:p>
        </w:tc>
        <w:tc>
          <w:tcPr>
            <w:tcW w:w="834" w:type="pct"/>
            <w:noWrap/>
            <w:hideMark/>
          </w:tcPr>
          <w:p w14:paraId="53A995C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0.0459</w:t>
            </w:r>
          </w:p>
        </w:tc>
        <w:tc>
          <w:tcPr>
            <w:tcW w:w="834" w:type="pct"/>
            <w:noWrap/>
            <w:hideMark/>
          </w:tcPr>
          <w:p w14:paraId="2BE49A23"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0.0329</w:t>
            </w:r>
          </w:p>
        </w:tc>
        <w:tc>
          <w:tcPr>
            <w:tcW w:w="833" w:type="pct"/>
          </w:tcPr>
          <w:p w14:paraId="7BFA012F"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98</w:t>
            </w:r>
          </w:p>
        </w:tc>
        <w:tc>
          <w:tcPr>
            <w:tcW w:w="834" w:type="pct"/>
          </w:tcPr>
          <w:p w14:paraId="410C6B6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0.3275</w:t>
            </w:r>
          </w:p>
        </w:tc>
        <w:tc>
          <w:tcPr>
            <w:tcW w:w="832" w:type="pct"/>
          </w:tcPr>
          <w:p w14:paraId="1481F81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0.2851</w:t>
            </w:r>
          </w:p>
        </w:tc>
      </w:tr>
      <w:tr w:rsidR="004A7EEE" w:rsidRPr="004A7EEE" w14:paraId="4A88A552" w14:textId="77777777" w:rsidTr="00026CB6">
        <w:trPr>
          <w:trHeight w:val="285"/>
        </w:trPr>
        <w:tc>
          <w:tcPr>
            <w:tcW w:w="833" w:type="pct"/>
            <w:noWrap/>
            <w:hideMark/>
          </w:tcPr>
          <w:p w14:paraId="0C334F66"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79</w:t>
            </w:r>
          </w:p>
        </w:tc>
        <w:tc>
          <w:tcPr>
            <w:tcW w:w="834" w:type="pct"/>
            <w:noWrap/>
            <w:hideMark/>
          </w:tcPr>
          <w:p w14:paraId="2779A75D"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0.0506</w:t>
            </w:r>
          </w:p>
        </w:tc>
        <w:tc>
          <w:tcPr>
            <w:tcW w:w="834" w:type="pct"/>
            <w:noWrap/>
            <w:hideMark/>
          </w:tcPr>
          <w:p w14:paraId="0116742E"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0.0365</w:t>
            </w:r>
          </w:p>
        </w:tc>
        <w:tc>
          <w:tcPr>
            <w:tcW w:w="833" w:type="pct"/>
          </w:tcPr>
          <w:p w14:paraId="5573B092"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99</w:t>
            </w:r>
          </w:p>
        </w:tc>
        <w:tc>
          <w:tcPr>
            <w:tcW w:w="834" w:type="pct"/>
          </w:tcPr>
          <w:p w14:paraId="5249C328"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0.3503</w:t>
            </w:r>
          </w:p>
        </w:tc>
        <w:tc>
          <w:tcPr>
            <w:tcW w:w="832" w:type="pct"/>
          </w:tcPr>
          <w:p w14:paraId="72D0ACF8"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0.3084</w:t>
            </w:r>
          </w:p>
        </w:tc>
      </w:tr>
      <w:tr w:rsidR="004A7EEE" w:rsidRPr="004A7EEE" w14:paraId="2816ACB0" w14:textId="77777777" w:rsidTr="00026CB6">
        <w:trPr>
          <w:trHeight w:val="285"/>
        </w:trPr>
        <w:tc>
          <w:tcPr>
            <w:tcW w:w="833" w:type="pct"/>
            <w:noWrap/>
          </w:tcPr>
          <w:p w14:paraId="773B251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p>
        </w:tc>
        <w:tc>
          <w:tcPr>
            <w:tcW w:w="834" w:type="pct"/>
            <w:noWrap/>
          </w:tcPr>
          <w:p w14:paraId="330B99B6"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p>
        </w:tc>
        <w:tc>
          <w:tcPr>
            <w:tcW w:w="834" w:type="pct"/>
            <w:noWrap/>
          </w:tcPr>
          <w:p w14:paraId="5F149C61"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p>
        </w:tc>
        <w:tc>
          <w:tcPr>
            <w:tcW w:w="833" w:type="pct"/>
          </w:tcPr>
          <w:p w14:paraId="34C01718"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100</w:t>
            </w:r>
          </w:p>
        </w:tc>
        <w:tc>
          <w:tcPr>
            <w:tcW w:w="834" w:type="pct"/>
          </w:tcPr>
          <w:p w14:paraId="4842D619"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1.0000</w:t>
            </w:r>
          </w:p>
        </w:tc>
        <w:tc>
          <w:tcPr>
            <w:tcW w:w="832" w:type="pct"/>
          </w:tcPr>
          <w:p w14:paraId="471C69E1"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1.0000</w:t>
            </w:r>
          </w:p>
        </w:tc>
      </w:tr>
    </w:tbl>
    <w:p w14:paraId="08EBAE83" w14:textId="77777777" w:rsidR="004A7EEE" w:rsidRPr="004A7EEE" w:rsidRDefault="004A7EEE" w:rsidP="004A7EEE">
      <w:pPr>
        <w:spacing w:before="120" w:after="120" w:line="360" w:lineRule="auto"/>
        <w:rPr>
          <w:rFonts w:ascii="Arial" w:eastAsia="Arial" w:hAnsi="Arial" w:cs="Times New Roman"/>
          <w:color w:val="081627"/>
          <w:lang w:bidi="en-US"/>
        </w:rPr>
      </w:pPr>
    </w:p>
    <w:p w14:paraId="54929182" w14:textId="77777777" w:rsidR="004A7EEE" w:rsidRPr="004A7EEE" w:rsidRDefault="004A7EEE" w:rsidP="004A7EEE">
      <w:pPr>
        <w:spacing w:before="120" w:after="120" w:line="360" w:lineRule="auto"/>
        <w:rPr>
          <w:rFonts w:ascii="Arial" w:eastAsia="Arial" w:hAnsi="Arial" w:cs="Times New Roman"/>
          <w:color w:val="081627"/>
          <w:lang w:bidi="en-US"/>
        </w:rPr>
      </w:pPr>
    </w:p>
    <w:p w14:paraId="15E511BA" w14:textId="77777777" w:rsidR="004A7EEE" w:rsidRPr="004A7EEE" w:rsidRDefault="004A7EEE" w:rsidP="004A7EEE">
      <w:pPr>
        <w:keepNext/>
        <w:spacing w:before="120" w:after="60" w:line="240" w:lineRule="auto"/>
        <w:rPr>
          <w:rFonts w:ascii="Arial" w:eastAsia="Times New Roman" w:hAnsi="Arial" w:cs="Times New Roman"/>
          <w:b/>
          <w:color w:val="081627"/>
          <w:spacing w:val="10"/>
          <w:szCs w:val="18"/>
          <w:lang w:bidi="en-US"/>
        </w:rPr>
      </w:pPr>
      <w:r w:rsidRPr="004A7EEE">
        <w:rPr>
          <w:rFonts w:ascii="Arial" w:eastAsia="Times New Roman" w:hAnsi="Arial" w:cs="Times New Roman"/>
          <w:b/>
          <w:color w:val="081627"/>
          <w:spacing w:val="10"/>
          <w:szCs w:val="18"/>
          <w:lang w:bidi="en-US"/>
        </w:rPr>
        <w:lastRenderedPageBreak/>
        <w:t xml:space="preserve">Appendix 3: Model parameters with uncertainty information </w:t>
      </w:r>
    </w:p>
    <w:tbl>
      <w:tblPr>
        <w:tblStyle w:val="Plain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5245"/>
        <w:gridCol w:w="1275"/>
        <w:gridCol w:w="2829"/>
      </w:tblGrid>
      <w:tr w:rsidR="004A7EEE" w:rsidRPr="004A7EEE" w14:paraId="700FA9B2" w14:textId="77777777" w:rsidTr="00E81F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pct"/>
            <w:gridSpan w:val="2"/>
            <w:tcBorders>
              <w:bottom w:val="none" w:sz="0" w:space="0" w:color="auto"/>
            </w:tcBorders>
            <w:noWrap/>
            <w:vAlign w:val="center"/>
          </w:tcPr>
          <w:p w14:paraId="0FE5DCD2" w14:textId="77777777" w:rsidR="004A7EEE" w:rsidRPr="004A7EEE" w:rsidRDefault="004A7EEE" w:rsidP="004A7EEE">
            <w:pPr>
              <w:keepNext/>
              <w:tabs>
                <w:tab w:val="left" w:pos="268"/>
              </w:tabs>
              <w:spacing w:before="60" w:after="60"/>
              <w:jc w:val="center"/>
              <w:rPr>
                <w:rFonts w:ascii="Arial" w:eastAsia="Times New Roman" w:hAnsi="Arial" w:cs="Arial"/>
                <w:sz w:val="20"/>
                <w:szCs w:val="20"/>
                <w:lang w:val="en-GB" w:bidi="en-US"/>
              </w:rPr>
            </w:pPr>
            <w:r w:rsidRPr="004A7EEE">
              <w:rPr>
                <w:rFonts w:ascii="Arial" w:eastAsia="Times New Roman" w:hAnsi="Arial" w:cs="Arial"/>
                <w:sz w:val="20"/>
                <w:szCs w:val="20"/>
                <w:lang w:val="en-GB" w:bidi="en-US"/>
              </w:rPr>
              <w:t>Parameter</w:t>
            </w:r>
          </w:p>
        </w:tc>
        <w:tc>
          <w:tcPr>
            <w:tcW w:w="662" w:type="pct"/>
            <w:tcBorders>
              <w:bottom w:val="none" w:sz="0" w:space="0" w:color="auto"/>
            </w:tcBorders>
            <w:vAlign w:val="center"/>
          </w:tcPr>
          <w:p w14:paraId="00552C60" w14:textId="77777777" w:rsidR="004A7EEE" w:rsidRPr="004A7EEE" w:rsidRDefault="004A7EEE" w:rsidP="004A7EEE">
            <w:pPr>
              <w:keepNext/>
              <w:tabs>
                <w:tab w:val="left" w:pos="268"/>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bidi="en-US"/>
              </w:rPr>
            </w:pPr>
            <w:r w:rsidRPr="004A7EEE">
              <w:rPr>
                <w:rFonts w:ascii="Arial" w:eastAsia="Times New Roman" w:hAnsi="Arial" w:cs="Arial"/>
                <w:sz w:val="20"/>
                <w:szCs w:val="20"/>
                <w:lang w:val="en-GB" w:bidi="en-US"/>
              </w:rPr>
              <w:t>Mean</w:t>
            </w:r>
          </w:p>
        </w:tc>
        <w:tc>
          <w:tcPr>
            <w:tcW w:w="1469" w:type="pct"/>
            <w:tcBorders>
              <w:bottom w:val="none" w:sz="0" w:space="0" w:color="auto"/>
            </w:tcBorders>
            <w:vAlign w:val="center"/>
          </w:tcPr>
          <w:p w14:paraId="5E94084F" w14:textId="77777777" w:rsidR="004A7EEE" w:rsidRPr="004A7EEE" w:rsidRDefault="004A7EEE" w:rsidP="004A7EEE">
            <w:pPr>
              <w:keepNext/>
              <w:tabs>
                <w:tab w:val="left" w:pos="268"/>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bidi="en-US"/>
              </w:rPr>
            </w:pPr>
            <w:r w:rsidRPr="004A7EEE">
              <w:rPr>
                <w:rFonts w:ascii="Arial" w:eastAsia="Times New Roman" w:hAnsi="Arial" w:cs="Arial"/>
                <w:sz w:val="20"/>
                <w:szCs w:val="20"/>
                <w:lang w:val="en-GB" w:bidi="en-US"/>
              </w:rPr>
              <w:t>Distribution (95% confidence interval)</w:t>
            </w:r>
          </w:p>
        </w:tc>
      </w:tr>
      <w:tr w:rsidR="004A7EEE" w:rsidRPr="004A7EEE" w14:paraId="7DCBD36E"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bottom w:val="none" w:sz="0" w:space="0" w:color="auto"/>
            </w:tcBorders>
            <w:noWrap/>
          </w:tcPr>
          <w:p w14:paraId="23EE0894" w14:textId="77777777" w:rsidR="004A7EEE" w:rsidRPr="004A7EEE" w:rsidRDefault="004A7EEE" w:rsidP="004A7EEE">
            <w:pPr>
              <w:keepNext/>
              <w:tabs>
                <w:tab w:val="left" w:pos="268"/>
              </w:tabs>
              <w:spacing w:before="60" w:after="60"/>
              <w:rPr>
                <w:rFonts w:ascii="Arial" w:eastAsia="Times New Roman" w:hAnsi="Arial" w:cs="Arial"/>
                <w:sz w:val="20"/>
                <w:szCs w:val="20"/>
                <w:lang w:val="en-GB" w:bidi="en-US"/>
              </w:rPr>
            </w:pPr>
            <w:r w:rsidRPr="004A7EEE">
              <w:rPr>
                <w:rFonts w:ascii="Arial" w:eastAsia="Times New Roman" w:hAnsi="Arial" w:cs="Arial"/>
                <w:sz w:val="20"/>
                <w:szCs w:val="20"/>
                <w:lang w:val="en-GB" w:bidi="en-US"/>
              </w:rPr>
              <w:t>Clinical parameters</w:t>
            </w:r>
          </w:p>
        </w:tc>
      </w:tr>
      <w:tr w:rsidR="004A7EEE" w:rsidRPr="004A7EEE" w14:paraId="7F1295D4"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0F7B0F9C" w14:textId="77777777" w:rsidR="004A7EEE" w:rsidRPr="004A7EEE" w:rsidRDefault="004A7EEE" w:rsidP="004A7EEE">
            <w:pPr>
              <w:keepNext/>
              <w:tabs>
                <w:tab w:val="left" w:pos="268"/>
              </w:tabs>
              <w:spacing w:before="60" w:after="60"/>
              <w:rPr>
                <w:rFonts w:ascii="Arial" w:eastAsia="Times New Roman" w:hAnsi="Arial" w:cs="Arial"/>
                <w:sz w:val="20"/>
                <w:szCs w:val="20"/>
                <w:lang w:val="en-GB" w:bidi="en-US"/>
              </w:rPr>
            </w:pPr>
            <w:r w:rsidRPr="004A7EEE">
              <w:rPr>
                <w:rFonts w:ascii="Arial" w:eastAsia="Times New Roman" w:hAnsi="Arial" w:cs="Arial"/>
                <w:sz w:val="20"/>
                <w:szCs w:val="20"/>
                <w:lang w:val="en-GB" w:bidi="en-US"/>
              </w:rPr>
              <w:t>I.  Susceptibility</w:t>
            </w:r>
          </w:p>
        </w:tc>
      </w:tr>
      <w:tr w:rsidR="004A7EEE" w:rsidRPr="004A7EEE" w14:paraId="137AD555"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070AF522"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vAlign w:val="center"/>
          </w:tcPr>
          <w:p w14:paraId="4A6ACA6E"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susceptibility coverage</w:t>
            </w:r>
          </w:p>
        </w:tc>
        <w:tc>
          <w:tcPr>
            <w:tcW w:w="662" w:type="pct"/>
            <w:vAlign w:val="center"/>
          </w:tcPr>
          <w:p w14:paraId="7DE4B6D3"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93.8%</w:t>
            </w:r>
          </w:p>
        </w:tc>
        <w:tc>
          <w:tcPr>
            <w:tcW w:w="1469" w:type="pct"/>
            <w:vAlign w:val="center"/>
          </w:tcPr>
          <w:p w14:paraId="4A46A6D3"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(66% to 100%)</w:t>
            </w:r>
          </w:p>
        </w:tc>
      </w:tr>
      <w:tr w:rsidR="004A7EEE" w:rsidRPr="004A7EEE" w14:paraId="7685FF20"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6A56C7D6"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vAlign w:val="center"/>
          </w:tcPr>
          <w:p w14:paraId="1E3D5228"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susceptibility coverage</w:t>
            </w:r>
          </w:p>
        </w:tc>
        <w:tc>
          <w:tcPr>
            <w:tcW w:w="662" w:type="pct"/>
            <w:vAlign w:val="center"/>
          </w:tcPr>
          <w:p w14:paraId="31859436"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86.0%</w:t>
            </w:r>
          </w:p>
        </w:tc>
        <w:tc>
          <w:tcPr>
            <w:tcW w:w="1469" w:type="pct"/>
            <w:vAlign w:val="center"/>
          </w:tcPr>
          <w:p w14:paraId="6C93A0A0"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(65.4% to 97.9%)</w:t>
            </w:r>
          </w:p>
        </w:tc>
      </w:tr>
      <w:tr w:rsidR="004A7EEE" w:rsidRPr="004A7EEE" w14:paraId="51631697"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bottom w:val="none" w:sz="0" w:space="0" w:color="auto"/>
            </w:tcBorders>
            <w:noWrap/>
            <w:hideMark/>
          </w:tcPr>
          <w:p w14:paraId="0D996923"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r w:rsidRPr="004A7EEE">
              <w:rPr>
                <w:rFonts w:ascii="Arial" w:eastAsia="Arial" w:hAnsi="Arial" w:cs="Arial"/>
                <w:color w:val="081627"/>
                <w:sz w:val="20"/>
                <w:szCs w:val="20"/>
                <w:lang w:val="en-GB"/>
              </w:rPr>
              <w:t>II. Clinical efficacy</w:t>
            </w:r>
          </w:p>
        </w:tc>
      </w:tr>
      <w:tr w:rsidR="004A7EEE" w:rsidRPr="004A7EEE" w14:paraId="6C3C521D" w14:textId="77777777" w:rsidTr="00E81F99">
        <w:trPr>
          <w:trHeight w:val="238"/>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hideMark/>
          </w:tcPr>
          <w:p w14:paraId="61668581"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hideMark/>
          </w:tcPr>
          <w:p w14:paraId="351CA039"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clinical response at Day 28 (MITT)</w:t>
            </w:r>
          </w:p>
        </w:tc>
        <w:tc>
          <w:tcPr>
            <w:tcW w:w="662" w:type="pct"/>
            <w:noWrap/>
            <w:vAlign w:val="center"/>
            <w:hideMark/>
          </w:tcPr>
          <w:p w14:paraId="263B75F0"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51.9%</w:t>
            </w:r>
          </w:p>
        </w:tc>
        <w:tc>
          <w:tcPr>
            <w:tcW w:w="1469" w:type="pct"/>
            <w:noWrap/>
            <w:vAlign w:val="center"/>
          </w:tcPr>
          <w:p w14:paraId="522839C0"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(45.9% to 57.9%)</w:t>
            </w:r>
          </w:p>
        </w:tc>
      </w:tr>
      <w:tr w:rsidR="004A7EEE" w:rsidRPr="004A7EEE" w14:paraId="6314D929"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61271ACB"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343BCC1E"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clinical response at Day 28 (MITT)</w:t>
            </w:r>
          </w:p>
        </w:tc>
        <w:tc>
          <w:tcPr>
            <w:tcW w:w="662" w:type="pct"/>
            <w:noWrap/>
            <w:vAlign w:val="center"/>
          </w:tcPr>
          <w:p w14:paraId="751263BA"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50.6%</w:t>
            </w:r>
          </w:p>
        </w:tc>
        <w:tc>
          <w:tcPr>
            <w:tcW w:w="1469" w:type="pct"/>
            <w:vAlign w:val="center"/>
          </w:tcPr>
          <w:p w14:paraId="5D88C5B0"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(44.6% to 56.5%)</w:t>
            </w:r>
          </w:p>
        </w:tc>
      </w:tr>
      <w:tr w:rsidR="004A7EEE" w:rsidRPr="004A7EEE" w14:paraId="037A015A"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hideMark/>
          </w:tcPr>
          <w:p w14:paraId="31DBED23"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hideMark/>
          </w:tcPr>
          <w:p w14:paraId="5D251920"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all-cause mortality through Day 28 (MITT)</w:t>
            </w:r>
          </w:p>
        </w:tc>
        <w:tc>
          <w:tcPr>
            <w:tcW w:w="662" w:type="pct"/>
            <w:noWrap/>
            <w:vAlign w:val="center"/>
            <w:hideMark/>
          </w:tcPr>
          <w:p w14:paraId="7341D06A"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15.9%</w:t>
            </w:r>
          </w:p>
        </w:tc>
        <w:tc>
          <w:tcPr>
            <w:tcW w:w="1469" w:type="pct"/>
            <w:vAlign w:val="center"/>
          </w:tcPr>
          <w:p w14:paraId="3EE57303"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(11.8% to 20.5%)</w:t>
            </w:r>
          </w:p>
        </w:tc>
      </w:tr>
      <w:tr w:rsidR="004A7EEE" w:rsidRPr="004A7EEE" w14:paraId="00FCC970"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7A928334"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61C053DB"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all-cause mortality through Day 28 (MITT)</w:t>
            </w:r>
          </w:p>
        </w:tc>
        <w:tc>
          <w:tcPr>
            <w:tcW w:w="662" w:type="pct"/>
            <w:noWrap/>
            <w:vAlign w:val="center"/>
          </w:tcPr>
          <w:p w14:paraId="2A5DDD0A"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21.3%</w:t>
            </w:r>
          </w:p>
        </w:tc>
        <w:tc>
          <w:tcPr>
            <w:tcW w:w="1469" w:type="pct"/>
            <w:vAlign w:val="center"/>
          </w:tcPr>
          <w:p w14:paraId="6DF5925C"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(16.7% to 26.5%)</w:t>
            </w:r>
          </w:p>
        </w:tc>
      </w:tr>
      <w:tr w:rsidR="004A7EEE" w:rsidRPr="004A7EEE" w14:paraId="503E5F89"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hideMark/>
          </w:tcPr>
          <w:p w14:paraId="7CC88475"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hideMark/>
          </w:tcPr>
          <w:p w14:paraId="338E743E"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Subsequent CMS+IMI response rate</w:t>
            </w:r>
          </w:p>
        </w:tc>
        <w:tc>
          <w:tcPr>
            <w:tcW w:w="662" w:type="pct"/>
            <w:noWrap/>
            <w:vAlign w:val="center"/>
            <w:hideMark/>
          </w:tcPr>
          <w:p w14:paraId="7B0E3793"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40.0%</w:t>
            </w:r>
          </w:p>
        </w:tc>
        <w:tc>
          <w:tcPr>
            <w:tcW w:w="1469" w:type="pct"/>
            <w:noWrap/>
            <w:vAlign w:val="center"/>
          </w:tcPr>
          <w:p w14:paraId="6B77066C"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(13.7% to 70.1%)</w:t>
            </w:r>
          </w:p>
        </w:tc>
      </w:tr>
      <w:tr w:rsidR="004A7EEE" w:rsidRPr="004A7EEE" w14:paraId="57A6DE71"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hideMark/>
          </w:tcPr>
          <w:p w14:paraId="03E3DFD1"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hideMark/>
          </w:tcPr>
          <w:p w14:paraId="580E0E9F"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Subsequent CMS+IMI mortality rate</w:t>
            </w:r>
          </w:p>
        </w:tc>
        <w:tc>
          <w:tcPr>
            <w:tcW w:w="662" w:type="pct"/>
            <w:noWrap/>
            <w:vAlign w:val="center"/>
            <w:hideMark/>
          </w:tcPr>
          <w:p w14:paraId="2E53BE5B"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30.0%</w:t>
            </w:r>
          </w:p>
        </w:tc>
        <w:tc>
          <w:tcPr>
            <w:tcW w:w="1469" w:type="pct"/>
            <w:noWrap/>
          </w:tcPr>
          <w:p w14:paraId="5DBA85AB"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(13.7% to 70.1%)</w:t>
            </w:r>
          </w:p>
        </w:tc>
      </w:tr>
      <w:tr w:rsidR="004A7EEE" w:rsidRPr="004A7EEE" w14:paraId="70E2766B"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37B06F6A"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06AF1199"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Response odds ratio (switch due to nonsusceptibility)</w:t>
            </w:r>
          </w:p>
        </w:tc>
        <w:tc>
          <w:tcPr>
            <w:tcW w:w="662" w:type="pct"/>
            <w:noWrap/>
            <w:vAlign w:val="center"/>
          </w:tcPr>
          <w:p w14:paraId="0542D721"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4.55</w:t>
            </w:r>
          </w:p>
        </w:tc>
        <w:tc>
          <w:tcPr>
            <w:tcW w:w="1469" w:type="pct"/>
            <w:noWrap/>
            <w:vAlign w:val="center"/>
          </w:tcPr>
          <w:p w14:paraId="7043B778"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Log-normal (1.87 to 11.10)</w:t>
            </w:r>
          </w:p>
        </w:tc>
      </w:tr>
      <w:tr w:rsidR="004A7EEE" w:rsidRPr="004A7EEE" w14:paraId="5F787045"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3AE5E294"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20321D69"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Mortality odds ratio (switch due to nonsusceptibility)</w:t>
            </w:r>
          </w:p>
        </w:tc>
        <w:tc>
          <w:tcPr>
            <w:tcW w:w="662" w:type="pct"/>
            <w:noWrap/>
            <w:vAlign w:val="center"/>
          </w:tcPr>
          <w:p w14:paraId="3D9F1039"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2.92</w:t>
            </w:r>
          </w:p>
        </w:tc>
        <w:tc>
          <w:tcPr>
            <w:tcW w:w="1469" w:type="pct"/>
            <w:noWrap/>
            <w:vAlign w:val="center"/>
          </w:tcPr>
          <w:p w14:paraId="1A3E34B3"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Log-normal (1.65 to 5.18)</w:t>
            </w:r>
          </w:p>
        </w:tc>
      </w:tr>
      <w:tr w:rsidR="004A7EEE" w:rsidRPr="004A7EEE" w14:paraId="586E42BD"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2A77FE94"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r w:rsidRPr="004A7EEE">
              <w:rPr>
                <w:rFonts w:ascii="Arial" w:eastAsia="Arial" w:hAnsi="Arial" w:cs="Arial"/>
                <w:color w:val="081627"/>
                <w:sz w:val="20"/>
                <w:szCs w:val="20"/>
                <w:lang w:val="en-GB"/>
              </w:rPr>
              <w:t>III. Hospital LOS</w:t>
            </w:r>
          </w:p>
        </w:tc>
      </w:tr>
      <w:tr w:rsidR="004A7EEE" w:rsidRPr="004A7EEE" w14:paraId="54E5BC11"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190337BC"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2B7DF06E"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proportion of time intubated</w:t>
            </w:r>
          </w:p>
        </w:tc>
        <w:tc>
          <w:tcPr>
            <w:tcW w:w="662" w:type="pct"/>
            <w:noWrap/>
            <w:vAlign w:val="center"/>
          </w:tcPr>
          <w:p w14:paraId="197D6A3B"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84.0%</w:t>
            </w:r>
          </w:p>
        </w:tc>
        <w:tc>
          <w:tcPr>
            <w:tcW w:w="1469" w:type="pct"/>
            <w:noWrap/>
            <w:vAlign w:val="center"/>
          </w:tcPr>
          <w:p w14:paraId="7B610ABC"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(64.5% to 96.5%)</w:t>
            </w:r>
          </w:p>
        </w:tc>
      </w:tr>
      <w:tr w:rsidR="004A7EEE" w:rsidRPr="004A7EEE" w14:paraId="091EAE0B"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0C6CB610"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41914E24"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proportion of time intubated</w:t>
            </w:r>
          </w:p>
        </w:tc>
        <w:tc>
          <w:tcPr>
            <w:tcW w:w="662" w:type="pct"/>
            <w:noWrap/>
            <w:vAlign w:val="center"/>
          </w:tcPr>
          <w:p w14:paraId="7E6F9C1B"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78.2%</w:t>
            </w:r>
          </w:p>
        </w:tc>
        <w:tc>
          <w:tcPr>
            <w:tcW w:w="1469" w:type="pct"/>
            <w:noWrap/>
            <w:vAlign w:val="center"/>
          </w:tcPr>
          <w:p w14:paraId="1AC4C0A1"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(61.1% to 91.3%)</w:t>
            </w:r>
          </w:p>
        </w:tc>
      </w:tr>
      <w:tr w:rsidR="004A7EEE" w:rsidRPr="004A7EEE" w14:paraId="657FB201"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79078F65"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321506C2"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average in-hospital LOS days – cured patients</w:t>
            </w:r>
          </w:p>
        </w:tc>
        <w:tc>
          <w:tcPr>
            <w:tcW w:w="662" w:type="pct"/>
            <w:noWrap/>
            <w:vAlign w:val="center"/>
          </w:tcPr>
          <w:p w14:paraId="6BB11E0F"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19.90</w:t>
            </w:r>
          </w:p>
        </w:tc>
        <w:tc>
          <w:tcPr>
            <w:tcW w:w="1469" w:type="pct"/>
            <w:noWrap/>
            <w:vAlign w:val="center"/>
          </w:tcPr>
          <w:p w14:paraId="04DB20A3"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(18.56 to 21.24)</w:t>
            </w:r>
          </w:p>
        </w:tc>
      </w:tr>
      <w:tr w:rsidR="004A7EEE" w:rsidRPr="004A7EEE" w14:paraId="0F6C8519"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6EDCB151"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238B7247"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average in-hospital LOS days – uncured patients</w:t>
            </w:r>
          </w:p>
        </w:tc>
        <w:tc>
          <w:tcPr>
            <w:tcW w:w="662" w:type="pct"/>
            <w:noWrap/>
            <w:vAlign w:val="center"/>
          </w:tcPr>
          <w:p w14:paraId="37ABDF64"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23.00</w:t>
            </w:r>
          </w:p>
        </w:tc>
        <w:tc>
          <w:tcPr>
            <w:tcW w:w="1469" w:type="pct"/>
            <w:noWrap/>
            <w:vAlign w:val="center"/>
          </w:tcPr>
          <w:p w14:paraId="57A5D1C0"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(21.43 to 24.57)</w:t>
            </w:r>
          </w:p>
        </w:tc>
      </w:tr>
      <w:tr w:rsidR="004A7EEE" w:rsidRPr="004A7EEE" w14:paraId="79C8DE26"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513ADB76"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5A020D5D"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average in-hospital LOS days – death patients</w:t>
            </w:r>
          </w:p>
        </w:tc>
        <w:tc>
          <w:tcPr>
            <w:tcW w:w="662" w:type="pct"/>
            <w:noWrap/>
            <w:vAlign w:val="center"/>
          </w:tcPr>
          <w:p w14:paraId="1BC79E46"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11.90</w:t>
            </w:r>
          </w:p>
        </w:tc>
        <w:tc>
          <w:tcPr>
            <w:tcW w:w="1469" w:type="pct"/>
            <w:noWrap/>
            <w:vAlign w:val="center"/>
          </w:tcPr>
          <w:p w14:paraId="540FB613"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(9.66 to 14.14)</w:t>
            </w:r>
          </w:p>
        </w:tc>
      </w:tr>
      <w:tr w:rsidR="004A7EEE" w:rsidRPr="004A7EEE" w14:paraId="5781D55C"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29FF638C"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459AC28F"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average ICU LOS days – cured patients</w:t>
            </w:r>
          </w:p>
        </w:tc>
        <w:tc>
          <w:tcPr>
            <w:tcW w:w="662" w:type="pct"/>
            <w:noWrap/>
            <w:vAlign w:val="center"/>
          </w:tcPr>
          <w:p w14:paraId="5D26B37A"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14.60</w:t>
            </w:r>
          </w:p>
        </w:tc>
        <w:tc>
          <w:tcPr>
            <w:tcW w:w="1469" w:type="pct"/>
            <w:noWrap/>
            <w:vAlign w:val="center"/>
          </w:tcPr>
          <w:p w14:paraId="30C02CC2"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(12.73 to 16.47)</w:t>
            </w:r>
          </w:p>
        </w:tc>
      </w:tr>
      <w:tr w:rsidR="004A7EEE" w:rsidRPr="004A7EEE" w14:paraId="323964AA"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2AE2FDD2"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61301B22"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average ICU LOS days – uncured patients</w:t>
            </w:r>
          </w:p>
        </w:tc>
        <w:tc>
          <w:tcPr>
            <w:tcW w:w="662" w:type="pct"/>
            <w:noWrap/>
            <w:vAlign w:val="center"/>
          </w:tcPr>
          <w:p w14:paraId="0D8DC9E3"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19.20</w:t>
            </w:r>
          </w:p>
        </w:tc>
        <w:tc>
          <w:tcPr>
            <w:tcW w:w="1469" w:type="pct"/>
            <w:noWrap/>
            <w:vAlign w:val="center"/>
          </w:tcPr>
          <w:p w14:paraId="1386B779"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(16.91 to 21.49)</w:t>
            </w:r>
          </w:p>
        </w:tc>
      </w:tr>
      <w:tr w:rsidR="004A7EEE" w:rsidRPr="004A7EEE" w14:paraId="29C98082"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5ED7A114"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114B5582"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average ICU LOS days – death patients</w:t>
            </w:r>
          </w:p>
        </w:tc>
        <w:tc>
          <w:tcPr>
            <w:tcW w:w="662" w:type="pct"/>
            <w:noWrap/>
            <w:vAlign w:val="center"/>
          </w:tcPr>
          <w:p w14:paraId="121C1C85"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11.70</w:t>
            </w:r>
          </w:p>
        </w:tc>
        <w:tc>
          <w:tcPr>
            <w:tcW w:w="1469" w:type="pct"/>
            <w:noWrap/>
            <w:vAlign w:val="center"/>
          </w:tcPr>
          <w:p w14:paraId="5B7EC7F2"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(9.10 to 14.30)</w:t>
            </w:r>
          </w:p>
        </w:tc>
      </w:tr>
      <w:tr w:rsidR="004A7EEE" w:rsidRPr="004A7EEE" w14:paraId="508E8505"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3253BCCA"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517E68C0"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average in-hospital LOS days – cured patients</w:t>
            </w:r>
          </w:p>
        </w:tc>
        <w:tc>
          <w:tcPr>
            <w:tcW w:w="662" w:type="pct"/>
            <w:noWrap/>
            <w:vAlign w:val="center"/>
          </w:tcPr>
          <w:p w14:paraId="79855FA5"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19.80</w:t>
            </w:r>
          </w:p>
        </w:tc>
        <w:tc>
          <w:tcPr>
            <w:tcW w:w="1469" w:type="pct"/>
            <w:noWrap/>
            <w:vAlign w:val="center"/>
          </w:tcPr>
          <w:p w14:paraId="0CB32B3D"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(18.40 to 21.20)</w:t>
            </w:r>
          </w:p>
        </w:tc>
      </w:tr>
      <w:tr w:rsidR="004A7EEE" w:rsidRPr="004A7EEE" w14:paraId="62DBABF1"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0692040F"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bottom w:val="single" w:sz="4" w:space="0" w:color="auto"/>
            </w:tcBorders>
            <w:noWrap/>
            <w:vAlign w:val="center"/>
          </w:tcPr>
          <w:p w14:paraId="2AB274DD"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average in-hospital LOS days – uncured patients</w:t>
            </w:r>
          </w:p>
        </w:tc>
        <w:tc>
          <w:tcPr>
            <w:tcW w:w="662" w:type="pct"/>
            <w:tcBorders>
              <w:bottom w:val="single" w:sz="4" w:space="0" w:color="auto"/>
            </w:tcBorders>
            <w:noWrap/>
            <w:vAlign w:val="center"/>
          </w:tcPr>
          <w:p w14:paraId="1B3A0BB8"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24.60</w:t>
            </w:r>
          </w:p>
        </w:tc>
        <w:tc>
          <w:tcPr>
            <w:tcW w:w="1469" w:type="pct"/>
            <w:tcBorders>
              <w:bottom w:val="single" w:sz="4" w:space="0" w:color="auto"/>
            </w:tcBorders>
            <w:noWrap/>
            <w:vAlign w:val="center"/>
          </w:tcPr>
          <w:p w14:paraId="1CE0459F"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(22.68 to 26.52)</w:t>
            </w:r>
          </w:p>
        </w:tc>
      </w:tr>
      <w:tr w:rsidR="004A7EEE" w:rsidRPr="004A7EEE" w14:paraId="7DF96DDE"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20602BD2"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top w:val="single" w:sz="4" w:space="0" w:color="auto"/>
              <w:left w:val="nil"/>
              <w:bottom w:val="single" w:sz="4" w:space="0" w:color="auto"/>
            </w:tcBorders>
            <w:noWrap/>
            <w:vAlign w:val="center"/>
          </w:tcPr>
          <w:p w14:paraId="247DE704"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average in-hospital LOS days – death patients</w:t>
            </w:r>
          </w:p>
        </w:tc>
        <w:tc>
          <w:tcPr>
            <w:tcW w:w="662" w:type="pct"/>
            <w:tcBorders>
              <w:top w:val="single" w:sz="4" w:space="0" w:color="auto"/>
              <w:bottom w:val="single" w:sz="4" w:space="0" w:color="auto"/>
            </w:tcBorders>
            <w:noWrap/>
            <w:vAlign w:val="center"/>
          </w:tcPr>
          <w:p w14:paraId="0D14421F"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12.10</w:t>
            </w:r>
          </w:p>
        </w:tc>
        <w:tc>
          <w:tcPr>
            <w:tcW w:w="1469" w:type="pct"/>
            <w:tcBorders>
              <w:top w:val="single" w:sz="4" w:space="0" w:color="auto"/>
              <w:bottom w:val="single" w:sz="4" w:space="0" w:color="auto"/>
            </w:tcBorders>
            <w:noWrap/>
            <w:vAlign w:val="center"/>
          </w:tcPr>
          <w:p w14:paraId="5D39658B"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(10.36 to 13.84)</w:t>
            </w:r>
          </w:p>
        </w:tc>
      </w:tr>
      <w:tr w:rsidR="004A7EEE" w:rsidRPr="004A7EEE" w14:paraId="1F2F1379"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64F8DED3"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top w:val="single" w:sz="4" w:space="0" w:color="auto"/>
              <w:left w:val="nil"/>
            </w:tcBorders>
            <w:noWrap/>
            <w:vAlign w:val="center"/>
          </w:tcPr>
          <w:p w14:paraId="3A892430"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average ICU LOS days – cured patients</w:t>
            </w:r>
          </w:p>
        </w:tc>
        <w:tc>
          <w:tcPr>
            <w:tcW w:w="662" w:type="pct"/>
            <w:tcBorders>
              <w:top w:val="single" w:sz="4" w:space="0" w:color="auto"/>
            </w:tcBorders>
            <w:noWrap/>
            <w:vAlign w:val="center"/>
          </w:tcPr>
          <w:p w14:paraId="3A3E0F9E"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13.70</w:t>
            </w:r>
          </w:p>
        </w:tc>
        <w:tc>
          <w:tcPr>
            <w:tcW w:w="1469" w:type="pct"/>
            <w:tcBorders>
              <w:top w:val="single" w:sz="4" w:space="0" w:color="auto"/>
            </w:tcBorders>
            <w:noWrap/>
            <w:vAlign w:val="center"/>
          </w:tcPr>
          <w:p w14:paraId="79E9F37E"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(12.04 to 15.36)</w:t>
            </w:r>
          </w:p>
        </w:tc>
      </w:tr>
      <w:tr w:rsidR="004A7EEE" w:rsidRPr="004A7EEE" w14:paraId="63F32DF4"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6C0AD59B"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76B1948A"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average ICU LOS days – uncured patients</w:t>
            </w:r>
          </w:p>
        </w:tc>
        <w:tc>
          <w:tcPr>
            <w:tcW w:w="662" w:type="pct"/>
            <w:noWrap/>
            <w:vAlign w:val="center"/>
          </w:tcPr>
          <w:p w14:paraId="159C6E71"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22.50</w:t>
            </w:r>
          </w:p>
        </w:tc>
        <w:tc>
          <w:tcPr>
            <w:tcW w:w="1469" w:type="pct"/>
            <w:noWrap/>
            <w:vAlign w:val="center"/>
          </w:tcPr>
          <w:p w14:paraId="2D45A5B7"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(19.3 to 25.7)</w:t>
            </w:r>
          </w:p>
        </w:tc>
      </w:tr>
      <w:tr w:rsidR="004A7EEE" w:rsidRPr="004A7EEE" w14:paraId="176630EA"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0336C6A1"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676ED1EC"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average ICU LOS days – death patients</w:t>
            </w:r>
          </w:p>
        </w:tc>
        <w:tc>
          <w:tcPr>
            <w:tcW w:w="662" w:type="pct"/>
            <w:noWrap/>
            <w:vAlign w:val="center"/>
          </w:tcPr>
          <w:p w14:paraId="217836DC"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11.90</w:t>
            </w:r>
          </w:p>
        </w:tc>
        <w:tc>
          <w:tcPr>
            <w:tcW w:w="1469" w:type="pct"/>
            <w:noWrap/>
            <w:vAlign w:val="center"/>
          </w:tcPr>
          <w:p w14:paraId="1BDD6486"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(9.98 to 13.82)</w:t>
            </w:r>
          </w:p>
        </w:tc>
      </w:tr>
      <w:tr w:rsidR="004A7EEE" w:rsidRPr="004A7EEE" w14:paraId="2567CB1F"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466F3861"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33D2C3FF"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Additional LOS days due to nonsusceptibility</w:t>
            </w:r>
          </w:p>
        </w:tc>
        <w:tc>
          <w:tcPr>
            <w:tcW w:w="662" w:type="pct"/>
            <w:noWrap/>
            <w:vAlign w:val="center"/>
          </w:tcPr>
          <w:p w14:paraId="37B5D08C"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6.50</w:t>
            </w:r>
          </w:p>
        </w:tc>
        <w:tc>
          <w:tcPr>
            <w:tcW w:w="1469" w:type="pct"/>
            <w:noWrap/>
            <w:vAlign w:val="center"/>
          </w:tcPr>
          <w:p w14:paraId="550E6C91"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(5.23 to 7.77)</w:t>
            </w:r>
          </w:p>
        </w:tc>
      </w:tr>
      <w:tr w:rsidR="004A7EEE" w:rsidRPr="004A7EEE" w14:paraId="7BF6F062"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19E832F0"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r w:rsidRPr="004A7EEE">
              <w:rPr>
                <w:rFonts w:ascii="Arial" w:eastAsia="Arial" w:hAnsi="Arial" w:cs="Arial"/>
                <w:color w:val="081627"/>
                <w:sz w:val="20"/>
                <w:szCs w:val="20"/>
                <w:lang w:val="en-GB"/>
              </w:rPr>
              <w:t>IV. Adverse events</w:t>
            </w:r>
          </w:p>
        </w:tc>
      </w:tr>
      <w:tr w:rsidR="004A7EEE" w:rsidRPr="004A7EEE" w14:paraId="3E6461C5"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hideMark/>
          </w:tcPr>
          <w:p w14:paraId="4B70DF94"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hideMark/>
          </w:tcPr>
          <w:p w14:paraId="443E13E5"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thrombocytopenia</w:t>
            </w:r>
          </w:p>
        </w:tc>
        <w:tc>
          <w:tcPr>
            <w:tcW w:w="662" w:type="pct"/>
            <w:noWrap/>
            <w:hideMark/>
          </w:tcPr>
          <w:p w14:paraId="1C8E1DF2"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0.38%</w:t>
            </w:r>
          </w:p>
        </w:tc>
        <w:tc>
          <w:tcPr>
            <w:tcW w:w="1469" w:type="pct"/>
          </w:tcPr>
          <w:p w14:paraId="131F9A05"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(0.01% to 1.38%)</w:t>
            </w:r>
          </w:p>
        </w:tc>
      </w:tr>
      <w:tr w:rsidR="004A7EEE" w:rsidRPr="004A7EEE" w14:paraId="73E486D5"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hideMark/>
          </w:tcPr>
          <w:p w14:paraId="2C07A5FF"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hideMark/>
          </w:tcPr>
          <w:p w14:paraId="3C7802E6"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diarrhoea</w:t>
            </w:r>
          </w:p>
        </w:tc>
        <w:tc>
          <w:tcPr>
            <w:tcW w:w="662" w:type="pct"/>
            <w:noWrap/>
            <w:hideMark/>
          </w:tcPr>
          <w:p w14:paraId="63141488"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0.00%</w:t>
            </w:r>
          </w:p>
        </w:tc>
        <w:tc>
          <w:tcPr>
            <w:tcW w:w="1469" w:type="pct"/>
          </w:tcPr>
          <w:p w14:paraId="1464A397"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(0.00% to 0.00%)</w:t>
            </w:r>
          </w:p>
        </w:tc>
      </w:tr>
      <w:tr w:rsidR="004A7EEE" w:rsidRPr="004A7EEE" w14:paraId="55AA50B7"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hideMark/>
          </w:tcPr>
          <w:p w14:paraId="21159550"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hideMark/>
          </w:tcPr>
          <w:p w14:paraId="540DE252"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alanine aminotransferase increased</w:t>
            </w:r>
          </w:p>
        </w:tc>
        <w:tc>
          <w:tcPr>
            <w:tcW w:w="662" w:type="pct"/>
            <w:noWrap/>
            <w:hideMark/>
          </w:tcPr>
          <w:p w14:paraId="33B04FD6"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0.75%</w:t>
            </w:r>
          </w:p>
        </w:tc>
        <w:tc>
          <w:tcPr>
            <w:tcW w:w="1469" w:type="pct"/>
          </w:tcPr>
          <w:p w14:paraId="0DF39BBD"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(0.09% to 2.08%)</w:t>
            </w:r>
          </w:p>
        </w:tc>
      </w:tr>
      <w:tr w:rsidR="004A7EEE" w:rsidRPr="004A7EEE" w14:paraId="573D8739"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hideMark/>
          </w:tcPr>
          <w:p w14:paraId="01E75905"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hideMark/>
          </w:tcPr>
          <w:p w14:paraId="234ED4CF"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aspartate aminotransferase increased</w:t>
            </w:r>
          </w:p>
        </w:tc>
        <w:tc>
          <w:tcPr>
            <w:tcW w:w="662" w:type="pct"/>
            <w:noWrap/>
            <w:hideMark/>
          </w:tcPr>
          <w:p w14:paraId="2246C153"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0.75%</w:t>
            </w:r>
          </w:p>
        </w:tc>
        <w:tc>
          <w:tcPr>
            <w:tcW w:w="1469" w:type="pct"/>
          </w:tcPr>
          <w:p w14:paraId="0F735982"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(0.09% to 2.08%)</w:t>
            </w:r>
          </w:p>
        </w:tc>
      </w:tr>
      <w:tr w:rsidR="004A7EEE" w:rsidRPr="004A7EEE" w14:paraId="51255B3F"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hideMark/>
          </w:tcPr>
          <w:p w14:paraId="6E797BFB"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hideMark/>
          </w:tcPr>
          <w:p w14:paraId="45964A10"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generalised tonic-</w:t>
            </w:r>
            <w:proofErr w:type="spellStart"/>
            <w:r w:rsidRPr="004A7EEE">
              <w:rPr>
                <w:rFonts w:ascii="Arial" w:eastAsia="Arial" w:hAnsi="Arial" w:cs="Arial"/>
                <w:color w:val="081627"/>
                <w:sz w:val="20"/>
                <w:szCs w:val="20"/>
                <w:lang w:val="en-GB"/>
              </w:rPr>
              <w:t>clonic</w:t>
            </w:r>
            <w:proofErr w:type="spellEnd"/>
            <w:r w:rsidRPr="004A7EEE">
              <w:rPr>
                <w:rFonts w:ascii="Arial" w:eastAsia="Arial" w:hAnsi="Arial" w:cs="Arial"/>
                <w:color w:val="081627"/>
                <w:sz w:val="20"/>
                <w:szCs w:val="20"/>
                <w:lang w:val="en-GB"/>
              </w:rPr>
              <w:t xml:space="preserve"> seizure</w:t>
            </w:r>
          </w:p>
        </w:tc>
        <w:tc>
          <w:tcPr>
            <w:tcW w:w="662" w:type="pct"/>
            <w:noWrap/>
            <w:hideMark/>
          </w:tcPr>
          <w:p w14:paraId="31A427A6"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0.00%</w:t>
            </w:r>
          </w:p>
        </w:tc>
        <w:tc>
          <w:tcPr>
            <w:tcW w:w="1469" w:type="pct"/>
          </w:tcPr>
          <w:p w14:paraId="0191CAFF"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(0.00% to 0.00%)</w:t>
            </w:r>
          </w:p>
        </w:tc>
      </w:tr>
      <w:tr w:rsidR="004A7EEE" w:rsidRPr="004A7EEE" w14:paraId="12CE51DA" w14:textId="77777777" w:rsidTr="008A4CF8">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212A6C16"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bottom w:val="single" w:sz="4" w:space="0" w:color="auto"/>
            </w:tcBorders>
            <w:noWrap/>
          </w:tcPr>
          <w:p w14:paraId="73815205"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thrombocytopenia</w:t>
            </w:r>
          </w:p>
        </w:tc>
        <w:tc>
          <w:tcPr>
            <w:tcW w:w="662" w:type="pct"/>
            <w:tcBorders>
              <w:bottom w:val="single" w:sz="4" w:space="0" w:color="auto"/>
            </w:tcBorders>
            <w:noWrap/>
          </w:tcPr>
          <w:p w14:paraId="43347557"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0.00%</w:t>
            </w:r>
          </w:p>
        </w:tc>
        <w:tc>
          <w:tcPr>
            <w:tcW w:w="1469" w:type="pct"/>
            <w:tcBorders>
              <w:bottom w:val="single" w:sz="4" w:space="0" w:color="auto"/>
            </w:tcBorders>
          </w:tcPr>
          <w:p w14:paraId="4E865742"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(0.00% to 0.00%)</w:t>
            </w:r>
          </w:p>
        </w:tc>
      </w:tr>
      <w:tr w:rsidR="004A7EEE" w:rsidRPr="004A7EEE" w14:paraId="71855C31" w14:textId="77777777" w:rsidTr="008A4C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1026C7A1"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top w:val="single" w:sz="4" w:space="0" w:color="auto"/>
              <w:left w:val="nil"/>
              <w:bottom w:val="single" w:sz="4" w:space="0" w:color="auto"/>
            </w:tcBorders>
            <w:noWrap/>
          </w:tcPr>
          <w:p w14:paraId="3AC51E24"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diarrhoea</w:t>
            </w:r>
          </w:p>
        </w:tc>
        <w:tc>
          <w:tcPr>
            <w:tcW w:w="662" w:type="pct"/>
            <w:tcBorders>
              <w:top w:val="single" w:sz="4" w:space="0" w:color="auto"/>
              <w:bottom w:val="single" w:sz="4" w:space="0" w:color="auto"/>
            </w:tcBorders>
            <w:noWrap/>
          </w:tcPr>
          <w:p w14:paraId="37221CD3"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0.37%</w:t>
            </w:r>
          </w:p>
        </w:tc>
        <w:tc>
          <w:tcPr>
            <w:tcW w:w="1469" w:type="pct"/>
            <w:tcBorders>
              <w:top w:val="single" w:sz="4" w:space="0" w:color="auto"/>
              <w:bottom w:val="single" w:sz="4" w:space="0" w:color="auto"/>
            </w:tcBorders>
          </w:tcPr>
          <w:p w14:paraId="32B8AB03"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(0.01% to 1.37%)</w:t>
            </w:r>
          </w:p>
        </w:tc>
      </w:tr>
      <w:tr w:rsidR="004A7EEE" w:rsidRPr="004A7EEE" w14:paraId="5704C5FD" w14:textId="77777777" w:rsidTr="008A4CF8">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242EB64B"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top w:val="single" w:sz="4" w:space="0" w:color="auto"/>
              <w:left w:val="nil"/>
            </w:tcBorders>
            <w:noWrap/>
          </w:tcPr>
          <w:p w14:paraId="2F1423B4"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alanine aminotransferase increased</w:t>
            </w:r>
          </w:p>
        </w:tc>
        <w:tc>
          <w:tcPr>
            <w:tcW w:w="662" w:type="pct"/>
            <w:tcBorders>
              <w:top w:val="single" w:sz="4" w:space="0" w:color="auto"/>
            </w:tcBorders>
            <w:noWrap/>
          </w:tcPr>
          <w:p w14:paraId="32AA7CAB"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0.00%</w:t>
            </w:r>
          </w:p>
        </w:tc>
        <w:tc>
          <w:tcPr>
            <w:tcW w:w="1469" w:type="pct"/>
            <w:tcBorders>
              <w:top w:val="single" w:sz="4" w:space="0" w:color="auto"/>
            </w:tcBorders>
          </w:tcPr>
          <w:p w14:paraId="517D8283"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(0.00% to 0.00%)</w:t>
            </w:r>
          </w:p>
        </w:tc>
      </w:tr>
      <w:tr w:rsidR="004A7EEE" w:rsidRPr="004A7EEE" w14:paraId="7D8D49F1"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6D2C520D"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5854A014"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aspartate aminotransferase increased</w:t>
            </w:r>
          </w:p>
        </w:tc>
        <w:tc>
          <w:tcPr>
            <w:tcW w:w="662" w:type="pct"/>
            <w:noWrap/>
          </w:tcPr>
          <w:p w14:paraId="418DF3B6"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0.00%</w:t>
            </w:r>
          </w:p>
        </w:tc>
        <w:tc>
          <w:tcPr>
            <w:tcW w:w="1469" w:type="pct"/>
          </w:tcPr>
          <w:p w14:paraId="7DCB5BCA"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(0.00% to 0.00%)</w:t>
            </w:r>
          </w:p>
        </w:tc>
      </w:tr>
      <w:tr w:rsidR="004A7EEE" w:rsidRPr="004A7EEE" w14:paraId="587976BA"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305AA29B"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201CD81F"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generalised tonic-</w:t>
            </w:r>
            <w:proofErr w:type="spellStart"/>
            <w:r w:rsidRPr="004A7EEE">
              <w:rPr>
                <w:rFonts w:ascii="Arial" w:eastAsia="Arial" w:hAnsi="Arial" w:cs="Arial"/>
                <w:color w:val="081627"/>
                <w:sz w:val="20"/>
                <w:szCs w:val="20"/>
                <w:lang w:val="en-GB"/>
              </w:rPr>
              <w:t>clonic</w:t>
            </w:r>
            <w:proofErr w:type="spellEnd"/>
            <w:r w:rsidRPr="004A7EEE">
              <w:rPr>
                <w:rFonts w:ascii="Arial" w:eastAsia="Arial" w:hAnsi="Arial" w:cs="Arial"/>
                <w:color w:val="081627"/>
                <w:sz w:val="20"/>
                <w:szCs w:val="20"/>
                <w:lang w:val="en-GB"/>
              </w:rPr>
              <w:t xml:space="preserve"> seizure</w:t>
            </w:r>
          </w:p>
        </w:tc>
        <w:tc>
          <w:tcPr>
            <w:tcW w:w="662" w:type="pct"/>
            <w:noWrap/>
          </w:tcPr>
          <w:p w14:paraId="0D9BDF80"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0.37%</w:t>
            </w:r>
          </w:p>
        </w:tc>
        <w:tc>
          <w:tcPr>
            <w:tcW w:w="1469" w:type="pct"/>
          </w:tcPr>
          <w:p w14:paraId="2FD9FADB"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(0.01% to 1.37%)</w:t>
            </w:r>
          </w:p>
        </w:tc>
      </w:tr>
      <w:tr w:rsidR="004A7EEE" w:rsidRPr="004A7EEE" w14:paraId="73B2B1E8"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46CCAF3D"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356B7FB1"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nephrotoxicity</w:t>
            </w:r>
          </w:p>
        </w:tc>
        <w:tc>
          <w:tcPr>
            <w:tcW w:w="662" w:type="pct"/>
            <w:noWrap/>
          </w:tcPr>
          <w:p w14:paraId="780E7C8B"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w:t>
            </w:r>
          </w:p>
        </w:tc>
        <w:tc>
          <w:tcPr>
            <w:tcW w:w="1469" w:type="pct"/>
          </w:tcPr>
          <w:p w14:paraId="5ECCD921" w14:textId="02263D21"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w:t>
            </w:r>
            <w:r w:rsidR="002C4CBB">
              <w:rPr>
                <w:rFonts w:ascii="Arial" w:eastAsia="Arial" w:hAnsi="Arial" w:cs="Arial"/>
                <w:color w:val="081627"/>
                <w:sz w:val="20"/>
                <w:szCs w:val="20"/>
                <w:lang w:val="en-GB"/>
              </w:rPr>
              <w:t>ot applicable</w:t>
            </w:r>
          </w:p>
        </w:tc>
      </w:tr>
      <w:tr w:rsidR="004A7EEE" w:rsidRPr="004A7EEE" w14:paraId="4D9AC058"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29601934"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66B3A68C"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(RESTORE-IMI 1), nephrotoxicity</w:t>
            </w:r>
          </w:p>
        </w:tc>
        <w:tc>
          <w:tcPr>
            <w:tcW w:w="662" w:type="pct"/>
            <w:noWrap/>
          </w:tcPr>
          <w:p w14:paraId="15092DB7"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10.4%</w:t>
            </w:r>
          </w:p>
        </w:tc>
        <w:tc>
          <w:tcPr>
            <w:tcW w:w="1469" w:type="pct"/>
          </w:tcPr>
          <w:p w14:paraId="1C2B8BB1"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(2.27% to 23.5%)</w:t>
            </w:r>
          </w:p>
        </w:tc>
      </w:tr>
      <w:tr w:rsidR="004A7EEE" w:rsidRPr="004A7EEE" w14:paraId="03E58ECA"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44D1CEE7"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3FFB5314"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Subsequent CMS+IMI (RESTORE-IMI 1), nephrotoxicity</w:t>
            </w:r>
          </w:p>
        </w:tc>
        <w:tc>
          <w:tcPr>
            <w:tcW w:w="662" w:type="pct"/>
            <w:noWrap/>
          </w:tcPr>
          <w:p w14:paraId="27AEF3F8"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56.25%</w:t>
            </w:r>
          </w:p>
        </w:tc>
        <w:tc>
          <w:tcPr>
            <w:tcW w:w="1469" w:type="pct"/>
          </w:tcPr>
          <w:p w14:paraId="7DD2326E"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(32.29% to 78.73%)</w:t>
            </w:r>
          </w:p>
        </w:tc>
      </w:tr>
      <w:tr w:rsidR="004A7EEE" w:rsidRPr="004A7EEE" w14:paraId="5658D7D5"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18A3935B"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r w:rsidRPr="004A7EEE">
              <w:rPr>
                <w:rFonts w:ascii="Arial" w:eastAsia="Arial" w:hAnsi="Arial" w:cs="Arial"/>
                <w:color w:val="081627"/>
                <w:sz w:val="20"/>
                <w:szCs w:val="20"/>
                <w:lang w:val="en-GB"/>
              </w:rPr>
              <w:t>Economic parameters</w:t>
            </w:r>
          </w:p>
        </w:tc>
      </w:tr>
      <w:tr w:rsidR="004A7EEE" w:rsidRPr="004A7EEE" w14:paraId="6E31B20F"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bottom w:val="none" w:sz="0" w:space="0" w:color="auto"/>
            </w:tcBorders>
            <w:noWrap/>
          </w:tcPr>
          <w:p w14:paraId="295CF50D"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r w:rsidRPr="004A7EEE">
              <w:rPr>
                <w:rFonts w:ascii="Arial" w:eastAsia="Arial" w:hAnsi="Arial" w:cs="Arial"/>
                <w:color w:val="081627"/>
                <w:sz w:val="20"/>
                <w:szCs w:val="20"/>
                <w:lang w:val="en-GB"/>
              </w:rPr>
              <w:t>I. Drug costs</w:t>
            </w:r>
          </w:p>
        </w:tc>
      </w:tr>
      <w:tr w:rsidR="004A7EEE" w:rsidRPr="004A7EEE" w14:paraId="74FF68DA" w14:textId="77777777" w:rsidTr="00E81F99">
        <w:trPr>
          <w:trHeight w:val="128"/>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0388EE73"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37307524"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 xml:space="preserve">IMI/REL, treatment duration (days) </w:t>
            </w:r>
          </w:p>
        </w:tc>
        <w:tc>
          <w:tcPr>
            <w:tcW w:w="662" w:type="pct"/>
            <w:noWrap/>
          </w:tcPr>
          <w:p w14:paraId="590AA4DE"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8.70</w:t>
            </w:r>
          </w:p>
        </w:tc>
        <w:tc>
          <w:tcPr>
            <w:tcW w:w="1469" w:type="pct"/>
          </w:tcPr>
          <w:p w14:paraId="0863BABC"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(6.99 to 10.41)</w:t>
            </w:r>
          </w:p>
        </w:tc>
      </w:tr>
      <w:tr w:rsidR="004A7EEE" w:rsidRPr="004A7EEE" w14:paraId="3BBCE7A5"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056679FF"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4762D66C"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treatment duration (days)</w:t>
            </w:r>
          </w:p>
        </w:tc>
        <w:tc>
          <w:tcPr>
            <w:tcW w:w="662" w:type="pct"/>
            <w:noWrap/>
            <w:vAlign w:val="center"/>
          </w:tcPr>
          <w:p w14:paraId="35C8BC36"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8.30</w:t>
            </w:r>
          </w:p>
        </w:tc>
        <w:tc>
          <w:tcPr>
            <w:tcW w:w="1469" w:type="pct"/>
          </w:tcPr>
          <w:p w14:paraId="70E92853"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(6.67 to 9.93)</w:t>
            </w:r>
          </w:p>
        </w:tc>
      </w:tr>
      <w:tr w:rsidR="004A7EEE" w:rsidRPr="004A7EEE" w14:paraId="49766D1D"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590F8992"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441D7DB5"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Subsequent CMS+IMI treatment duration (days)</w:t>
            </w:r>
          </w:p>
        </w:tc>
        <w:tc>
          <w:tcPr>
            <w:tcW w:w="662" w:type="pct"/>
            <w:noWrap/>
            <w:vAlign w:val="center"/>
          </w:tcPr>
          <w:p w14:paraId="3A6C5029"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6.10</w:t>
            </w:r>
          </w:p>
        </w:tc>
        <w:tc>
          <w:tcPr>
            <w:tcW w:w="1469" w:type="pct"/>
            <w:vAlign w:val="center"/>
          </w:tcPr>
          <w:p w14:paraId="684C12B4"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(3.84 to 8.36)</w:t>
            </w:r>
          </w:p>
        </w:tc>
      </w:tr>
      <w:tr w:rsidR="004A7EEE" w:rsidRPr="004A7EEE" w14:paraId="1A3100CB"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5F44D6B0"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6EED0004"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IMI/REL, 500mg/250mg – 25 vials</w:t>
            </w:r>
          </w:p>
        </w:tc>
        <w:tc>
          <w:tcPr>
            <w:tcW w:w="662" w:type="pct"/>
            <w:noWrap/>
          </w:tcPr>
          <w:p w14:paraId="152690BE"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$6,687.50</w:t>
            </w:r>
          </w:p>
        </w:tc>
        <w:tc>
          <w:tcPr>
            <w:tcW w:w="1469" w:type="pct"/>
            <w:vAlign w:val="center"/>
          </w:tcPr>
          <w:p w14:paraId="038B8319"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None</w:t>
            </w:r>
          </w:p>
        </w:tc>
      </w:tr>
      <w:tr w:rsidR="004A7EEE" w:rsidRPr="004A7EEE" w14:paraId="573C3E56"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64F833C0"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20E63BF2"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2g/250mg - 10 vials</w:t>
            </w:r>
          </w:p>
        </w:tc>
        <w:tc>
          <w:tcPr>
            <w:tcW w:w="662" w:type="pct"/>
            <w:noWrap/>
          </w:tcPr>
          <w:p w14:paraId="3B967BAC"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$30.00</w:t>
            </w:r>
          </w:p>
        </w:tc>
        <w:tc>
          <w:tcPr>
            <w:tcW w:w="1469" w:type="pct"/>
            <w:vAlign w:val="center"/>
          </w:tcPr>
          <w:p w14:paraId="17133746"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None</w:t>
            </w:r>
          </w:p>
        </w:tc>
      </w:tr>
      <w:tr w:rsidR="004A7EEE" w:rsidRPr="004A7EEE" w14:paraId="22435CC7"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3D305524"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023F0F23"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3g/375mg - 10 vials</w:t>
            </w:r>
          </w:p>
        </w:tc>
        <w:tc>
          <w:tcPr>
            <w:tcW w:w="662" w:type="pct"/>
            <w:noWrap/>
          </w:tcPr>
          <w:p w14:paraId="48346903"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$30.00</w:t>
            </w:r>
          </w:p>
        </w:tc>
        <w:tc>
          <w:tcPr>
            <w:tcW w:w="1469" w:type="pct"/>
            <w:vAlign w:val="center"/>
          </w:tcPr>
          <w:p w14:paraId="1DAD73E2"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None</w:t>
            </w:r>
          </w:p>
        </w:tc>
      </w:tr>
      <w:tr w:rsidR="004A7EEE" w:rsidRPr="004A7EEE" w14:paraId="29B848C8"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0D4AF033"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0EED86F5"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4g/500mg - 10 vials</w:t>
            </w:r>
          </w:p>
        </w:tc>
        <w:tc>
          <w:tcPr>
            <w:tcW w:w="662" w:type="pct"/>
            <w:noWrap/>
          </w:tcPr>
          <w:p w14:paraId="495F21D8"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$56.10</w:t>
            </w:r>
          </w:p>
        </w:tc>
        <w:tc>
          <w:tcPr>
            <w:tcW w:w="1469" w:type="pct"/>
            <w:vAlign w:val="center"/>
          </w:tcPr>
          <w:p w14:paraId="61A24830"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None</w:t>
            </w:r>
          </w:p>
        </w:tc>
      </w:tr>
      <w:tr w:rsidR="004A7EEE" w:rsidRPr="004A7EEE" w14:paraId="4E7293E2"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1DCCF75A"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5B39F13D"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12g/1500mg - 1 vial</w:t>
            </w:r>
          </w:p>
        </w:tc>
        <w:tc>
          <w:tcPr>
            <w:tcW w:w="662" w:type="pct"/>
            <w:noWrap/>
          </w:tcPr>
          <w:p w14:paraId="58E89E2E"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$39.00</w:t>
            </w:r>
          </w:p>
        </w:tc>
        <w:tc>
          <w:tcPr>
            <w:tcW w:w="1469" w:type="pct"/>
          </w:tcPr>
          <w:p w14:paraId="6F092F90"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None</w:t>
            </w:r>
          </w:p>
        </w:tc>
      </w:tr>
      <w:tr w:rsidR="004A7EEE" w:rsidRPr="004A7EEE" w14:paraId="7E365816"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1CA02696"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46F50808"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PIP/TAZ, 36g/4500mg - 1 vial</w:t>
            </w:r>
          </w:p>
        </w:tc>
        <w:tc>
          <w:tcPr>
            <w:tcW w:w="662" w:type="pct"/>
            <w:noWrap/>
          </w:tcPr>
          <w:p w14:paraId="4141F5F2"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$65.00</w:t>
            </w:r>
          </w:p>
        </w:tc>
        <w:tc>
          <w:tcPr>
            <w:tcW w:w="1469" w:type="pct"/>
          </w:tcPr>
          <w:p w14:paraId="1A8512FE"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None</w:t>
            </w:r>
          </w:p>
        </w:tc>
      </w:tr>
      <w:tr w:rsidR="004A7EEE" w:rsidRPr="004A7EEE" w14:paraId="3A136D89"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bottom w:val="none" w:sz="0" w:space="0" w:color="auto"/>
            </w:tcBorders>
            <w:noWrap/>
          </w:tcPr>
          <w:p w14:paraId="05DE3E94" w14:textId="642E04CC" w:rsidR="004A7EEE" w:rsidRPr="004A7EEE" w:rsidRDefault="004A7EEE" w:rsidP="004A7EEE">
            <w:pPr>
              <w:tabs>
                <w:tab w:val="left" w:pos="0"/>
              </w:tabs>
              <w:spacing w:before="60" w:after="60"/>
              <w:rPr>
                <w:rFonts w:ascii="Arial" w:eastAsia="Arial" w:hAnsi="Arial" w:cs="Arial"/>
                <w:color w:val="081627"/>
                <w:sz w:val="20"/>
                <w:szCs w:val="20"/>
                <w:lang w:val="en-GB"/>
              </w:rPr>
            </w:pPr>
            <w:r w:rsidRPr="004A7EEE">
              <w:rPr>
                <w:rFonts w:ascii="Arial" w:eastAsia="Arial" w:hAnsi="Arial" w:cs="Arial"/>
                <w:color w:val="081627"/>
                <w:sz w:val="20"/>
                <w:szCs w:val="20"/>
                <w:lang w:val="en-GB"/>
              </w:rPr>
              <w:t>II. Resource use costs</w:t>
            </w:r>
            <w:r w:rsidR="002C416F" w:rsidRPr="002C4CBB">
              <w:rPr>
                <w:rFonts w:ascii="Arial" w:eastAsia="Arial" w:hAnsi="Arial" w:cs="Arial"/>
                <w:color w:val="081627"/>
                <w:sz w:val="20"/>
                <w:szCs w:val="20"/>
                <w:lang w:val="en-GB"/>
              </w:rPr>
              <w:t xml:space="preserve"> *</w:t>
            </w:r>
          </w:p>
        </w:tc>
      </w:tr>
      <w:tr w:rsidR="004A7EEE" w:rsidRPr="004A7EEE" w14:paraId="0CD6058C"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165DFC56"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2EA6215F" w14:textId="547ADF93"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ICU cost on mechanical ventilator day 1</w:t>
            </w:r>
          </w:p>
        </w:tc>
        <w:tc>
          <w:tcPr>
            <w:tcW w:w="662" w:type="pct"/>
            <w:noWrap/>
          </w:tcPr>
          <w:p w14:paraId="365B00D8"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$10,794</w:t>
            </w:r>
          </w:p>
        </w:tc>
        <w:tc>
          <w:tcPr>
            <w:tcW w:w="1469" w:type="pct"/>
          </w:tcPr>
          <w:p w14:paraId="5C3C354F"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($8,678 to $12,910)</w:t>
            </w:r>
          </w:p>
        </w:tc>
      </w:tr>
      <w:tr w:rsidR="004A7EEE" w:rsidRPr="004A7EEE" w14:paraId="1541B1C9"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099F8A47"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48888508" w14:textId="08DFDF99"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ICU cost on mechanical ventilator day 2</w:t>
            </w:r>
          </w:p>
        </w:tc>
        <w:tc>
          <w:tcPr>
            <w:tcW w:w="662" w:type="pct"/>
            <w:noWrap/>
          </w:tcPr>
          <w:p w14:paraId="3864696F"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$4,796</w:t>
            </w:r>
          </w:p>
        </w:tc>
        <w:tc>
          <w:tcPr>
            <w:tcW w:w="1469" w:type="pct"/>
          </w:tcPr>
          <w:p w14:paraId="7F2DA5E1"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($3,856 to $5,736)</w:t>
            </w:r>
          </w:p>
        </w:tc>
      </w:tr>
      <w:tr w:rsidR="004A7EEE" w:rsidRPr="004A7EEE" w14:paraId="2DC80673"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144E280A"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1562CE11" w14:textId="0F91B83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ICU cost on mechanical ventilator day 3+</w:t>
            </w:r>
          </w:p>
        </w:tc>
        <w:tc>
          <w:tcPr>
            <w:tcW w:w="662" w:type="pct"/>
            <w:noWrap/>
          </w:tcPr>
          <w:p w14:paraId="0A883221"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$3,968</w:t>
            </w:r>
          </w:p>
        </w:tc>
        <w:tc>
          <w:tcPr>
            <w:tcW w:w="1469" w:type="pct"/>
          </w:tcPr>
          <w:p w14:paraId="25F7C833"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($3,190 to $4,746)</w:t>
            </w:r>
          </w:p>
        </w:tc>
      </w:tr>
      <w:tr w:rsidR="004A7EEE" w:rsidRPr="004A7EEE" w14:paraId="21D3A147"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6DAC2CE9"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0143DD43" w14:textId="6454E255"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ICU cost off mechanical ventilator day 1</w:t>
            </w:r>
          </w:p>
        </w:tc>
        <w:tc>
          <w:tcPr>
            <w:tcW w:w="662" w:type="pct"/>
            <w:noWrap/>
          </w:tcPr>
          <w:p w14:paraId="238BF522"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$6,667</w:t>
            </w:r>
          </w:p>
        </w:tc>
        <w:tc>
          <w:tcPr>
            <w:tcW w:w="1469" w:type="pct"/>
          </w:tcPr>
          <w:p w14:paraId="4B47F01F"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($5,360 to $7,974)</w:t>
            </w:r>
          </w:p>
        </w:tc>
      </w:tr>
      <w:tr w:rsidR="004A7EEE" w:rsidRPr="004A7EEE" w14:paraId="16355B86"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4EDEF204"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59F75965" w14:textId="277BB43E"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ICU cost off mechanical ventilator day 2</w:t>
            </w:r>
          </w:p>
        </w:tc>
        <w:tc>
          <w:tcPr>
            <w:tcW w:w="662" w:type="pct"/>
            <w:noWrap/>
          </w:tcPr>
          <w:p w14:paraId="012D5EA6"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$3,496</w:t>
            </w:r>
          </w:p>
        </w:tc>
        <w:tc>
          <w:tcPr>
            <w:tcW w:w="1469" w:type="pct"/>
          </w:tcPr>
          <w:p w14:paraId="4494A972"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($2,811 to $4,181)</w:t>
            </w:r>
          </w:p>
        </w:tc>
      </w:tr>
      <w:tr w:rsidR="004A7EEE" w:rsidRPr="004A7EEE" w14:paraId="40A8C290"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1804F235"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10CC9C85" w14:textId="4FBE6E70"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ICU cost off mechanical ventilator day 3+</w:t>
            </w:r>
          </w:p>
        </w:tc>
        <w:tc>
          <w:tcPr>
            <w:tcW w:w="662" w:type="pct"/>
            <w:noWrap/>
          </w:tcPr>
          <w:p w14:paraId="149D55D0"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$3,182</w:t>
            </w:r>
          </w:p>
        </w:tc>
        <w:tc>
          <w:tcPr>
            <w:tcW w:w="1469" w:type="pct"/>
          </w:tcPr>
          <w:p w14:paraId="72F1C894"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($1,667 to $1,810)</w:t>
            </w:r>
          </w:p>
        </w:tc>
      </w:tr>
      <w:tr w:rsidR="004A7EEE" w:rsidRPr="004A7EEE" w14:paraId="5DE67AD4"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253CDE43"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2B2782EA" w14:textId="579F9634"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General ward unit cost per day</w:t>
            </w:r>
          </w:p>
        </w:tc>
        <w:tc>
          <w:tcPr>
            <w:tcW w:w="662" w:type="pct"/>
            <w:noWrap/>
          </w:tcPr>
          <w:p w14:paraId="25D604EE"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$2,517</w:t>
            </w:r>
          </w:p>
        </w:tc>
        <w:tc>
          <w:tcPr>
            <w:tcW w:w="1469" w:type="pct"/>
          </w:tcPr>
          <w:p w14:paraId="1E87E199"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($643 to $821)</w:t>
            </w:r>
          </w:p>
        </w:tc>
      </w:tr>
      <w:tr w:rsidR="004A7EEE" w:rsidRPr="004A7EEE" w14:paraId="3D90D2DB"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6E030575"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04F54FAB"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Outpatient visit</w:t>
            </w:r>
          </w:p>
        </w:tc>
        <w:tc>
          <w:tcPr>
            <w:tcW w:w="662" w:type="pct"/>
            <w:noWrap/>
          </w:tcPr>
          <w:p w14:paraId="51FE17D4"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$183.19</w:t>
            </w:r>
          </w:p>
        </w:tc>
        <w:tc>
          <w:tcPr>
            <w:tcW w:w="1469" w:type="pct"/>
          </w:tcPr>
          <w:p w14:paraId="1BE50F83"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($147 to $219)</w:t>
            </w:r>
          </w:p>
        </w:tc>
      </w:tr>
      <w:tr w:rsidR="004A7EEE" w:rsidRPr="004A7EEE" w14:paraId="3180BF7A"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77F5F339"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r w:rsidRPr="004A7EEE">
              <w:rPr>
                <w:rFonts w:ascii="Arial" w:eastAsia="Arial" w:hAnsi="Arial" w:cs="Arial"/>
                <w:color w:val="081627"/>
                <w:sz w:val="20"/>
                <w:szCs w:val="20"/>
                <w:lang w:val="en-GB"/>
              </w:rPr>
              <w:t>III. Adverse event costs</w:t>
            </w:r>
          </w:p>
        </w:tc>
      </w:tr>
      <w:tr w:rsidR="004A7EEE" w:rsidRPr="004A7EEE" w14:paraId="157FFD9A"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vAlign w:val="center"/>
          </w:tcPr>
          <w:p w14:paraId="333E8935"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top w:val="single" w:sz="4" w:space="0" w:color="auto"/>
              <w:left w:val="nil"/>
              <w:bottom w:val="single" w:sz="4" w:space="0" w:color="auto"/>
            </w:tcBorders>
            <w:noWrap/>
            <w:vAlign w:val="center"/>
          </w:tcPr>
          <w:p w14:paraId="01228096"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Thrombocytopenia</w:t>
            </w:r>
          </w:p>
        </w:tc>
        <w:tc>
          <w:tcPr>
            <w:tcW w:w="662" w:type="pct"/>
            <w:tcBorders>
              <w:top w:val="single" w:sz="4" w:space="0" w:color="auto"/>
              <w:bottom w:val="single" w:sz="4" w:space="0" w:color="auto"/>
            </w:tcBorders>
            <w:noWrap/>
          </w:tcPr>
          <w:p w14:paraId="23ABB52A"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$17,208.03</w:t>
            </w:r>
          </w:p>
        </w:tc>
        <w:tc>
          <w:tcPr>
            <w:tcW w:w="1469" w:type="pct"/>
            <w:tcBorders>
              <w:top w:val="single" w:sz="4" w:space="0" w:color="auto"/>
              <w:bottom w:val="single" w:sz="4" w:space="0" w:color="auto"/>
            </w:tcBorders>
          </w:tcPr>
          <w:p w14:paraId="0D51C85B"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($12,552 to $18,672)</w:t>
            </w:r>
          </w:p>
        </w:tc>
      </w:tr>
      <w:tr w:rsidR="004A7EEE" w:rsidRPr="004A7EEE" w14:paraId="3C0A2674"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vAlign w:val="center"/>
          </w:tcPr>
          <w:p w14:paraId="6A30B10E"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69055FCE"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Diarrhoea</w:t>
            </w:r>
          </w:p>
        </w:tc>
        <w:tc>
          <w:tcPr>
            <w:tcW w:w="662" w:type="pct"/>
            <w:noWrap/>
          </w:tcPr>
          <w:p w14:paraId="0E3951C8"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$6,936.34</w:t>
            </w:r>
          </w:p>
        </w:tc>
        <w:tc>
          <w:tcPr>
            <w:tcW w:w="1469" w:type="pct"/>
          </w:tcPr>
          <w:p w14:paraId="4803275E"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($5,060 to $7,526)</w:t>
            </w:r>
          </w:p>
        </w:tc>
      </w:tr>
      <w:tr w:rsidR="004A7EEE" w:rsidRPr="004A7EEE" w14:paraId="152C6DA5"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vAlign w:val="center"/>
          </w:tcPr>
          <w:p w14:paraId="6C71F9CB"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top w:val="single" w:sz="4" w:space="0" w:color="auto"/>
              <w:left w:val="nil"/>
              <w:bottom w:val="single" w:sz="4" w:space="0" w:color="auto"/>
            </w:tcBorders>
            <w:noWrap/>
            <w:vAlign w:val="center"/>
          </w:tcPr>
          <w:p w14:paraId="6B88CFCA"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Alanine aminotransferase increased</w:t>
            </w:r>
          </w:p>
        </w:tc>
        <w:tc>
          <w:tcPr>
            <w:tcW w:w="662" w:type="pct"/>
            <w:tcBorders>
              <w:top w:val="single" w:sz="4" w:space="0" w:color="auto"/>
              <w:bottom w:val="single" w:sz="4" w:space="0" w:color="auto"/>
            </w:tcBorders>
            <w:noWrap/>
          </w:tcPr>
          <w:p w14:paraId="7A9859B6"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$8,684.18</w:t>
            </w:r>
          </w:p>
        </w:tc>
        <w:tc>
          <w:tcPr>
            <w:tcW w:w="1469" w:type="pct"/>
            <w:tcBorders>
              <w:top w:val="single" w:sz="4" w:space="0" w:color="auto"/>
              <w:bottom w:val="single" w:sz="4" w:space="0" w:color="auto"/>
            </w:tcBorders>
          </w:tcPr>
          <w:p w14:paraId="41B69985"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($6,335 to $9,423)</w:t>
            </w:r>
          </w:p>
        </w:tc>
      </w:tr>
      <w:tr w:rsidR="004A7EEE" w:rsidRPr="004A7EEE" w14:paraId="3CE91274"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vAlign w:val="center"/>
          </w:tcPr>
          <w:p w14:paraId="6476FCC0"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vAlign w:val="center"/>
          </w:tcPr>
          <w:p w14:paraId="43CB393A"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Aspartate aminotransferase increased</w:t>
            </w:r>
          </w:p>
        </w:tc>
        <w:tc>
          <w:tcPr>
            <w:tcW w:w="662" w:type="pct"/>
            <w:noWrap/>
          </w:tcPr>
          <w:p w14:paraId="665F39FD"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$8,684.18</w:t>
            </w:r>
          </w:p>
        </w:tc>
        <w:tc>
          <w:tcPr>
            <w:tcW w:w="1469" w:type="pct"/>
          </w:tcPr>
          <w:p w14:paraId="6E408988"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($6,335 to $9,423)</w:t>
            </w:r>
          </w:p>
        </w:tc>
      </w:tr>
      <w:tr w:rsidR="004A7EEE" w:rsidRPr="004A7EEE" w14:paraId="4D64A455"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vAlign w:val="center"/>
          </w:tcPr>
          <w:p w14:paraId="5475C348"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top w:val="single" w:sz="4" w:space="0" w:color="auto"/>
              <w:left w:val="nil"/>
              <w:bottom w:val="single" w:sz="4" w:space="0" w:color="auto"/>
            </w:tcBorders>
            <w:noWrap/>
            <w:vAlign w:val="center"/>
          </w:tcPr>
          <w:p w14:paraId="44D18483"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Generalised tonic-</w:t>
            </w:r>
            <w:proofErr w:type="spellStart"/>
            <w:r w:rsidRPr="004A7EEE">
              <w:rPr>
                <w:rFonts w:ascii="Arial" w:eastAsia="Arial" w:hAnsi="Arial" w:cs="Arial"/>
                <w:color w:val="081627"/>
                <w:sz w:val="20"/>
                <w:szCs w:val="20"/>
                <w:lang w:val="en-GB"/>
              </w:rPr>
              <w:t>clonic</w:t>
            </w:r>
            <w:proofErr w:type="spellEnd"/>
            <w:r w:rsidRPr="004A7EEE">
              <w:rPr>
                <w:rFonts w:ascii="Arial" w:eastAsia="Arial" w:hAnsi="Arial" w:cs="Arial"/>
                <w:color w:val="081627"/>
                <w:sz w:val="20"/>
                <w:szCs w:val="20"/>
                <w:lang w:val="en-GB"/>
              </w:rPr>
              <w:t xml:space="preserve"> seizure</w:t>
            </w:r>
          </w:p>
        </w:tc>
        <w:tc>
          <w:tcPr>
            <w:tcW w:w="662" w:type="pct"/>
            <w:tcBorders>
              <w:top w:val="single" w:sz="4" w:space="0" w:color="auto"/>
              <w:bottom w:val="single" w:sz="4" w:space="0" w:color="auto"/>
            </w:tcBorders>
            <w:noWrap/>
          </w:tcPr>
          <w:p w14:paraId="34D569E3"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$7,770.73</w:t>
            </w:r>
          </w:p>
        </w:tc>
        <w:tc>
          <w:tcPr>
            <w:tcW w:w="1469" w:type="pct"/>
            <w:tcBorders>
              <w:top w:val="single" w:sz="4" w:space="0" w:color="auto"/>
              <w:bottom w:val="single" w:sz="4" w:space="0" w:color="auto"/>
            </w:tcBorders>
          </w:tcPr>
          <w:p w14:paraId="7A4BEA33"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($5,668 to $8,432)</w:t>
            </w:r>
          </w:p>
        </w:tc>
      </w:tr>
      <w:tr w:rsidR="004A7EEE" w:rsidRPr="004A7EEE" w14:paraId="35EE1E7D"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vAlign w:val="center"/>
          </w:tcPr>
          <w:p w14:paraId="290129D2"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bottom w:val="nil"/>
            </w:tcBorders>
            <w:noWrap/>
            <w:vAlign w:val="center"/>
          </w:tcPr>
          <w:p w14:paraId="2CAE2812"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Nephrotoxicity</w:t>
            </w:r>
          </w:p>
        </w:tc>
        <w:tc>
          <w:tcPr>
            <w:tcW w:w="662" w:type="pct"/>
            <w:tcBorders>
              <w:bottom w:val="nil"/>
            </w:tcBorders>
            <w:noWrap/>
          </w:tcPr>
          <w:p w14:paraId="3043F8A8"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$14,051.62</w:t>
            </w:r>
          </w:p>
        </w:tc>
        <w:tc>
          <w:tcPr>
            <w:tcW w:w="1469" w:type="pct"/>
            <w:tcBorders>
              <w:bottom w:val="nil"/>
            </w:tcBorders>
          </w:tcPr>
          <w:p w14:paraId="3AA70EC3"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Normal ($10,250 to $15,247)</w:t>
            </w:r>
          </w:p>
        </w:tc>
      </w:tr>
      <w:tr w:rsidR="004A7EEE" w:rsidRPr="004A7EEE" w14:paraId="2C44B25D"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bottom w:val="none" w:sz="0" w:space="0" w:color="auto"/>
            </w:tcBorders>
            <w:noWrap/>
          </w:tcPr>
          <w:p w14:paraId="0B147E7A"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r w:rsidRPr="004A7EEE">
              <w:rPr>
                <w:rFonts w:ascii="Arial" w:eastAsia="Arial" w:hAnsi="Arial" w:cs="Arial"/>
                <w:color w:val="081627"/>
                <w:sz w:val="20"/>
                <w:szCs w:val="20"/>
                <w:lang w:val="en-GB"/>
              </w:rPr>
              <w:t>IV. Health-related quality of life</w:t>
            </w:r>
          </w:p>
        </w:tc>
      </w:tr>
      <w:tr w:rsidR="004A7EEE" w:rsidRPr="004A7EEE" w14:paraId="19B35824"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627B5B6C"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316F1C92"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Utility value – ICU</w:t>
            </w:r>
          </w:p>
        </w:tc>
        <w:tc>
          <w:tcPr>
            <w:tcW w:w="662" w:type="pct"/>
            <w:noWrap/>
          </w:tcPr>
          <w:p w14:paraId="0EA7DAD1" w14:textId="77777777" w:rsidR="004A7EEE" w:rsidRPr="004A7EEE" w:rsidRDefault="004A7EEE" w:rsidP="004A7EEE">
            <w:pPr>
              <w:tabs>
                <w:tab w:val="left" w:pos="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0.68</w:t>
            </w:r>
          </w:p>
        </w:tc>
        <w:tc>
          <w:tcPr>
            <w:tcW w:w="1469" w:type="pct"/>
          </w:tcPr>
          <w:p w14:paraId="58824C3B" w14:textId="77777777" w:rsidR="004A7EEE" w:rsidRPr="004A7EEE" w:rsidRDefault="004A7EEE" w:rsidP="004A7EEE">
            <w:pPr>
              <w:tabs>
                <w:tab w:val="left" w:pos="0"/>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(0.54 to 0.81)</w:t>
            </w:r>
          </w:p>
        </w:tc>
      </w:tr>
      <w:tr w:rsidR="004A7EEE" w:rsidRPr="004A7EEE" w14:paraId="2299CC3F" w14:textId="77777777" w:rsidTr="00E81F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 w:type="pct"/>
            <w:tcBorders>
              <w:top w:val="nil"/>
              <w:left w:val="single" w:sz="4" w:space="0" w:color="auto"/>
              <w:bottom w:val="nil"/>
              <w:right w:val="nil"/>
            </w:tcBorders>
            <w:noWrap/>
          </w:tcPr>
          <w:p w14:paraId="1049155A" w14:textId="77777777" w:rsidR="004A7EEE" w:rsidRPr="004A7EEE" w:rsidRDefault="004A7EEE" w:rsidP="004A7EEE">
            <w:pPr>
              <w:tabs>
                <w:tab w:val="left" w:pos="0"/>
              </w:tabs>
              <w:spacing w:before="60" w:after="60"/>
              <w:rPr>
                <w:rFonts w:ascii="Arial" w:eastAsia="Arial" w:hAnsi="Arial" w:cs="Arial"/>
                <w:color w:val="081627"/>
                <w:sz w:val="20"/>
                <w:szCs w:val="20"/>
                <w:lang w:val="en-GB"/>
              </w:rPr>
            </w:pPr>
          </w:p>
        </w:tc>
        <w:tc>
          <w:tcPr>
            <w:tcW w:w="2724" w:type="pct"/>
            <w:tcBorders>
              <w:left w:val="nil"/>
            </w:tcBorders>
            <w:noWrap/>
          </w:tcPr>
          <w:p w14:paraId="5EC4E0FB"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Utility value – general ward</w:t>
            </w:r>
          </w:p>
        </w:tc>
        <w:tc>
          <w:tcPr>
            <w:tcW w:w="662" w:type="pct"/>
            <w:noWrap/>
          </w:tcPr>
          <w:p w14:paraId="41F7DB5E" w14:textId="77777777" w:rsidR="004A7EEE" w:rsidRPr="004A7EEE" w:rsidRDefault="004A7EEE" w:rsidP="004A7EEE">
            <w:pPr>
              <w:tabs>
                <w:tab w:val="left" w:pos="0"/>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0.73</w:t>
            </w:r>
          </w:p>
        </w:tc>
        <w:tc>
          <w:tcPr>
            <w:tcW w:w="1469" w:type="pct"/>
          </w:tcPr>
          <w:p w14:paraId="5CA78B59" w14:textId="77777777" w:rsidR="004A7EEE" w:rsidRPr="004A7EEE" w:rsidRDefault="004A7EEE" w:rsidP="004A7EEE">
            <w:pPr>
              <w:tabs>
                <w:tab w:val="left" w:pos="0"/>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81627"/>
                <w:sz w:val="20"/>
                <w:szCs w:val="20"/>
                <w:lang w:val="en-GB"/>
              </w:rPr>
            </w:pPr>
            <w:r w:rsidRPr="004A7EEE">
              <w:rPr>
                <w:rFonts w:ascii="Arial" w:eastAsia="Arial" w:hAnsi="Arial" w:cs="Arial"/>
                <w:color w:val="081627"/>
                <w:sz w:val="20"/>
                <w:szCs w:val="20"/>
                <w:lang w:val="en-GB"/>
              </w:rPr>
              <w:t>Beta (0.58 to 0.86)</w:t>
            </w:r>
          </w:p>
        </w:tc>
      </w:tr>
      <w:tr w:rsidR="004A7EEE" w:rsidRPr="004A7EEE" w14:paraId="04F59623" w14:textId="77777777" w:rsidTr="00E81F9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013D4A7B" w14:textId="2F2421D4" w:rsidR="004A7EEE" w:rsidRPr="004A7EEE" w:rsidRDefault="004A7EEE" w:rsidP="004A7EEE">
            <w:pPr>
              <w:spacing w:before="60" w:after="60"/>
              <w:rPr>
                <w:rFonts w:ascii="Arial" w:eastAsia="Arial" w:hAnsi="Arial" w:cs="Arial"/>
                <w:color w:val="081627"/>
                <w:sz w:val="18"/>
                <w:szCs w:val="18"/>
                <w:lang w:val="en-GB"/>
              </w:rPr>
            </w:pPr>
            <w:r w:rsidRPr="004A7EEE">
              <w:rPr>
                <w:rFonts w:ascii="Arial" w:eastAsia="Arial" w:hAnsi="Arial" w:cs="Arial"/>
                <w:color w:val="081627"/>
                <w:sz w:val="18"/>
                <w:szCs w:val="18"/>
                <w:lang w:val="en-GB"/>
              </w:rPr>
              <w:t>Key</w:t>
            </w:r>
            <w:r w:rsidRPr="004A7EEE">
              <w:rPr>
                <w:rFonts w:ascii="Arial" w:eastAsia="Arial" w:hAnsi="Arial" w:cs="Arial"/>
                <w:b w:val="0"/>
                <w:bCs w:val="0"/>
                <w:color w:val="081627"/>
                <w:sz w:val="18"/>
                <w:szCs w:val="18"/>
                <w:lang w:val="en-GB"/>
              </w:rPr>
              <w:t>:</w:t>
            </w:r>
            <w:r w:rsidRPr="004A7EEE">
              <w:rPr>
                <w:rFonts w:ascii="Arial" w:eastAsia="Arial" w:hAnsi="Arial" w:cs="Arial"/>
                <w:color w:val="081627"/>
                <w:sz w:val="18"/>
                <w:szCs w:val="18"/>
                <w:lang w:val="en-GB"/>
              </w:rPr>
              <w:t xml:space="preserve"> </w:t>
            </w:r>
            <w:r w:rsidRPr="004A7EEE">
              <w:rPr>
                <w:rFonts w:ascii="Arial" w:eastAsia="Arial" w:hAnsi="Arial" w:cs="Arial"/>
                <w:b w:val="0"/>
                <w:bCs w:val="0"/>
                <w:color w:val="081627"/>
                <w:sz w:val="18"/>
                <w:szCs w:val="18"/>
                <w:lang w:val="en-GB"/>
              </w:rPr>
              <w:t>CMS+IMI, colistin plus imipenem/cilastatin; ICU, intensive care unit; IMI/REL, imipenem/cilastatin/relebactam; LOS, length of stay; MITT, modified intent-to-treat; PIP/TAZ, piperacillin/tazobactam.</w:t>
            </w:r>
          </w:p>
          <w:p w14:paraId="275F1000" w14:textId="10122112" w:rsidR="004A7EEE" w:rsidRPr="004A7EEE" w:rsidRDefault="004A7EEE" w:rsidP="004A7EEE">
            <w:pPr>
              <w:spacing w:before="60" w:after="60"/>
              <w:rPr>
                <w:rFonts w:ascii="Arial" w:eastAsia="Arial" w:hAnsi="Arial" w:cs="Arial"/>
                <w:color w:val="081627"/>
                <w:sz w:val="18"/>
                <w:szCs w:val="18"/>
                <w:lang w:val="en-GB"/>
              </w:rPr>
            </w:pPr>
            <w:r w:rsidRPr="004A7EEE">
              <w:rPr>
                <w:rFonts w:ascii="Arial" w:eastAsia="Arial" w:hAnsi="Arial" w:cs="Arial"/>
                <w:color w:val="081627"/>
                <w:sz w:val="18"/>
                <w:szCs w:val="18"/>
                <w:lang w:val="en-GB"/>
              </w:rPr>
              <w:t>Note</w:t>
            </w:r>
            <w:r w:rsidRPr="004A7EEE">
              <w:rPr>
                <w:rFonts w:ascii="Arial" w:eastAsia="Arial" w:hAnsi="Arial" w:cs="Arial"/>
                <w:b w:val="0"/>
                <w:bCs w:val="0"/>
                <w:color w:val="081627"/>
                <w:sz w:val="18"/>
                <w:szCs w:val="18"/>
                <w:lang w:val="en-GB"/>
              </w:rPr>
              <w:t xml:space="preserve">: * </w:t>
            </w:r>
            <w:r w:rsidR="002C416F" w:rsidRPr="002C4CBB">
              <w:rPr>
                <w:rFonts w:ascii="Arial" w:eastAsia="Arial" w:hAnsi="Arial" w:cs="Arial"/>
                <w:b w:val="0"/>
                <w:bCs w:val="0"/>
                <w:color w:val="081627"/>
                <w:sz w:val="18"/>
                <w:szCs w:val="18"/>
                <w:lang w:val="en-GB"/>
              </w:rPr>
              <w:t xml:space="preserve">ICU and general ward daily </w:t>
            </w:r>
            <w:r w:rsidRPr="004A7EEE">
              <w:rPr>
                <w:rFonts w:ascii="Arial" w:eastAsia="Arial" w:hAnsi="Arial" w:cs="Arial"/>
                <w:b w:val="0"/>
                <w:bCs w:val="0"/>
                <w:color w:val="081627"/>
                <w:sz w:val="18"/>
                <w:szCs w:val="18"/>
                <w:lang w:val="en-GB"/>
              </w:rPr>
              <w:t>costs presented in this table are the original values reported in the literature (</w:t>
            </w:r>
            <w:r w:rsidR="002C416F" w:rsidRPr="002C4CBB">
              <w:rPr>
                <w:rFonts w:ascii="Arial" w:eastAsia="Arial" w:hAnsi="Arial" w:cs="Arial"/>
                <w:b w:val="0"/>
                <w:bCs w:val="0"/>
                <w:color w:val="081627"/>
                <w:sz w:val="18"/>
                <w:szCs w:val="18"/>
                <w:lang w:val="en-GB"/>
              </w:rPr>
              <w:t xml:space="preserve">prior to </w:t>
            </w:r>
            <w:r w:rsidRPr="004A7EEE">
              <w:rPr>
                <w:rFonts w:ascii="Arial" w:eastAsia="Arial" w:hAnsi="Arial" w:cs="Arial"/>
                <w:b w:val="0"/>
                <w:bCs w:val="0"/>
                <w:color w:val="081627"/>
                <w:sz w:val="18"/>
                <w:szCs w:val="18"/>
                <w:lang w:val="en-GB"/>
              </w:rPr>
              <w:t>uplifting to a 2021 cost year).</w:t>
            </w:r>
          </w:p>
        </w:tc>
      </w:tr>
    </w:tbl>
    <w:p w14:paraId="5C5B5537" w14:textId="77777777" w:rsidR="004A7EEE" w:rsidRPr="004A7EEE" w:rsidRDefault="004A7EEE" w:rsidP="004A7EEE">
      <w:pPr>
        <w:keepNext/>
        <w:spacing w:before="120" w:after="60" w:line="240" w:lineRule="auto"/>
        <w:rPr>
          <w:rFonts w:ascii="Arial" w:eastAsia="Times New Roman" w:hAnsi="Arial" w:cs="Times New Roman"/>
          <w:b/>
          <w:color w:val="081627"/>
          <w:spacing w:val="10"/>
          <w:szCs w:val="18"/>
          <w:lang w:bidi="en-US"/>
        </w:rPr>
      </w:pPr>
    </w:p>
    <w:p w14:paraId="3AE61496" w14:textId="2D9B1710" w:rsidR="004A7EEE" w:rsidRPr="002C4CBB" w:rsidRDefault="004A7EEE" w:rsidP="004A7EEE">
      <w:pPr>
        <w:keepNext/>
        <w:spacing w:before="120" w:after="60" w:line="240" w:lineRule="auto"/>
        <w:rPr>
          <w:rFonts w:ascii="Arial" w:eastAsia="Times New Roman" w:hAnsi="Arial" w:cs="Times New Roman"/>
          <w:b/>
          <w:color w:val="081627"/>
          <w:spacing w:val="10"/>
          <w:szCs w:val="18"/>
          <w:lang w:bidi="en-US"/>
        </w:rPr>
      </w:pPr>
      <w:r w:rsidRPr="004A7EEE">
        <w:rPr>
          <w:rFonts w:ascii="Arial" w:eastAsia="Times New Roman" w:hAnsi="Arial" w:cs="Times New Roman"/>
          <w:b/>
          <w:color w:val="081627"/>
          <w:spacing w:val="10"/>
          <w:szCs w:val="18"/>
          <w:lang w:bidi="en-US"/>
        </w:rPr>
        <w:t xml:space="preserve">Appendix 4: Probabilistic Sensitivity Analysis: Cost-effectiveness acceptability curve </w:t>
      </w:r>
      <w:r w:rsidR="002C416F" w:rsidRPr="002C4CBB">
        <w:rPr>
          <w:rFonts w:ascii="Arial" w:eastAsia="Times New Roman" w:hAnsi="Arial" w:cs="Times New Roman"/>
          <w:b/>
          <w:noProof/>
          <w:color w:val="081627"/>
          <w:spacing w:val="10"/>
          <w:szCs w:val="18"/>
          <w:lang w:bidi="en-US"/>
        </w:rPr>
        <w:drawing>
          <wp:inline distT="0" distB="0" distL="0" distR="0" wp14:anchorId="58C0602C" wp14:editId="1A82F91A">
            <wp:extent cx="6120000" cy="3981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000" cy="3981712"/>
                    </a:xfrm>
                    <a:prstGeom prst="rect">
                      <a:avLst/>
                    </a:prstGeom>
                    <a:noFill/>
                  </pic:spPr>
                </pic:pic>
              </a:graphicData>
            </a:graphic>
          </wp:inline>
        </w:drawing>
      </w:r>
    </w:p>
    <w:p w14:paraId="31D098A1" w14:textId="7A5CA90F" w:rsidR="002C416F" w:rsidRPr="004A7EEE" w:rsidRDefault="002C416F" w:rsidP="004A7EEE">
      <w:pPr>
        <w:keepNext/>
        <w:spacing w:before="120" w:after="60" w:line="240" w:lineRule="auto"/>
        <w:rPr>
          <w:rFonts w:ascii="Arial" w:eastAsia="Times New Roman" w:hAnsi="Arial" w:cs="Times New Roman"/>
          <w:b/>
          <w:color w:val="081627"/>
          <w:spacing w:val="10"/>
          <w:szCs w:val="18"/>
          <w:lang w:bidi="en-US"/>
        </w:rPr>
      </w:pPr>
      <w:r w:rsidRPr="004A7EEE">
        <w:rPr>
          <w:rFonts w:ascii="Arial" w:eastAsia="Arial" w:hAnsi="Arial" w:cs="Arial"/>
          <w:b/>
          <w:bCs/>
          <w:color w:val="081627"/>
          <w:sz w:val="18"/>
          <w:szCs w:val="18"/>
        </w:rPr>
        <w:t>Key</w:t>
      </w:r>
      <w:r w:rsidRPr="004A7EEE">
        <w:rPr>
          <w:rFonts w:ascii="Arial" w:eastAsia="Arial" w:hAnsi="Arial" w:cs="Arial"/>
          <w:color w:val="081627"/>
          <w:sz w:val="18"/>
          <w:szCs w:val="18"/>
        </w:rPr>
        <w:t xml:space="preserve">: </w:t>
      </w:r>
      <w:r w:rsidRPr="002C4CBB">
        <w:rPr>
          <w:rFonts w:ascii="Arial" w:eastAsia="Arial" w:hAnsi="Arial" w:cs="Arial"/>
          <w:color w:val="081627"/>
          <w:sz w:val="18"/>
          <w:szCs w:val="18"/>
        </w:rPr>
        <w:t xml:space="preserve">IMI/REL, imipenem/cilastatin/relebactam; PIP/TAZ, piperacillin/tazobactam; WTP, willingness-to-pay. </w:t>
      </w:r>
    </w:p>
    <w:p w14:paraId="27B09DA7" w14:textId="36E1107F" w:rsidR="004A7EEE" w:rsidRPr="002C4CBB" w:rsidRDefault="004A7EEE" w:rsidP="004A7EEE">
      <w:pPr>
        <w:keepNext/>
        <w:spacing w:before="120" w:after="60" w:line="240" w:lineRule="auto"/>
        <w:rPr>
          <w:rFonts w:ascii="Arial" w:eastAsia="Times New Roman" w:hAnsi="Arial" w:cs="Times New Roman"/>
          <w:b/>
          <w:color w:val="081627"/>
          <w:spacing w:val="10"/>
          <w:szCs w:val="18"/>
          <w:lang w:bidi="en-US"/>
        </w:rPr>
      </w:pPr>
    </w:p>
    <w:p w14:paraId="3D9CDD5E" w14:textId="77777777" w:rsidR="004A7EEE" w:rsidRPr="004A7EEE" w:rsidRDefault="004A7EEE" w:rsidP="004A7EEE">
      <w:pPr>
        <w:keepNext/>
        <w:spacing w:before="120" w:after="60" w:line="240" w:lineRule="auto"/>
        <w:rPr>
          <w:rFonts w:ascii="Arial" w:eastAsia="Times New Roman" w:hAnsi="Arial" w:cs="Times New Roman"/>
          <w:b/>
          <w:color w:val="081627"/>
          <w:spacing w:val="10"/>
          <w:szCs w:val="18"/>
          <w:lang w:bidi="en-US"/>
        </w:rPr>
      </w:pPr>
      <w:r w:rsidRPr="004A7EEE">
        <w:rPr>
          <w:rFonts w:ascii="Arial" w:eastAsia="Times New Roman" w:hAnsi="Arial" w:cs="Times New Roman"/>
          <w:b/>
          <w:color w:val="081627"/>
          <w:spacing w:val="10"/>
          <w:szCs w:val="18"/>
          <w:lang w:bidi="en-US"/>
        </w:rPr>
        <w:t>Appendix 5: Scenario analysis</w:t>
      </w:r>
    </w:p>
    <w:tbl>
      <w:tblPr>
        <w:tblStyle w:val="TableGrid"/>
        <w:tblW w:w="5000" w:type="pct"/>
        <w:tblLook w:val="04A0" w:firstRow="1" w:lastRow="0" w:firstColumn="1" w:lastColumn="0" w:noHBand="0" w:noVBand="1"/>
      </w:tblPr>
      <w:tblGrid>
        <w:gridCol w:w="4292"/>
        <w:gridCol w:w="1917"/>
        <w:gridCol w:w="2062"/>
        <w:gridCol w:w="1357"/>
      </w:tblGrid>
      <w:tr w:rsidR="004A7EEE" w:rsidRPr="004A7EEE" w14:paraId="0AC14384" w14:textId="77777777" w:rsidTr="001A500B">
        <w:trPr>
          <w:trHeight w:val="300"/>
        </w:trPr>
        <w:tc>
          <w:tcPr>
            <w:tcW w:w="2427" w:type="pct"/>
            <w:noWrap/>
            <w:vAlign w:val="center"/>
            <w:hideMark/>
          </w:tcPr>
          <w:p w14:paraId="45E546D9" w14:textId="721414FC" w:rsidR="004A7EEE" w:rsidRPr="004A7EEE" w:rsidRDefault="004A7EEE" w:rsidP="001A500B">
            <w:pPr>
              <w:tabs>
                <w:tab w:val="left" w:pos="0"/>
              </w:tabs>
              <w:spacing w:before="60" w:after="60"/>
              <w:jc w:val="center"/>
              <w:rPr>
                <w:rFonts w:ascii="Arial" w:eastAsia="Arial" w:hAnsi="Arial" w:cs="Arial"/>
                <w:b/>
                <w:bCs/>
                <w:color w:val="081627"/>
                <w:sz w:val="20"/>
                <w:szCs w:val="20"/>
                <w:lang w:bidi="en-US"/>
              </w:rPr>
            </w:pPr>
            <w:r w:rsidRPr="004A7EEE">
              <w:rPr>
                <w:rFonts w:ascii="Arial" w:eastAsia="Arial" w:hAnsi="Arial" w:cs="Arial"/>
                <w:b/>
                <w:bCs/>
                <w:color w:val="081627"/>
                <w:sz w:val="20"/>
                <w:szCs w:val="20"/>
                <w:lang w:bidi="en-US"/>
              </w:rPr>
              <w:t>Scenario</w:t>
            </w:r>
          </w:p>
        </w:tc>
        <w:tc>
          <w:tcPr>
            <w:tcW w:w="402" w:type="pct"/>
            <w:noWrap/>
            <w:vAlign w:val="center"/>
            <w:hideMark/>
          </w:tcPr>
          <w:p w14:paraId="07DBDBA9" w14:textId="77777777" w:rsidR="004A7EEE" w:rsidRPr="004A7EEE" w:rsidRDefault="004A7EEE" w:rsidP="001A500B">
            <w:pPr>
              <w:tabs>
                <w:tab w:val="left" w:pos="0"/>
              </w:tabs>
              <w:spacing w:before="60" w:after="60"/>
              <w:jc w:val="center"/>
              <w:rPr>
                <w:rFonts w:ascii="Arial" w:eastAsia="Arial" w:hAnsi="Arial" w:cs="Arial"/>
                <w:b/>
                <w:bCs/>
                <w:color w:val="081627"/>
                <w:sz w:val="20"/>
                <w:szCs w:val="20"/>
                <w:lang w:bidi="en-US"/>
              </w:rPr>
            </w:pPr>
            <w:r w:rsidRPr="004A7EEE">
              <w:rPr>
                <w:rFonts w:ascii="Arial" w:eastAsia="Arial" w:hAnsi="Arial" w:cs="Arial"/>
                <w:b/>
                <w:bCs/>
                <w:color w:val="081627"/>
                <w:sz w:val="20"/>
                <w:szCs w:val="20"/>
                <w:lang w:bidi="en-US"/>
              </w:rPr>
              <w:t>Incremental costs</w:t>
            </w:r>
          </w:p>
        </w:tc>
        <w:tc>
          <w:tcPr>
            <w:tcW w:w="1244" w:type="pct"/>
            <w:noWrap/>
            <w:vAlign w:val="center"/>
            <w:hideMark/>
          </w:tcPr>
          <w:p w14:paraId="18869A4B" w14:textId="77777777" w:rsidR="004A7EEE" w:rsidRPr="004A7EEE" w:rsidRDefault="004A7EEE" w:rsidP="001A500B">
            <w:pPr>
              <w:tabs>
                <w:tab w:val="left" w:pos="0"/>
              </w:tabs>
              <w:spacing w:before="60" w:after="60"/>
              <w:jc w:val="center"/>
              <w:rPr>
                <w:rFonts w:ascii="Arial" w:eastAsia="Arial" w:hAnsi="Arial" w:cs="Arial"/>
                <w:b/>
                <w:bCs/>
                <w:color w:val="081627"/>
                <w:sz w:val="20"/>
                <w:szCs w:val="20"/>
                <w:lang w:bidi="en-US"/>
              </w:rPr>
            </w:pPr>
            <w:r w:rsidRPr="004A7EEE">
              <w:rPr>
                <w:rFonts w:ascii="Arial" w:eastAsia="Arial" w:hAnsi="Arial" w:cs="Arial"/>
                <w:b/>
                <w:bCs/>
                <w:color w:val="081627"/>
                <w:sz w:val="20"/>
                <w:szCs w:val="20"/>
                <w:lang w:bidi="en-US"/>
              </w:rPr>
              <w:t>Incremental QALYs</w:t>
            </w:r>
          </w:p>
        </w:tc>
        <w:tc>
          <w:tcPr>
            <w:tcW w:w="927" w:type="pct"/>
            <w:vAlign w:val="center"/>
            <w:hideMark/>
          </w:tcPr>
          <w:p w14:paraId="7ED9F60D" w14:textId="77777777" w:rsidR="004A7EEE" w:rsidRPr="004A7EEE" w:rsidRDefault="004A7EEE" w:rsidP="001A500B">
            <w:pPr>
              <w:tabs>
                <w:tab w:val="left" w:pos="0"/>
              </w:tabs>
              <w:spacing w:before="60" w:after="60"/>
              <w:jc w:val="center"/>
              <w:rPr>
                <w:rFonts w:ascii="Arial" w:eastAsia="Arial" w:hAnsi="Arial" w:cs="Arial"/>
                <w:b/>
                <w:bCs/>
                <w:color w:val="081627"/>
                <w:sz w:val="20"/>
                <w:szCs w:val="20"/>
                <w:lang w:bidi="en-US"/>
              </w:rPr>
            </w:pPr>
            <w:r w:rsidRPr="004A7EEE">
              <w:rPr>
                <w:rFonts w:ascii="Arial" w:eastAsia="Arial" w:hAnsi="Arial" w:cs="Arial"/>
                <w:b/>
                <w:bCs/>
                <w:color w:val="081627"/>
                <w:sz w:val="20"/>
                <w:szCs w:val="20"/>
                <w:lang w:bidi="en-US"/>
              </w:rPr>
              <w:t>ICER</w:t>
            </w:r>
          </w:p>
        </w:tc>
      </w:tr>
      <w:tr w:rsidR="004A7EEE" w:rsidRPr="004A7EEE" w14:paraId="58572429" w14:textId="77777777" w:rsidTr="001A500B">
        <w:trPr>
          <w:trHeight w:val="285"/>
        </w:trPr>
        <w:tc>
          <w:tcPr>
            <w:tcW w:w="2427" w:type="pct"/>
            <w:hideMark/>
          </w:tcPr>
          <w:p w14:paraId="3347DCE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Time horizon - 10 years</w:t>
            </w:r>
          </w:p>
        </w:tc>
        <w:tc>
          <w:tcPr>
            <w:tcW w:w="402" w:type="pct"/>
            <w:noWrap/>
            <w:vAlign w:val="center"/>
            <w:hideMark/>
          </w:tcPr>
          <w:p w14:paraId="66F30586"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$14,741</w:t>
            </w:r>
          </w:p>
        </w:tc>
        <w:tc>
          <w:tcPr>
            <w:tcW w:w="1244" w:type="pct"/>
            <w:noWrap/>
            <w:vAlign w:val="center"/>
            <w:hideMark/>
          </w:tcPr>
          <w:p w14:paraId="1427E3F0"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0.44</w:t>
            </w:r>
          </w:p>
        </w:tc>
        <w:tc>
          <w:tcPr>
            <w:tcW w:w="927" w:type="pct"/>
            <w:noWrap/>
            <w:vAlign w:val="center"/>
            <w:hideMark/>
          </w:tcPr>
          <w:p w14:paraId="59602422"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$33,819</w:t>
            </w:r>
          </w:p>
        </w:tc>
      </w:tr>
      <w:tr w:rsidR="004A7EEE" w:rsidRPr="004A7EEE" w14:paraId="548F36F1" w14:textId="77777777" w:rsidTr="001A500B">
        <w:trPr>
          <w:trHeight w:val="285"/>
        </w:trPr>
        <w:tc>
          <w:tcPr>
            <w:tcW w:w="2427" w:type="pct"/>
            <w:hideMark/>
          </w:tcPr>
          <w:p w14:paraId="221323BF"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Time horizon - 20 years</w:t>
            </w:r>
          </w:p>
        </w:tc>
        <w:tc>
          <w:tcPr>
            <w:tcW w:w="402" w:type="pct"/>
            <w:noWrap/>
            <w:vAlign w:val="center"/>
            <w:hideMark/>
          </w:tcPr>
          <w:p w14:paraId="534F0A9C"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$14,741</w:t>
            </w:r>
          </w:p>
        </w:tc>
        <w:tc>
          <w:tcPr>
            <w:tcW w:w="1244" w:type="pct"/>
            <w:noWrap/>
            <w:vAlign w:val="center"/>
            <w:hideMark/>
          </w:tcPr>
          <w:p w14:paraId="1A56F3AB"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0.70</w:t>
            </w:r>
          </w:p>
        </w:tc>
        <w:tc>
          <w:tcPr>
            <w:tcW w:w="927" w:type="pct"/>
            <w:noWrap/>
            <w:vAlign w:val="center"/>
            <w:hideMark/>
          </w:tcPr>
          <w:p w14:paraId="14CE974E"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$21,041</w:t>
            </w:r>
          </w:p>
        </w:tc>
      </w:tr>
      <w:tr w:rsidR="004A7EEE" w:rsidRPr="004A7EEE" w14:paraId="27886A65" w14:textId="77777777" w:rsidTr="001A500B">
        <w:trPr>
          <w:trHeight w:val="285"/>
        </w:trPr>
        <w:tc>
          <w:tcPr>
            <w:tcW w:w="2427" w:type="pct"/>
            <w:hideMark/>
          </w:tcPr>
          <w:p w14:paraId="153BB0D1"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Time horizon - 30 years</w:t>
            </w:r>
          </w:p>
        </w:tc>
        <w:tc>
          <w:tcPr>
            <w:tcW w:w="402" w:type="pct"/>
            <w:noWrap/>
            <w:vAlign w:val="center"/>
            <w:hideMark/>
          </w:tcPr>
          <w:p w14:paraId="2DFAFFAB"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$14,741</w:t>
            </w:r>
          </w:p>
        </w:tc>
        <w:tc>
          <w:tcPr>
            <w:tcW w:w="1244" w:type="pct"/>
            <w:noWrap/>
            <w:vAlign w:val="center"/>
            <w:hideMark/>
          </w:tcPr>
          <w:p w14:paraId="112F1060"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0.82</w:t>
            </w:r>
          </w:p>
        </w:tc>
        <w:tc>
          <w:tcPr>
            <w:tcW w:w="927" w:type="pct"/>
            <w:noWrap/>
            <w:vAlign w:val="center"/>
            <w:hideMark/>
          </w:tcPr>
          <w:p w14:paraId="5593F0C4"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$17,997</w:t>
            </w:r>
          </w:p>
        </w:tc>
      </w:tr>
      <w:tr w:rsidR="004A7EEE" w:rsidRPr="004A7EEE" w14:paraId="6B79BC3F" w14:textId="77777777" w:rsidTr="001A500B">
        <w:trPr>
          <w:trHeight w:val="285"/>
        </w:trPr>
        <w:tc>
          <w:tcPr>
            <w:tcW w:w="2427" w:type="pct"/>
            <w:hideMark/>
          </w:tcPr>
          <w:p w14:paraId="37665A57"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1.5% discount rates</w:t>
            </w:r>
          </w:p>
        </w:tc>
        <w:tc>
          <w:tcPr>
            <w:tcW w:w="402" w:type="pct"/>
            <w:noWrap/>
            <w:vAlign w:val="center"/>
            <w:hideMark/>
          </w:tcPr>
          <w:p w14:paraId="6CA4978A"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$14,742</w:t>
            </w:r>
          </w:p>
        </w:tc>
        <w:tc>
          <w:tcPr>
            <w:tcW w:w="1244" w:type="pct"/>
            <w:noWrap/>
            <w:vAlign w:val="center"/>
            <w:hideMark/>
          </w:tcPr>
          <w:p w14:paraId="01568478"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1.01</w:t>
            </w:r>
          </w:p>
        </w:tc>
        <w:tc>
          <w:tcPr>
            <w:tcW w:w="927" w:type="pct"/>
            <w:noWrap/>
            <w:vAlign w:val="center"/>
            <w:hideMark/>
          </w:tcPr>
          <w:p w14:paraId="6F24A278"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$14,644</w:t>
            </w:r>
          </w:p>
        </w:tc>
      </w:tr>
      <w:tr w:rsidR="004A7EEE" w:rsidRPr="004A7EEE" w14:paraId="02A772CD" w14:textId="77777777" w:rsidTr="001A500B">
        <w:trPr>
          <w:trHeight w:val="285"/>
        </w:trPr>
        <w:tc>
          <w:tcPr>
            <w:tcW w:w="2427" w:type="pct"/>
            <w:hideMark/>
          </w:tcPr>
          <w:p w14:paraId="38379C6C"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6% discount rates</w:t>
            </w:r>
          </w:p>
        </w:tc>
        <w:tc>
          <w:tcPr>
            <w:tcW w:w="402" w:type="pct"/>
            <w:noWrap/>
            <w:vAlign w:val="center"/>
            <w:hideMark/>
          </w:tcPr>
          <w:p w14:paraId="4878A57D"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$14,738</w:t>
            </w:r>
          </w:p>
        </w:tc>
        <w:tc>
          <w:tcPr>
            <w:tcW w:w="1244" w:type="pct"/>
            <w:noWrap/>
            <w:vAlign w:val="center"/>
            <w:hideMark/>
          </w:tcPr>
          <w:p w14:paraId="57718679"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0.82</w:t>
            </w:r>
          </w:p>
        </w:tc>
        <w:tc>
          <w:tcPr>
            <w:tcW w:w="927" w:type="pct"/>
            <w:noWrap/>
            <w:vAlign w:val="center"/>
            <w:hideMark/>
          </w:tcPr>
          <w:p w14:paraId="3940B689"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$23,901</w:t>
            </w:r>
          </w:p>
        </w:tc>
      </w:tr>
      <w:tr w:rsidR="004A7EEE" w:rsidRPr="004A7EEE" w14:paraId="7C945DBF" w14:textId="77777777" w:rsidTr="001A500B">
        <w:trPr>
          <w:trHeight w:val="285"/>
        </w:trPr>
        <w:tc>
          <w:tcPr>
            <w:tcW w:w="2427" w:type="pct"/>
            <w:hideMark/>
          </w:tcPr>
          <w:p w14:paraId="6CEBCB75"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 xml:space="preserve">MITT sub-cohort who </w:t>
            </w:r>
            <w:proofErr w:type="gramStart"/>
            <w:r w:rsidRPr="004A7EEE">
              <w:rPr>
                <w:rFonts w:ascii="Arial" w:eastAsia="Arial" w:hAnsi="Arial" w:cs="Arial"/>
                <w:color w:val="081627"/>
                <w:sz w:val="20"/>
                <w:szCs w:val="20"/>
                <w:lang w:bidi="en-US"/>
              </w:rPr>
              <w:t>experience</w:t>
            </w:r>
            <w:proofErr w:type="gramEnd"/>
            <w:r w:rsidRPr="004A7EEE">
              <w:rPr>
                <w:rFonts w:ascii="Arial" w:eastAsia="Arial" w:hAnsi="Arial" w:cs="Arial"/>
                <w:color w:val="081627"/>
                <w:sz w:val="20"/>
                <w:szCs w:val="20"/>
                <w:lang w:bidi="en-US"/>
              </w:rPr>
              <w:t xml:space="preserve"> prior treatment failure</w:t>
            </w:r>
          </w:p>
        </w:tc>
        <w:tc>
          <w:tcPr>
            <w:tcW w:w="402" w:type="pct"/>
            <w:noWrap/>
            <w:vAlign w:val="center"/>
            <w:hideMark/>
          </w:tcPr>
          <w:p w14:paraId="2CE92F0F"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-$8,186</w:t>
            </w:r>
          </w:p>
        </w:tc>
        <w:tc>
          <w:tcPr>
            <w:tcW w:w="1244" w:type="pct"/>
            <w:noWrap/>
            <w:vAlign w:val="center"/>
            <w:hideMark/>
          </w:tcPr>
          <w:p w14:paraId="08BF1E0E"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1.71</w:t>
            </w:r>
          </w:p>
        </w:tc>
        <w:tc>
          <w:tcPr>
            <w:tcW w:w="927" w:type="pct"/>
            <w:noWrap/>
            <w:vAlign w:val="center"/>
            <w:hideMark/>
          </w:tcPr>
          <w:p w14:paraId="26F0BD21"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Dominant</w:t>
            </w:r>
          </w:p>
        </w:tc>
      </w:tr>
      <w:tr w:rsidR="004A7EEE" w:rsidRPr="004A7EEE" w14:paraId="603FEE7E" w14:textId="77777777" w:rsidTr="001A500B">
        <w:trPr>
          <w:trHeight w:val="285"/>
        </w:trPr>
        <w:tc>
          <w:tcPr>
            <w:tcW w:w="2427" w:type="pct"/>
            <w:hideMark/>
          </w:tcPr>
          <w:p w14:paraId="62DD6285"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Clinical response assessment visit: EFU</w:t>
            </w:r>
          </w:p>
        </w:tc>
        <w:tc>
          <w:tcPr>
            <w:tcW w:w="402" w:type="pct"/>
            <w:noWrap/>
            <w:vAlign w:val="center"/>
            <w:hideMark/>
          </w:tcPr>
          <w:p w14:paraId="62196527"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$9,773</w:t>
            </w:r>
          </w:p>
        </w:tc>
        <w:tc>
          <w:tcPr>
            <w:tcW w:w="1244" w:type="pct"/>
            <w:noWrap/>
            <w:vAlign w:val="center"/>
            <w:hideMark/>
          </w:tcPr>
          <w:p w14:paraId="034A6509"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1.14</w:t>
            </w:r>
          </w:p>
        </w:tc>
        <w:tc>
          <w:tcPr>
            <w:tcW w:w="927" w:type="pct"/>
            <w:noWrap/>
            <w:vAlign w:val="center"/>
            <w:hideMark/>
          </w:tcPr>
          <w:p w14:paraId="5812B1E8"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$8,544</w:t>
            </w:r>
          </w:p>
        </w:tc>
      </w:tr>
      <w:tr w:rsidR="004A7EEE" w:rsidRPr="004A7EEE" w14:paraId="44216DC7" w14:textId="77777777" w:rsidTr="001A500B">
        <w:trPr>
          <w:trHeight w:val="285"/>
        </w:trPr>
        <w:tc>
          <w:tcPr>
            <w:tcW w:w="2427" w:type="pct"/>
            <w:hideMark/>
          </w:tcPr>
          <w:p w14:paraId="0FAD471F"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Clinical response assessment visit: EOT</w:t>
            </w:r>
          </w:p>
        </w:tc>
        <w:tc>
          <w:tcPr>
            <w:tcW w:w="402" w:type="pct"/>
            <w:noWrap/>
            <w:vAlign w:val="center"/>
            <w:hideMark/>
          </w:tcPr>
          <w:p w14:paraId="058E2098"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$11,975</w:t>
            </w:r>
          </w:p>
        </w:tc>
        <w:tc>
          <w:tcPr>
            <w:tcW w:w="1244" w:type="pct"/>
            <w:noWrap/>
            <w:vAlign w:val="center"/>
            <w:hideMark/>
          </w:tcPr>
          <w:p w14:paraId="388520C4"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1.18</w:t>
            </w:r>
          </w:p>
        </w:tc>
        <w:tc>
          <w:tcPr>
            <w:tcW w:w="927" w:type="pct"/>
            <w:noWrap/>
            <w:vAlign w:val="center"/>
            <w:hideMark/>
          </w:tcPr>
          <w:p w14:paraId="6646C5DC"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$10,122</w:t>
            </w:r>
          </w:p>
        </w:tc>
      </w:tr>
      <w:tr w:rsidR="004A7EEE" w:rsidRPr="004A7EEE" w14:paraId="2B0E02C8" w14:textId="77777777" w:rsidTr="001A500B">
        <w:trPr>
          <w:trHeight w:val="285"/>
        </w:trPr>
        <w:tc>
          <w:tcPr>
            <w:tcW w:w="2427" w:type="pct"/>
            <w:hideMark/>
          </w:tcPr>
          <w:p w14:paraId="517D3180" w14:textId="0EBBFAE1"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Non-inferiority (</w:t>
            </w:r>
            <w:r w:rsidR="001A500B" w:rsidRPr="002C4CBB">
              <w:rPr>
                <w:rFonts w:ascii="Arial" w:eastAsia="Arial" w:hAnsi="Arial" w:cs="Arial"/>
                <w:color w:val="081627"/>
                <w:sz w:val="20"/>
                <w:szCs w:val="20"/>
                <w:lang w:bidi="en-US"/>
              </w:rPr>
              <w:t>antibacterial agents</w:t>
            </w:r>
            <w:r w:rsidRPr="004A7EEE">
              <w:rPr>
                <w:rFonts w:ascii="Arial" w:eastAsia="Arial" w:hAnsi="Arial" w:cs="Arial"/>
                <w:color w:val="081627"/>
                <w:sz w:val="20"/>
                <w:szCs w:val="20"/>
                <w:lang w:bidi="en-US"/>
              </w:rPr>
              <w:t xml:space="preserve"> have equal response and mortality rates)</w:t>
            </w:r>
          </w:p>
        </w:tc>
        <w:tc>
          <w:tcPr>
            <w:tcW w:w="402" w:type="pct"/>
            <w:noWrap/>
            <w:vAlign w:val="center"/>
            <w:hideMark/>
          </w:tcPr>
          <w:p w14:paraId="4AE0DCE8"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$6,252</w:t>
            </w:r>
          </w:p>
        </w:tc>
        <w:tc>
          <w:tcPr>
            <w:tcW w:w="1244" w:type="pct"/>
            <w:noWrap/>
            <w:vAlign w:val="center"/>
            <w:hideMark/>
          </w:tcPr>
          <w:p w14:paraId="2F878F37"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0.48</w:t>
            </w:r>
          </w:p>
        </w:tc>
        <w:tc>
          <w:tcPr>
            <w:tcW w:w="927" w:type="pct"/>
            <w:noWrap/>
            <w:vAlign w:val="center"/>
            <w:hideMark/>
          </w:tcPr>
          <w:p w14:paraId="7E8E1023"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$13,003</w:t>
            </w:r>
          </w:p>
        </w:tc>
      </w:tr>
      <w:tr w:rsidR="004A7EEE" w:rsidRPr="004A7EEE" w14:paraId="10FBB8F6" w14:textId="77777777" w:rsidTr="001A500B">
        <w:trPr>
          <w:trHeight w:val="285"/>
        </w:trPr>
        <w:tc>
          <w:tcPr>
            <w:tcW w:w="2427" w:type="pct"/>
            <w:hideMark/>
          </w:tcPr>
          <w:p w14:paraId="538D7411" w14:textId="77777777" w:rsidR="004A7EEE" w:rsidRPr="004A7EEE" w:rsidRDefault="004A7EEE" w:rsidP="004A7EEE">
            <w:pPr>
              <w:tabs>
                <w:tab w:val="left" w:pos="0"/>
              </w:tabs>
              <w:spacing w:before="60" w:after="60"/>
              <w:rPr>
                <w:rFonts w:ascii="Arial" w:eastAsia="Arial" w:hAnsi="Arial" w:cs="Arial"/>
                <w:color w:val="081627"/>
                <w:sz w:val="20"/>
                <w:szCs w:val="20"/>
                <w:lang w:bidi="en-US"/>
              </w:rPr>
            </w:pPr>
            <w:r w:rsidRPr="004A7EEE">
              <w:rPr>
                <w:rFonts w:ascii="Arial" w:eastAsia="Arial" w:hAnsi="Arial" w:cs="Arial"/>
                <w:color w:val="081627"/>
                <w:sz w:val="20"/>
                <w:szCs w:val="20"/>
                <w:lang w:bidi="en-US"/>
              </w:rPr>
              <w:t>Subsequent treatment response rate - 100%</w:t>
            </w:r>
          </w:p>
        </w:tc>
        <w:tc>
          <w:tcPr>
            <w:tcW w:w="402" w:type="pct"/>
            <w:noWrap/>
            <w:vAlign w:val="center"/>
            <w:hideMark/>
          </w:tcPr>
          <w:p w14:paraId="74AA9FF7"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$16,905</w:t>
            </w:r>
          </w:p>
        </w:tc>
        <w:tc>
          <w:tcPr>
            <w:tcW w:w="1244" w:type="pct"/>
            <w:noWrap/>
            <w:vAlign w:val="center"/>
            <w:hideMark/>
          </w:tcPr>
          <w:p w14:paraId="50C7C73B"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1.30</w:t>
            </w:r>
          </w:p>
        </w:tc>
        <w:tc>
          <w:tcPr>
            <w:tcW w:w="927" w:type="pct"/>
            <w:noWrap/>
            <w:vAlign w:val="center"/>
            <w:hideMark/>
          </w:tcPr>
          <w:p w14:paraId="1B33100E" w14:textId="77777777" w:rsidR="004A7EEE" w:rsidRPr="004A7EEE" w:rsidRDefault="004A7EEE" w:rsidP="001A500B">
            <w:pPr>
              <w:tabs>
                <w:tab w:val="left" w:pos="0"/>
              </w:tabs>
              <w:spacing w:before="60" w:after="60"/>
              <w:jc w:val="right"/>
              <w:rPr>
                <w:rFonts w:ascii="Arial" w:eastAsia="Arial" w:hAnsi="Arial" w:cs="Arial"/>
                <w:color w:val="081627"/>
                <w:sz w:val="20"/>
                <w:szCs w:val="20"/>
                <w:lang w:bidi="en-US"/>
              </w:rPr>
            </w:pPr>
            <w:r w:rsidRPr="004A7EEE">
              <w:rPr>
                <w:rFonts w:ascii="Arial" w:eastAsia="Arial" w:hAnsi="Arial" w:cs="Arial"/>
                <w:color w:val="081627"/>
                <w:sz w:val="20"/>
                <w:szCs w:val="20"/>
                <w:lang w:bidi="en-US"/>
              </w:rPr>
              <w:t>$13,039</w:t>
            </w:r>
          </w:p>
        </w:tc>
      </w:tr>
      <w:tr w:rsidR="002C416F" w:rsidRPr="002C4CBB" w14:paraId="286A18B8" w14:textId="77777777" w:rsidTr="001A500B">
        <w:trPr>
          <w:trHeight w:val="184"/>
        </w:trPr>
        <w:tc>
          <w:tcPr>
            <w:tcW w:w="5000" w:type="pct"/>
            <w:gridSpan w:val="4"/>
            <w:vAlign w:val="center"/>
          </w:tcPr>
          <w:p w14:paraId="39F28877" w14:textId="0995BF80" w:rsidR="002C416F" w:rsidRPr="002C4CBB" w:rsidRDefault="001A500B" w:rsidP="001A500B">
            <w:pPr>
              <w:keepNext/>
              <w:spacing w:before="120" w:after="60"/>
              <w:rPr>
                <w:rFonts w:ascii="Arial" w:eastAsia="Times New Roman" w:hAnsi="Arial" w:cs="Times New Roman"/>
                <w:b/>
                <w:color w:val="081627"/>
                <w:spacing w:val="10"/>
                <w:szCs w:val="18"/>
                <w:lang w:bidi="en-US"/>
              </w:rPr>
            </w:pPr>
            <w:r w:rsidRPr="002C4CBB">
              <w:rPr>
                <w:rFonts w:ascii="Arial" w:eastAsia="Arial" w:hAnsi="Arial" w:cs="Arial"/>
                <w:b/>
                <w:bCs/>
                <w:color w:val="081627"/>
                <w:sz w:val="18"/>
                <w:szCs w:val="18"/>
              </w:rPr>
              <w:t>Key</w:t>
            </w:r>
            <w:r w:rsidRPr="002C4CBB">
              <w:rPr>
                <w:rFonts w:ascii="Arial" w:eastAsia="Arial" w:hAnsi="Arial" w:cs="Arial"/>
                <w:color w:val="081627"/>
                <w:sz w:val="18"/>
                <w:szCs w:val="18"/>
              </w:rPr>
              <w:t>: EFU, early follow up; EOT, end of therapy; ICER, incremental cost-effectiveness ratio; MITT, modified intent-to-treat; QALY, quality-adjusted life year.</w:t>
            </w:r>
          </w:p>
        </w:tc>
      </w:tr>
    </w:tbl>
    <w:p w14:paraId="23F380F9" w14:textId="77777777" w:rsidR="004A7EEE" w:rsidRPr="004A7EEE" w:rsidRDefault="004A7EEE" w:rsidP="004A7EEE">
      <w:pPr>
        <w:spacing w:before="120" w:after="120" w:line="360" w:lineRule="auto"/>
        <w:rPr>
          <w:rFonts w:ascii="Arial" w:eastAsia="Arial" w:hAnsi="Arial" w:cs="Times New Roman"/>
          <w:color w:val="081627"/>
          <w:lang w:bidi="en-US"/>
        </w:rPr>
      </w:pPr>
    </w:p>
    <w:p w14:paraId="4FA78E7F" w14:textId="77777777" w:rsidR="004A7EEE" w:rsidRPr="004A7EEE" w:rsidRDefault="004A7EEE" w:rsidP="004A7EEE">
      <w:pPr>
        <w:keepNext/>
        <w:spacing w:before="120" w:after="60" w:line="240" w:lineRule="auto"/>
        <w:rPr>
          <w:rFonts w:ascii="Arial" w:eastAsia="Times New Roman" w:hAnsi="Arial" w:cs="Times New Roman"/>
          <w:b/>
          <w:color w:val="081627"/>
          <w:spacing w:val="10"/>
          <w:szCs w:val="18"/>
          <w:lang w:bidi="en-US"/>
        </w:rPr>
      </w:pPr>
      <w:r w:rsidRPr="004A7EEE">
        <w:rPr>
          <w:rFonts w:ascii="Arial" w:eastAsia="Times New Roman" w:hAnsi="Arial" w:cs="Times New Roman"/>
          <w:b/>
          <w:color w:val="081627"/>
          <w:spacing w:val="10"/>
          <w:szCs w:val="18"/>
          <w:lang w:bidi="en-US"/>
        </w:rPr>
        <w:lastRenderedPageBreak/>
        <w:t>Appendix 6. Indirect Evidence’s Effect on Model Results</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24"/>
        <w:gridCol w:w="3526"/>
        <w:gridCol w:w="1997"/>
      </w:tblGrid>
      <w:tr w:rsidR="004A7EEE" w:rsidRPr="004A7EEE" w14:paraId="5C197713" w14:textId="77777777" w:rsidTr="003F120C">
        <w:trPr>
          <w:trHeight w:val="300"/>
        </w:trPr>
        <w:tc>
          <w:tcPr>
            <w:tcW w:w="1029" w:type="pct"/>
            <w:hideMark/>
          </w:tcPr>
          <w:p w14:paraId="6A128742" w14:textId="77777777" w:rsidR="004A7EEE" w:rsidRPr="004A7EEE" w:rsidRDefault="004A7EEE" w:rsidP="004A7EEE">
            <w:pPr>
              <w:keepNext/>
              <w:tabs>
                <w:tab w:val="left" w:pos="268"/>
              </w:tabs>
              <w:spacing w:before="60" w:after="60"/>
              <w:jc w:val="center"/>
              <w:rPr>
                <w:rFonts w:ascii="Arial" w:eastAsia="Times New Roman" w:hAnsi="Arial" w:cs="Arial"/>
                <w:b/>
                <w:sz w:val="20"/>
                <w:szCs w:val="20"/>
                <w:lang w:bidi="en-US"/>
              </w:rPr>
            </w:pPr>
            <w:r w:rsidRPr="004A7EEE">
              <w:rPr>
                <w:rFonts w:ascii="Arial" w:eastAsia="Times New Roman" w:hAnsi="Arial" w:cs="Arial"/>
                <w:b/>
                <w:sz w:val="20"/>
                <w:szCs w:val="20"/>
                <w:lang w:bidi="en-US"/>
              </w:rPr>
              <w:t>Indirect Evidence</w:t>
            </w:r>
          </w:p>
        </w:tc>
        <w:tc>
          <w:tcPr>
            <w:tcW w:w="1103" w:type="pct"/>
            <w:hideMark/>
          </w:tcPr>
          <w:p w14:paraId="63DBE91C" w14:textId="2317ABA9" w:rsidR="004A7EEE" w:rsidRPr="004A7EEE" w:rsidRDefault="003F120C" w:rsidP="004A7EEE">
            <w:pPr>
              <w:keepNext/>
              <w:tabs>
                <w:tab w:val="left" w:pos="268"/>
              </w:tabs>
              <w:spacing w:before="60" w:after="60"/>
              <w:jc w:val="center"/>
              <w:rPr>
                <w:rFonts w:ascii="Arial" w:eastAsia="Times New Roman" w:hAnsi="Arial" w:cs="Arial"/>
                <w:b/>
                <w:sz w:val="20"/>
                <w:szCs w:val="20"/>
                <w:lang w:bidi="en-US"/>
              </w:rPr>
            </w:pPr>
            <w:r w:rsidRPr="004A7EEE">
              <w:rPr>
                <w:rFonts w:ascii="Arial" w:eastAsia="Times New Roman" w:hAnsi="Arial" w:cs="Arial"/>
                <w:b/>
                <w:sz w:val="20"/>
                <w:szCs w:val="20"/>
                <w:lang w:bidi="en-US"/>
              </w:rPr>
              <w:t>Modelled</w:t>
            </w:r>
            <w:r w:rsidR="004A7EEE" w:rsidRPr="004A7EEE">
              <w:rPr>
                <w:rFonts w:ascii="Arial" w:eastAsia="Times New Roman" w:hAnsi="Arial" w:cs="Arial"/>
                <w:b/>
                <w:sz w:val="20"/>
                <w:szCs w:val="20"/>
                <w:lang w:bidi="en-US"/>
              </w:rPr>
              <w:t xml:space="preserve"> Scenario</w:t>
            </w:r>
          </w:p>
        </w:tc>
        <w:tc>
          <w:tcPr>
            <w:tcW w:w="1831" w:type="pct"/>
            <w:hideMark/>
          </w:tcPr>
          <w:p w14:paraId="068AB3DD" w14:textId="1E0529A3" w:rsidR="004A7EEE" w:rsidRPr="004A7EEE" w:rsidRDefault="004A7EEE" w:rsidP="004A7EEE">
            <w:pPr>
              <w:keepNext/>
              <w:tabs>
                <w:tab w:val="left" w:pos="268"/>
              </w:tabs>
              <w:spacing w:before="60" w:after="60"/>
              <w:jc w:val="center"/>
              <w:rPr>
                <w:rFonts w:ascii="Arial" w:eastAsia="Times New Roman" w:hAnsi="Arial" w:cs="Arial"/>
                <w:b/>
                <w:sz w:val="20"/>
                <w:szCs w:val="20"/>
                <w:lang w:bidi="en-US"/>
              </w:rPr>
            </w:pPr>
            <w:r w:rsidRPr="004A7EEE">
              <w:rPr>
                <w:rFonts w:ascii="Arial" w:eastAsia="Times New Roman" w:hAnsi="Arial" w:cs="Arial"/>
                <w:b/>
                <w:sz w:val="20"/>
                <w:szCs w:val="20"/>
                <w:lang w:bidi="en-US"/>
              </w:rPr>
              <w:t xml:space="preserve">Effect on </w:t>
            </w:r>
            <w:r w:rsidR="003F120C" w:rsidRPr="004A7EEE">
              <w:rPr>
                <w:rFonts w:ascii="Arial" w:eastAsia="Times New Roman" w:hAnsi="Arial" w:cs="Arial"/>
                <w:b/>
                <w:sz w:val="20"/>
                <w:szCs w:val="20"/>
                <w:lang w:bidi="en-US"/>
              </w:rPr>
              <w:t>modelling</w:t>
            </w:r>
          </w:p>
        </w:tc>
        <w:tc>
          <w:tcPr>
            <w:tcW w:w="1037" w:type="pct"/>
            <w:hideMark/>
          </w:tcPr>
          <w:p w14:paraId="1222CCDA" w14:textId="77777777" w:rsidR="004A7EEE" w:rsidRPr="004A7EEE" w:rsidRDefault="004A7EEE" w:rsidP="004A7EEE">
            <w:pPr>
              <w:keepNext/>
              <w:tabs>
                <w:tab w:val="left" w:pos="268"/>
              </w:tabs>
              <w:spacing w:before="60" w:after="60"/>
              <w:jc w:val="center"/>
              <w:rPr>
                <w:rFonts w:ascii="Arial" w:eastAsia="Times New Roman" w:hAnsi="Arial" w:cs="Arial"/>
                <w:b/>
                <w:sz w:val="20"/>
                <w:szCs w:val="20"/>
                <w:lang w:bidi="en-US"/>
              </w:rPr>
            </w:pPr>
            <w:r w:rsidRPr="004A7EEE">
              <w:rPr>
                <w:rFonts w:ascii="Arial" w:eastAsia="Times New Roman" w:hAnsi="Arial" w:cs="Arial"/>
                <w:b/>
                <w:sz w:val="20"/>
                <w:szCs w:val="20"/>
                <w:lang w:bidi="en-US"/>
              </w:rPr>
              <w:t>Effect on Results</w:t>
            </w:r>
          </w:p>
        </w:tc>
      </w:tr>
      <w:tr w:rsidR="004A7EEE" w:rsidRPr="004A7EEE" w14:paraId="50C44ABB" w14:textId="77777777" w:rsidTr="003F120C">
        <w:trPr>
          <w:trHeight w:val="1459"/>
        </w:trPr>
        <w:tc>
          <w:tcPr>
            <w:tcW w:w="1029" w:type="pct"/>
            <w:hideMark/>
          </w:tcPr>
          <w:p w14:paraId="57F9F05D" w14:textId="77777777" w:rsidR="004A7EEE" w:rsidRPr="004A7EEE" w:rsidRDefault="004A7EEE" w:rsidP="004A7EEE">
            <w:pPr>
              <w:tabs>
                <w:tab w:val="left" w:pos="0"/>
              </w:tabs>
              <w:spacing w:before="60" w:after="60"/>
              <w:rPr>
                <w:rFonts w:ascii="Arial" w:eastAsia="Arial" w:hAnsi="Arial" w:cs="Arial"/>
                <w:color w:val="081627"/>
                <w:sz w:val="20"/>
                <w:szCs w:val="20"/>
              </w:rPr>
            </w:pPr>
            <w:r w:rsidRPr="004A7EEE">
              <w:rPr>
                <w:rFonts w:ascii="Arial" w:eastAsia="Arial" w:hAnsi="Arial" w:cs="Arial"/>
                <w:color w:val="081627"/>
                <w:sz w:val="20"/>
                <w:szCs w:val="20"/>
              </w:rPr>
              <w:t>RESTORE IMI-2: IMI/REL was provided empirically</w:t>
            </w:r>
          </w:p>
        </w:tc>
        <w:tc>
          <w:tcPr>
            <w:tcW w:w="1103" w:type="pct"/>
            <w:hideMark/>
          </w:tcPr>
          <w:p w14:paraId="2A86FF2C" w14:textId="77777777" w:rsidR="004A7EEE" w:rsidRPr="004A7EEE" w:rsidRDefault="004A7EEE" w:rsidP="004A7EEE">
            <w:pPr>
              <w:tabs>
                <w:tab w:val="left" w:pos="0"/>
              </w:tabs>
              <w:spacing w:before="60" w:after="60"/>
              <w:rPr>
                <w:rFonts w:ascii="Arial" w:eastAsia="Arial" w:hAnsi="Arial" w:cs="Arial"/>
                <w:color w:val="081627"/>
                <w:sz w:val="20"/>
                <w:szCs w:val="20"/>
              </w:rPr>
            </w:pPr>
            <w:r w:rsidRPr="004A7EEE">
              <w:rPr>
                <w:rFonts w:ascii="Arial" w:eastAsia="Arial" w:hAnsi="Arial" w:cs="Arial"/>
                <w:color w:val="081627"/>
                <w:sz w:val="20"/>
                <w:szCs w:val="20"/>
              </w:rPr>
              <w:t>IMI/REL is provided as an early adjustment during 12-48 hours after the infection onset</w:t>
            </w:r>
          </w:p>
        </w:tc>
        <w:tc>
          <w:tcPr>
            <w:tcW w:w="1831" w:type="pct"/>
            <w:hideMark/>
          </w:tcPr>
          <w:p w14:paraId="17F7F73B" w14:textId="77777777" w:rsidR="004A7EEE" w:rsidRPr="004A7EEE" w:rsidRDefault="004A7EEE" w:rsidP="004A7EEE">
            <w:pPr>
              <w:tabs>
                <w:tab w:val="left" w:pos="0"/>
              </w:tabs>
              <w:spacing w:before="60" w:after="60"/>
              <w:rPr>
                <w:rFonts w:ascii="Arial" w:eastAsia="Arial" w:hAnsi="Arial" w:cs="Arial"/>
                <w:color w:val="081627"/>
                <w:sz w:val="20"/>
                <w:szCs w:val="20"/>
              </w:rPr>
            </w:pPr>
            <w:r w:rsidRPr="004A7EEE">
              <w:rPr>
                <w:rFonts w:ascii="Arial" w:eastAsia="Arial" w:hAnsi="Arial" w:cs="Arial"/>
                <w:color w:val="081627"/>
                <w:sz w:val="20"/>
                <w:szCs w:val="20"/>
              </w:rPr>
              <w:t>Delay in appropriate treatment worsens clinical outcomes. Therefore, it is expected that the patients receiving early adjustment of IMI/REL in real world will have higher mortality and a lower clinical cure rate than what is shown in the trial.</w:t>
            </w:r>
          </w:p>
        </w:tc>
        <w:tc>
          <w:tcPr>
            <w:tcW w:w="1037" w:type="pct"/>
            <w:hideMark/>
          </w:tcPr>
          <w:p w14:paraId="1ED44769" w14:textId="77777777" w:rsidR="004A7EEE" w:rsidRPr="004A7EEE" w:rsidRDefault="004A7EEE" w:rsidP="004A7EEE">
            <w:pPr>
              <w:tabs>
                <w:tab w:val="left" w:pos="0"/>
              </w:tabs>
              <w:spacing w:before="60" w:after="60"/>
              <w:rPr>
                <w:rFonts w:ascii="Arial" w:eastAsia="Arial" w:hAnsi="Arial" w:cs="Arial"/>
                <w:color w:val="081627"/>
                <w:sz w:val="20"/>
                <w:szCs w:val="20"/>
              </w:rPr>
            </w:pPr>
            <w:r w:rsidRPr="004A7EEE">
              <w:rPr>
                <w:rFonts w:ascii="Arial" w:eastAsia="Arial" w:hAnsi="Arial" w:cs="Arial"/>
                <w:color w:val="081627"/>
                <w:sz w:val="20"/>
                <w:szCs w:val="20"/>
              </w:rPr>
              <w:t xml:space="preserve">Biased in </w:t>
            </w:r>
            <w:proofErr w:type="spellStart"/>
            <w:r w:rsidRPr="004A7EEE">
              <w:rPr>
                <w:rFonts w:ascii="Arial" w:eastAsia="Arial" w:hAnsi="Arial" w:cs="Arial"/>
                <w:color w:val="081627"/>
                <w:sz w:val="20"/>
                <w:szCs w:val="20"/>
              </w:rPr>
              <w:t>favor</w:t>
            </w:r>
            <w:proofErr w:type="spellEnd"/>
            <w:r w:rsidRPr="004A7EEE">
              <w:rPr>
                <w:rFonts w:ascii="Arial" w:eastAsia="Arial" w:hAnsi="Arial" w:cs="Arial"/>
                <w:color w:val="081627"/>
                <w:sz w:val="20"/>
                <w:szCs w:val="20"/>
              </w:rPr>
              <w:t xml:space="preserve"> of IMI/REL</w:t>
            </w:r>
          </w:p>
        </w:tc>
      </w:tr>
      <w:tr w:rsidR="004A7EEE" w:rsidRPr="004A7EEE" w14:paraId="43072F17" w14:textId="77777777" w:rsidTr="003F120C">
        <w:trPr>
          <w:trHeight w:val="3680"/>
        </w:trPr>
        <w:tc>
          <w:tcPr>
            <w:tcW w:w="1029" w:type="pct"/>
            <w:hideMark/>
          </w:tcPr>
          <w:p w14:paraId="1573BBA2" w14:textId="77777777" w:rsidR="004A7EEE" w:rsidRPr="004A7EEE" w:rsidRDefault="004A7EEE" w:rsidP="004A7EEE">
            <w:pPr>
              <w:tabs>
                <w:tab w:val="left" w:pos="0"/>
              </w:tabs>
              <w:spacing w:before="60" w:after="60"/>
              <w:rPr>
                <w:rFonts w:ascii="Arial" w:eastAsia="Arial" w:hAnsi="Arial" w:cs="Arial"/>
                <w:color w:val="081627"/>
                <w:sz w:val="20"/>
                <w:szCs w:val="20"/>
              </w:rPr>
            </w:pPr>
            <w:r w:rsidRPr="004A7EEE">
              <w:rPr>
                <w:rFonts w:ascii="Arial" w:eastAsia="Arial" w:hAnsi="Arial" w:cs="Arial"/>
                <w:color w:val="081627"/>
                <w:sz w:val="20"/>
                <w:szCs w:val="20"/>
              </w:rPr>
              <w:t xml:space="preserve">RESTORE IMI-2: MITT population consisted of </w:t>
            </w:r>
          </w:p>
        </w:tc>
        <w:tc>
          <w:tcPr>
            <w:tcW w:w="1103" w:type="pct"/>
            <w:vMerge w:val="restart"/>
            <w:hideMark/>
          </w:tcPr>
          <w:p w14:paraId="13F1E536" w14:textId="77777777" w:rsidR="004A7EEE" w:rsidRPr="004A7EEE" w:rsidRDefault="004A7EEE" w:rsidP="004A7EEE">
            <w:pPr>
              <w:tabs>
                <w:tab w:val="left" w:pos="0"/>
              </w:tabs>
              <w:spacing w:before="60" w:after="60"/>
              <w:rPr>
                <w:rFonts w:ascii="Arial" w:eastAsia="Arial" w:hAnsi="Arial" w:cs="Arial"/>
                <w:color w:val="081627"/>
                <w:sz w:val="20"/>
                <w:szCs w:val="20"/>
              </w:rPr>
            </w:pPr>
            <w:r w:rsidRPr="004A7EEE">
              <w:rPr>
                <w:rFonts w:ascii="Arial" w:eastAsia="Arial" w:hAnsi="Arial" w:cs="Arial"/>
                <w:color w:val="081627"/>
                <w:sz w:val="20"/>
                <w:szCs w:val="20"/>
              </w:rPr>
              <w:t xml:space="preserve">The target population is limited to ICU HABP/VABP patients whose condition are not improving or deteriorating 12 to 48 hours after receiving empiric treatment of PIP/TAZ </w:t>
            </w:r>
          </w:p>
        </w:tc>
        <w:tc>
          <w:tcPr>
            <w:tcW w:w="1831" w:type="pct"/>
            <w:hideMark/>
          </w:tcPr>
          <w:p w14:paraId="41F2F44D" w14:textId="79EDEF51" w:rsidR="004A7EEE" w:rsidRPr="004A7EEE" w:rsidRDefault="004A7EEE" w:rsidP="004A7EEE">
            <w:pPr>
              <w:tabs>
                <w:tab w:val="left" w:pos="0"/>
              </w:tabs>
              <w:spacing w:before="60" w:after="60"/>
              <w:rPr>
                <w:rFonts w:ascii="Arial" w:eastAsia="Arial" w:hAnsi="Arial" w:cs="Arial"/>
                <w:color w:val="081627"/>
                <w:sz w:val="20"/>
                <w:szCs w:val="20"/>
              </w:rPr>
            </w:pPr>
            <w:r w:rsidRPr="004A7EEE">
              <w:rPr>
                <w:rFonts w:ascii="Arial" w:eastAsia="Arial" w:hAnsi="Arial" w:cs="Arial"/>
                <w:color w:val="081627"/>
                <w:sz w:val="20"/>
                <w:szCs w:val="20"/>
              </w:rPr>
              <w:t xml:space="preserve">It is expected that the subset of patients considered for early adjustment treatment are in a worse pathological status than the overall ICU HABP/VABP patients, as the subset of patients may have multi-drug resistant infection. Therefore, mortality and cure rate for the subset of patients would be worse than the trial. However, due to IMI/REL's higher in vitro activity against </w:t>
            </w:r>
            <w:r w:rsidR="00223FBD" w:rsidRPr="004A7EEE">
              <w:rPr>
                <w:rFonts w:ascii="Arial" w:eastAsia="Arial" w:hAnsi="Arial" w:cs="Arial"/>
                <w:color w:val="081627"/>
                <w:sz w:val="20"/>
                <w:szCs w:val="20"/>
              </w:rPr>
              <w:t xml:space="preserve">multi-drug resistant </w:t>
            </w:r>
            <w:r w:rsidRPr="004A7EEE">
              <w:rPr>
                <w:rFonts w:ascii="Arial" w:eastAsia="Arial" w:hAnsi="Arial" w:cs="Arial"/>
                <w:color w:val="081627"/>
                <w:sz w:val="20"/>
                <w:szCs w:val="20"/>
              </w:rPr>
              <w:t>pathogens, patients receiving continued treatment of PIP/TAZ are expected to have much worse outcomes than these receiving IMI/REL</w:t>
            </w:r>
          </w:p>
        </w:tc>
        <w:tc>
          <w:tcPr>
            <w:tcW w:w="1037" w:type="pct"/>
            <w:hideMark/>
          </w:tcPr>
          <w:p w14:paraId="209303D8" w14:textId="77777777" w:rsidR="004A7EEE" w:rsidRPr="004A7EEE" w:rsidRDefault="004A7EEE" w:rsidP="004A7EEE">
            <w:pPr>
              <w:tabs>
                <w:tab w:val="left" w:pos="0"/>
              </w:tabs>
              <w:spacing w:before="60" w:after="60"/>
              <w:rPr>
                <w:rFonts w:ascii="Arial" w:eastAsia="Arial" w:hAnsi="Arial" w:cs="Arial"/>
                <w:color w:val="081627"/>
                <w:sz w:val="20"/>
                <w:szCs w:val="20"/>
              </w:rPr>
            </w:pPr>
            <w:r w:rsidRPr="004A7EEE">
              <w:rPr>
                <w:rFonts w:ascii="Arial" w:eastAsia="Arial" w:hAnsi="Arial" w:cs="Arial"/>
                <w:color w:val="081627"/>
                <w:sz w:val="20"/>
                <w:szCs w:val="20"/>
              </w:rPr>
              <w:t xml:space="preserve">Greatly biased in </w:t>
            </w:r>
            <w:proofErr w:type="spellStart"/>
            <w:r w:rsidRPr="004A7EEE">
              <w:rPr>
                <w:rFonts w:ascii="Arial" w:eastAsia="Arial" w:hAnsi="Arial" w:cs="Arial"/>
                <w:color w:val="081627"/>
                <w:sz w:val="20"/>
                <w:szCs w:val="20"/>
              </w:rPr>
              <w:t>favor</w:t>
            </w:r>
            <w:proofErr w:type="spellEnd"/>
            <w:r w:rsidRPr="004A7EEE">
              <w:rPr>
                <w:rFonts w:ascii="Arial" w:eastAsia="Arial" w:hAnsi="Arial" w:cs="Arial"/>
                <w:color w:val="081627"/>
                <w:sz w:val="20"/>
                <w:szCs w:val="20"/>
              </w:rPr>
              <w:t xml:space="preserve"> of PIP/TAZ</w:t>
            </w:r>
          </w:p>
        </w:tc>
      </w:tr>
      <w:tr w:rsidR="004A7EEE" w:rsidRPr="004A7EEE" w14:paraId="244C0360" w14:textId="77777777" w:rsidTr="003F120C">
        <w:trPr>
          <w:trHeight w:val="70"/>
        </w:trPr>
        <w:tc>
          <w:tcPr>
            <w:tcW w:w="1029" w:type="pct"/>
            <w:hideMark/>
          </w:tcPr>
          <w:p w14:paraId="05A652FC" w14:textId="77777777" w:rsidR="004A7EEE" w:rsidRPr="004A7EEE" w:rsidRDefault="004A7EEE" w:rsidP="004A7EEE">
            <w:pPr>
              <w:tabs>
                <w:tab w:val="left" w:pos="0"/>
              </w:tabs>
              <w:spacing w:before="60" w:after="60"/>
              <w:rPr>
                <w:rFonts w:ascii="Arial" w:eastAsia="Arial" w:hAnsi="Arial" w:cs="Arial"/>
                <w:color w:val="081627"/>
                <w:sz w:val="20"/>
                <w:szCs w:val="20"/>
              </w:rPr>
            </w:pPr>
            <w:r w:rsidRPr="004A7EEE">
              <w:rPr>
                <w:rFonts w:ascii="Arial" w:eastAsia="Arial" w:hAnsi="Arial" w:cs="Arial"/>
                <w:color w:val="081627"/>
                <w:sz w:val="20"/>
                <w:szCs w:val="20"/>
              </w:rPr>
              <w:t>SMART data: The sample includes all lower respiratory tract specimens from ICU patients</w:t>
            </w:r>
          </w:p>
        </w:tc>
        <w:tc>
          <w:tcPr>
            <w:tcW w:w="1103" w:type="pct"/>
            <w:vMerge/>
            <w:hideMark/>
          </w:tcPr>
          <w:p w14:paraId="58CA47EA" w14:textId="77777777" w:rsidR="004A7EEE" w:rsidRPr="004A7EEE" w:rsidRDefault="004A7EEE" w:rsidP="004A7EEE">
            <w:pPr>
              <w:tabs>
                <w:tab w:val="left" w:pos="0"/>
              </w:tabs>
              <w:spacing w:before="60" w:after="60"/>
              <w:rPr>
                <w:rFonts w:ascii="Arial" w:eastAsia="Arial" w:hAnsi="Arial" w:cs="Arial"/>
                <w:color w:val="081627"/>
                <w:sz w:val="20"/>
                <w:szCs w:val="20"/>
              </w:rPr>
            </w:pPr>
          </w:p>
        </w:tc>
        <w:tc>
          <w:tcPr>
            <w:tcW w:w="1831" w:type="pct"/>
            <w:hideMark/>
          </w:tcPr>
          <w:p w14:paraId="6335C8F4" w14:textId="77777777" w:rsidR="004A7EEE" w:rsidRPr="004A7EEE" w:rsidRDefault="004A7EEE" w:rsidP="004A7EEE">
            <w:pPr>
              <w:tabs>
                <w:tab w:val="left" w:pos="0"/>
              </w:tabs>
              <w:spacing w:before="60" w:after="60"/>
              <w:rPr>
                <w:rFonts w:ascii="Arial" w:eastAsia="Arial" w:hAnsi="Arial" w:cs="Arial"/>
                <w:color w:val="081627"/>
                <w:sz w:val="20"/>
                <w:szCs w:val="20"/>
              </w:rPr>
            </w:pPr>
            <w:r w:rsidRPr="004A7EEE">
              <w:rPr>
                <w:rFonts w:ascii="Arial" w:eastAsia="Arial" w:hAnsi="Arial" w:cs="Arial"/>
                <w:color w:val="081627"/>
                <w:sz w:val="20"/>
                <w:szCs w:val="20"/>
              </w:rPr>
              <w:t xml:space="preserve">It is expected that susceptibility among patients who are considered for early adjustment prescribing should be lower than the SMART data. Susceptibility to PIP/TAZ should be very low (hence the need for early adjustment); susceptibility to IMI/REL should be also lower than SMART, but of a less magnitude than PIP/TAZ. </w:t>
            </w:r>
          </w:p>
        </w:tc>
        <w:tc>
          <w:tcPr>
            <w:tcW w:w="1037" w:type="pct"/>
            <w:hideMark/>
          </w:tcPr>
          <w:p w14:paraId="216B1687" w14:textId="77777777" w:rsidR="004A7EEE" w:rsidRPr="004A7EEE" w:rsidRDefault="004A7EEE" w:rsidP="004A7EEE">
            <w:pPr>
              <w:tabs>
                <w:tab w:val="left" w:pos="0"/>
              </w:tabs>
              <w:spacing w:before="60" w:after="60"/>
              <w:rPr>
                <w:rFonts w:ascii="Arial" w:eastAsia="Arial" w:hAnsi="Arial" w:cs="Arial"/>
                <w:color w:val="081627"/>
                <w:sz w:val="20"/>
                <w:szCs w:val="20"/>
              </w:rPr>
            </w:pPr>
            <w:r w:rsidRPr="004A7EEE">
              <w:rPr>
                <w:rFonts w:ascii="Arial" w:eastAsia="Arial" w:hAnsi="Arial" w:cs="Arial"/>
                <w:color w:val="081627"/>
                <w:sz w:val="20"/>
                <w:szCs w:val="20"/>
              </w:rPr>
              <w:t xml:space="preserve">Greatly biased in </w:t>
            </w:r>
            <w:proofErr w:type="spellStart"/>
            <w:r w:rsidRPr="004A7EEE">
              <w:rPr>
                <w:rFonts w:ascii="Arial" w:eastAsia="Arial" w:hAnsi="Arial" w:cs="Arial"/>
                <w:color w:val="081627"/>
                <w:sz w:val="20"/>
                <w:szCs w:val="20"/>
              </w:rPr>
              <w:t>favor</w:t>
            </w:r>
            <w:proofErr w:type="spellEnd"/>
            <w:r w:rsidRPr="004A7EEE">
              <w:rPr>
                <w:rFonts w:ascii="Arial" w:eastAsia="Arial" w:hAnsi="Arial" w:cs="Arial"/>
                <w:color w:val="081627"/>
                <w:sz w:val="20"/>
                <w:szCs w:val="20"/>
              </w:rPr>
              <w:t xml:space="preserve"> of PIP/TAZ</w:t>
            </w:r>
          </w:p>
        </w:tc>
      </w:tr>
      <w:tr w:rsidR="00223FBD" w:rsidRPr="002C4CBB" w14:paraId="5A510F6E" w14:textId="77777777" w:rsidTr="00223FBD">
        <w:trPr>
          <w:trHeight w:val="70"/>
        </w:trPr>
        <w:tc>
          <w:tcPr>
            <w:tcW w:w="5000" w:type="pct"/>
            <w:gridSpan w:val="4"/>
          </w:tcPr>
          <w:p w14:paraId="771ACDAB" w14:textId="354BD27F" w:rsidR="00223FBD" w:rsidRPr="002C4CBB" w:rsidRDefault="00223FBD" w:rsidP="00F32FC8">
            <w:pPr>
              <w:spacing w:before="60" w:after="60"/>
              <w:rPr>
                <w:rFonts w:ascii="Arial" w:eastAsia="Arial" w:hAnsi="Arial" w:cs="Arial"/>
                <w:color w:val="081627"/>
                <w:sz w:val="18"/>
                <w:szCs w:val="18"/>
              </w:rPr>
            </w:pPr>
            <w:r w:rsidRPr="004A7EEE">
              <w:rPr>
                <w:rFonts w:ascii="Arial" w:eastAsia="Arial" w:hAnsi="Arial" w:cs="Arial"/>
                <w:b/>
                <w:bCs/>
                <w:color w:val="081627"/>
                <w:sz w:val="18"/>
                <w:szCs w:val="18"/>
              </w:rPr>
              <w:t>Key</w:t>
            </w:r>
            <w:r w:rsidRPr="004A7EEE">
              <w:rPr>
                <w:rFonts w:ascii="Arial" w:eastAsia="Arial" w:hAnsi="Arial" w:cs="Arial"/>
                <w:color w:val="081627"/>
                <w:sz w:val="18"/>
                <w:szCs w:val="18"/>
              </w:rPr>
              <w:t xml:space="preserve">: </w:t>
            </w:r>
            <w:r w:rsidRPr="002C4CBB">
              <w:rPr>
                <w:rFonts w:ascii="Arial" w:eastAsia="Arial" w:hAnsi="Arial" w:cs="Arial"/>
                <w:color w:val="081627"/>
                <w:sz w:val="18"/>
                <w:szCs w:val="18"/>
              </w:rPr>
              <w:t xml:space="preserve">HABP/VABP, hospital-acquired/ventilator-associated bacterial pneumonia; </w:t>
            </w:r>
            <w:r w:rsidRPr="004A7EEE">
              <w:rPr>
                <w:rFonts w:ascii="Arial" w:eastAsia="Arial" w:hAnsi="Arial" w:cs="Arial"/>
                <w:color w:val="081627"/>
                <w:sz w:val="18"/>
                <w:szCs w:val="18"/>
              </w:rPr>
              <w:t>ICU, intensive care unit; IMI/REL, imipenem/cilastatin/relebactam; LOS, length of stay; MITT, modified intent-to-treat; PIP/TAZ, piperacillin/tazobactam</w:t>
            </w:r>
            <w:r w:rsidRPr="002C4CBB">
              <w:rPr>
                <w:rFonts w:ascii="Arial" w:eastAsia="Arial" w:hAnsi="Arial" w:cs="Arial"/>
                <w:color w:val="081627"/>
                <w:sz w:val="18"/>
                <w:szCs w:val="18"/>
              </w:rPr>
              <w:t xml:space="preserve">; SMART, </w:t>
            </w:r>
            <w:r w:rsidR="00F32FC8" w:rsidRPr="002C4CBB">
              <w:rPr>
                <w:rFonts w:ascii="Arial" w:eastAsia="Arial" w:hAnsi="Arial" w:cs="Arial"/>
                <w:color w:val="081627"/>
                <w:sz w:val="18"/>
                <w:szCs w:val="18"/>
              </w:rPr>
              <w:t>Study for Monitoring Antimicrobial Resistance Trends</w:t>
            </w:r>
            <w:r w:rsidRPr="004A7EEE">
              <w:rPr>
                <w:rFonts w:ascii="Arial" w:eastAsia="Arial" w:hAnsi="Arial" w:cs="Arial"/>
                <w:color w:val="081627"/>
                <w:sz w:val="18"/>
                <w:szCs w:val="18"/>
              </w:rPr>
              <w:t>.</w:t>
            </w:r>
          </w:p>
        </w:tc>
      </w:tr>
    </w:tbl>
    <w:p w14:paraId="132A348C" w14:textId="77777777" w:rsidR="004A7EEE" w:rsidRPr="004A7EEE" w:rsidRDefault="004A7EEE" w:rsidP="004A7EEE">
      <w:pPr>
        <w:spacing w:before="120" w:after="120" w:line="360" w:lineRule="auto"/>
        <w:rPr>
          <w:rFonts w:ascii="Arial" w:eastAsia="Arial" w:hAnsi="Arial" w:cs="Times New Roman"/>
          <w:color w:val="081627"/>
          <w:lang w:bidi="en-US"/>
        </w:rPr>
      </w:pPr>
    </w:p>
    <w:p w14:paraId="6B108D11" w14:textId="77777777" w:rsidR="006A5FA6" w:rsidRPr="002C4CBB" w:rsidRDefault="006A5FA6"/>
    <w:sectPr w:rsidR="006A5FA6" w:rsidRPr="002C4CBB" w:rsidSect="00EE7E4B">
      <w:pgSz w:w="11906" w:h="16838"/>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EE"/>
    <w:rsid w:val="001A500B"/>
    <w:rsid w:val="00223FBD"/>
    <w:rsid w:val="002C416F"/>
    <w:rsid w:val="002C4CBB"/>
    <w:rsid w:val="003F120C"/>
    <w:rsid w:val="004A7EEE"/>
    <w:rsid w:val="004D4FB3"/>
    <w:rsid w:val="006A5FA6"/>
    <w:rsid w:val="00835C7D"/>
    <w:rsid w:val="008A4CF8"/>
    <w:rsid w:val="009C2397"/>
    <w:rsid w:val="00C40FAA"/>
    <w:rsid w:val="00E81F99"/>
    <w:rsid w:val="00F3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5DE8"/>
  <w15:chartTrackingRefBased/>
  <w15:docId w15:val="{4A8DA6FB-DB0E-4792-820F-17BDA960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4A7EE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39"/>
    <w:rsid w:val="004A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4A7EEE"/>
    <w:pPr>
      <w:spacing w:after="0" w:line="240" w:lineRule="auto"/>
    </w:pPr>
    <w:rPr>
      <w:lang w:val="en-US"/>
    </w:rPr>
    <w:tblPr>
      <w:tblStyleRowBandSize w:val="1"/>
      <w:tblStyleColBandSize w:val="1"/>
      <w:tblBorders>
        <w:top w:val="single" w:sz="4" w:space="0" w:color="3D83D7"/>
        <w:bottom w:val="single" w:sz="4" w:space="0" w:color="3D83D7"/>
      </w:tblBorders>
    </w:tblPr>
    <w:tblStylePr w:type="firstRow">
      <w:rPr>
        <w:b/>
        <w:bCs/>
      </w:rPr>
      <w:tblPr/>
      <w:tcPr>
        <w:tcBorders>
          <w:bottom w:val="single" w:sz="4" w:space="0" w:color="3D83D7"/>
        </w:tcBorders>
      </w:tcPr>
    </w:tblStylePr>
    <w:tblStylePr w:type="lastRow">
      <w:rPr>
        <w:b/>
        <w:bCs/>
      </w:rPr>
      <w:tblPr/>
      <w:tcPr>
        <w:tcBorders>
          <w:top w:val="single" w:sz="4" w:space="0" w:color="3D83D7"/>
        </w:tcBorders>
      </w:tcPr>
    </w:tblStylePr>
    <w:tblStylePr w:type="firstCol">
      <w:rPr>
        <w:b/>
        <w:bCs/>
      </w:rPr>
    </w:tblStylePr>
    <w:tblStylePr w:type="lastCol">
      <w:rPr>
        <w:b/>
        <w:bCs/>
      </w:rPr>
    </w:tblStylePr>
    <w:tblStylePr w:type="band1Vert">
      <w:tblPr/>
      <w:tcPr>
        <w:tcBorders>
          <w:left w:val="single" w:sz="4" w:space="0" w:color="3D83D7"/>
          <w:right w:val="single" w:sz="4" w:space="0" w:color="3D83D7"/>
        </w:tcBorders>
      </w:tcPr>
    </w:tblStylePr>
    <w:tblStylePr w:type="band2Vert">
      <w:tblPr/>
      <w:tcPr>
        <w:tcBorders>
          <w:left w:val="single" w:sz="4" w:space="0" w:color="3D83D7"/>
          <w:right w:val="single" w:sz="4" w:space="0" w:color="3D83D7"/>
        </w:tcBorders>
      </w:tcPr>
    </w:tblStylePr>
    <w:tblStylePr w:type="band1Horz">
      <w:tblPr/>
      <w:tcPr>
        <w:tcBorders>
          <w:top w:val="single" w:sz="4" w:space="0" w:color="3D83D7"/>
          <w:bottom w:val="single" w:sz="4" w:space="0" w:color="3D83D7"/>
        </w:tcBorders>
      </w:tcPr>
    </w:tblStylePr>
  </w:style>
  <w:style w:type="table" w:styleId="PlainTable2">
    <w:name w:val="Plain Table 2"/>
    <w:basedOn w:val="TableNormal"/>
    <w:uiPriority w:val="42"/>
    <w:rsid w:val="004A7E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AB46CB42E974B8B343136A9C5AD12" ma:contentTypeVersion="13" ma:contentTypeDescription="Create a new document." ma:contentTypeScope="" ma:versionID="25a422b202c789d384141da75485a8e5">
  <xsd:schema xmlns:xsd="http://www.w3.org/2001/XMLSchema" xmlns:xs="http://www.w3.org/2001/XMLSchema" xmlns:p="http://schemas.microsoft.com/office/2006/metadata/properties" xmlns:ns2="34ef6fd2-5125-4c23-b935-9d16404da0a5" xmlns:ns3="8c3c43cf-186b-4613-84b4-a4ff23217b56" targetNamespace="http://schemas.microsoft.com/office/2006/metadata/properties" ma:root="true" ma:fieldsID="f7e7361596997ea76aa1e09bb8d5d0db" ns2:_="" ns3:_="">
    <xsd:import namespace="34ef6fd2-5125-4c23-b935-9d16404da0a5"/>
    <xsd:import namespace="8c3c43cf-186b-4613-84b4-a4ff23217b5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f6fd2-5125-4c23-b935-9d16404da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9cbd03e-66a2-4c18-a228-0d90db84838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c43cf-186b-4613-84b4-a4ff23217b5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12e874-be26-499a-b36a-3e9c3c72934e}" ma:internalName="TaxCatchAll" ma:showField="CatchAllData" ma:web="8c3c43cf-186b-4613-84b4-a4ff23217b5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ef6fd2-5125-4c23-b935-9d16404da0a5">
      <Terms xmlns="http://schemas.microsoft.com/office/infopath/2007/PartnerControls"/>
    </lcf76f155ced4ddcb4097134ff3c332f>
    <TaxCatchAll xmlns="8c3c43cf-186b-4613-84b4-a4ff23217b56" xsi:nil="true"/>
  </documentManagement>
</p:properties>
</file>

<file path=customXml/itemProps1.xml><?xml version="1.0" encoding="utf-8"?>
<ds:datastoreItem xmlns:ds="http://schemas.openxmlformats.org/officeDocument/2006/customXml" ds:itemID="{1658147E-17DF-4B4D-8BC6-17E88A4653AA}"/>
</file>

<file path=customXml/itemProps2.xml><?xml version="1.0" encoding="utf-8"?>
<ds:datastoreItem xmlns:ds="http://schemas.openxmlformats.org/officeDocument/2006/customXml" ds:itemID="{BAB43A7D-2C38-40E0-8C64-2BDC33E3483B}"/>
</file>

<file path=customXml/itemProps3.xml><?xml version="1.0" encoding="utf-8"?>
<ds:datastoreItem xmlns:ds="http://schemas.openxmlformats.org/officeDocument/2006/customXml" ds:itemID="{3B21CD69-7FFE-4416-996B-D0D555CF12D7}"/>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Jaesh Naik</dc:creator>
  <cp:keywords/>
  <dc:description/>
  <cp:lastModifiedBy>Jaesh Naik</cp:lastModifiedBy>
  <cp:revision>2</cp:revision>
  <dcterms:created xsi:type="dcterms:W3CDTF">2022-06-07T13:26:00Z</dcterms:created>
  <dcterms:modified xsi:type="dcterms:W3CDTF">2022-06-07T13:26:00Z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0x010100FBDAB46CB42E974B8B343136A9C5AD12</vt:lpwstr>
  </property>
</Properties>
</file>