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37C66" w14:textId="6403D23B" w:rsidR="008D7D93" w:rsidRDefault="00AF49FC" w:rsidP="004B1033">
      <w:pPr>
        <w:spacing w:after="0" w:line="276" w:lineRule="auto"/>
        <w:rPr>
          <w:rFonts w:cstheme="minorHAnsi"/>
          <w:b/>
          <w:bCs/>
          <w:sz w:val="20"/>
          <w:szCs w:val="20"/>
          <w:lang w:val="en-GB"/>
        </w:rPr>
      </w:pPr>
      <w:bookmarkStart w:id="0" w:name="_Hlk85660903"/>
      <w:r w:rsidRPr="00AF49FC">
        <w:rPr>
          <w:rFonts w:cstheme="minorHAnsi"/>
          <w:b/>
          <w:sz w:val="20"/>
          <w:szCs w:val="20"/>
        </w:rPr>
        <w:t>Nanoscale cell-matrix adhesions modulate gap junction intercellular communication of mesenchymal cell condensates during chondrogenesis</w:t>
      </w:r>
      <w:bookmarkEnd w:id="0"/>
      <w:r>
        <w:rPr>
          <w:rFonts w:cstheme="minorHAnsi"/>
          <w:b/>
          <w:sz w:val="20"/>
          <w:szCs w:val="20"/>
        </w:rPr>
        <w:t xml:space="preserve"> </w:t>
      </w:r>
      <w:r w:rsidR="00D743F5" w:rsidRPr="00F61712">
        <w:rPr>
          <w:rFonts w:cstheme="minorHAnsi"/>
          <w:b/>
          <w:bCs/>
          <w:sz w:val="20"/>
          <w:szCs w:val="20"/>
          <w:lang w:val="en-GB"/>
        </w:rPr>
        <w:t>(Supplementary Files)</w:t>
      </w:r>
    </w:p>
    <w:p w14:paraId="1A92FCA2" w14:textId="073BAD24" w:rsidR="00E05FD4" w:rsidRDefault="00E05FD4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  <w:lang w:val="ca-ES"/>
        </w:rPr>
      </w:pPr>
    </w:p>
    <w:p w14:paraId="5D76F0DE" w14:textId="77FF8FA9" w:rsidR="00B70664" w:rsidRDefault="00766289" w:rsidP="004B1033">
      <w:pPr>
        <w:spacing w:after="0" w:line="276" w:lineRule="auto"/>
        <w:jc w:val="both"/>
        <w:rPr>
          <w:noProof/>
        </w:rPr>
      </w:pPr>
      <w:r>
        <w:rPr>
          <w:noProof/>
        </w:rPr>
        <w:t xml:space="preserve"> </w:t>
      </w:r>
    </w:p>
    <w:p w14:paraId="590884D5" w14:textId="721FB274" w:rsidR="00766289" w:rsidRDefault="00766289" w:rsidP="004B1033">
      <w:pPr>
        <w:spacing w:after="0" w:line="276" w:lineRule="auto"/>
        <w:jc w:val="both"/>
        <w:rPr>
          <w:noProof/>
        </w:rPr>
      </w:pPr>
    </w:p>
    <w:p w14:paraId="465D215D" w14:textId="14B71418" w:rsidR="00766289" w:rsidRDefault="00766289" w:rsidP="004B1033">
      <w:pPr>
        <w:spacing w:after="0" w:line="276" w:lineRule="auto"/>
        <w:jc w:val="both"/>
        <w:rPr>
          <w:noProof/>
        </w:rPr>
      </w:pPr>
    </w:p>
    <w:p w14:paraId="0B43500B" w14:textId="1119F223" w:rsidR="00766289" w:rsidRDefault="00766289" w:rsidP="004B1033">
      <w:pPr>
        <w:spacing w:after="0" w:line="276" w:lineRule="auto"/>
        <w:jc w:val="both"/>
        <w:rPr>
          <w:noProof/>
        </w:rPr>
      </w:pPr>
    </w:p>
    <w:p w14:paraId="4D26F997" w14:textId="2CCA00B3" w:rsidR="00766289" w:rsidRDefault="00766289" w:rsidP="004B1033">
      <w:pPr>
        <w:spacing w:after="0" w:line="276" w:lineRule="auto"/>
        <w:jc w:val="both"/>
        <w:rPr>
          <w:noProof/>
        </w:rPr>
      </w:pPr>
    </w:p>
    <w:p w14:paraId="5CC603A0" w14:textId="33D6CDA6" w:rsidR="00766289" w:rsidRDefault="00766289" w:rsidP="004B1033">
      <w:pPr>
        <w:spacing w:after="0" w:line="276" w:lineRule="auto"/>
        <w:jc w:val="both"/>
        <w:rPr>
          <w:noProof/>
        </w:rPr>
      </w:pPr>
    </w:p>
    <w:p w14:paraId="37092F92" w14:textId="6D503168" w:rsidR="00766289" w:rsidRDefault="00766289" w:rsidP="004B1033">
      <w:pPr>
        <w:spacing w:after="0" w:line="276" w:lineRule="auto"/>
        <w:jc w:val="both"/>
        <w:rPr>
          <w:noProof/>
        </w:rPr>
      </w:pPr>
    </w:p>
    <w:p w14:paraId="2CC148E1" w14:textId="22373810" w:rsidR="00766289" w:rsidRDefault="00766289" w:rsidP="004B1033">
      <w:pPr>
        <w:spacing w:after="0" w:line="276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4D6381F" wp14:editId="3B6E866B">
            <wp:simplePos x="0" y="0"/>
            <wp:positionH relativeFrom="margin">
              <wp:align>center</wp:align>
            </wp:positionH>
            <wp:positionV relativeFrom="paragraph">
              <wp:posOffset>321789</wp:posOffset>
            </wp:positionV>
            <wp:extent cx="5042535" cy="3599180"/>
            <wp:effectExtent l="0" t="0" r="5715" b="1270"/>
            <wp:wrapTopAndBottom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CE5EDB" w14:textId="77777777" w:rsidR="00766289" w:rsidRPr="00B70664" w:rsidRDefault="00766289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  <w:lang w:val="ca-ES"/>
        </w:rPr>
      </w:pPr>
    </w:p>
    <w:p w14:paraId="77D325AE" w14:textId="3E3CB934" w:rsidR="004B1033" w:rsidRDefault="006439D9" w:rsidP="004B1033">
      <w:pPr>
        <w:spacing w:after="0" w:line="276" w:lineRule="auto"/>
        <w:jc w:val="both"/>
        <w:rPr>
          <w:rFonts w:cstheme="minorHAnsi"/>
          <w:sz w:val="20"/>
          <w:szCs w:val="20"/>
          <w:lang w:val="ca-ES"/>
        </w:rPr>
      </w:pPr>
      <w:r w:rsidRPr="00F61712">
        <w:rPr>
          <w:rFonts w:cstheme="minorHAnsi"/>
          <w:b/>
          <w:bCs/>
          <w:sz w:val="20"/>
          <w:szCs w:val="20"/>
        </w:rPr>
        <w:t>Fig. S1: Analysis of Cx43</w:t>
      </w:r>
      <w:r w:rsidR="002C6F7F">
        <w:rPr>
          <w:rFonts w:cstheme="minorHAnsi"/>
          <w:b/>
          <w:bCs/>
          <w:sz w:val="20"/>
          <w:szCs w:val="20"/>
        </w:rPr>
        <w:t xml:space="preserve"> expression and</w:t>
      </w:r>
      <w:r w:rsidRPr="00F61712">
        <w:rPr>
          <w:rFonts w:cstheme="minorHAnsi"/>
          <w:b/>
          <w:bCs/>
          <w:sz w:val="20"/>
          <w:szCs w:val="20"/>
        </w:rPr>
        <w:t xml:space="preserve"> intercellular communication network architecture</w:t>
      </w:r>
      <w:r w:rsidRPr="00F61712">
        <w:rPr>
          <w:rFonts w:cstheme="minorHAnsi"/>
          <w:sz w:val="20"/>
          <w:szCs w:val="20"/>
        </w:rPr>
        <w:t xml:space="preserve">. </w:t>
      </w:r>
      <w:r w:rsidR="00F61712">
        <w:rPr>
          <w:rFonts w:cstheme="minorHAnsi"/>
          <w:b/>
          <w:bCs/>
          <w:sz w:val="20"/>
          <w:szCs w:val="20"/>
        </w:rPr>
        <w:t>a)</w:t>
      </w:r>
      <w:r w:rsidRPr="00F61712">
        <w:rPr>
          <w:rFonts w:cstheme="minorHAnsi"/>
          <w:b/>
          <w:bCs/>
          <w:sz w:val="20"/>
          <w:szCs w:val="20"/>
        </w:rPr>
        <w:t xml:space="preserve"> </w:t>
      </w:r>
      <w:r w:rsidRPr="00F61712">
        <w:rPr>
          <w:rFonts w:cstheme="minorHAnsi"/>
          <w:sz w:val="20"/>
          <w:szCs w:val="20"/>
        </w:rPr>
        <w:t xml:space="preserve">Representative chondrogenic cell condensate stained for Cx43 (red) and cell nuclei (blue). </w:t>
      </w:r>
      <w:r w:rsidR="00F61712">
        <w:rPr>
          <w:rFonts w:cstheme="minorHAnsi"/>
          <w:b/>
          <w:bCs/>
          <w:sz w:val="20"/>
          <w:szCs w:val="20"/>
        </w:rPr>
        <w:t>b)</w:t>
      </w:r>
      <w:r w:rsidRPr="00F61712">
        <w:rPr>
          <w:rFonts w:cstheme="minorHAnsi"/>
          <w:b/>
          <w:bCs/>
          <w:sz w:val="20"/>
          <w:szCs w:val="20"/>
        </w:rPr>
        <w:t xml:space="preserve"> </w:t>
      </w:r>
      <w:r w:rsidRPr="00F61712">
        <w:rPr>
          <w:rFonts w:cstheme="minorHAnsi"/>
          <w:sz w:val="20"/>
          <w:szCs w:val="20"/>
        </w:rPr>
        <w:t xml:space="preserve">Threshold selecting Cx43 expression. </w:t>
      </w:r>
      <w:r w:rsidR="00F61712">
        <w:rPr>
          <w:rFonts w:cstheme="minorHAnsi"/>
          <w:b/>
          <w:bCs/>
          <w:sz w:val="20"/>
          <w:szCs w:val="20"/>
        </w:rPr>
        <w:t>c)</w:t>
      </w:r>
      <w:r w:rsidRPr="00F61712">
        <w:rPr>
          <w:rFonts w:cstheme="minorHAnsi"/>
          <w:b/>
          <w:bCs/>
          <w:sz w:val="20"/>
          <w:szCs w:val="20"/>
        </w:rPr>
        <w:t xml:space="preserve"> </w:t>
      </w:r>
      <w:r w:rsidRPr="00F61712">
        <w:rPr>
          <w:rFonts w:cstheme="minorHAnsi"/>
          <w:sz w:val="20"/>
          <w:szCs w:val="20"/>
        </w:rPr>
        <w:t xml:space="preserve">Skeletonizing of the Cx43 network, from which end-point voxels and mean branch length were quantified. </w:t>
      </w:r>
      <w:r w:rsidR="00766289" w:rsidRPr="00766289">
        <w:rPr>
          <w:rFonts w:cstheme="minorHAnsi"/>
          <w:b/>
          <w:bCs/>
          <w:sz w:val="20"/>
          <w:szCs w:val="20"/>
        </w:rPr>
        <w:t xml:space="preserve">a-c) </w:t>
      </w:r>
      <w:r w:rsidRPr="00F61712">
        <w:rPr>
          <w:rFonts w:cstheme="minorHAnsi"/>
          <w:sz w:val="20"/>
          <w:szCs w:val="20"/>
        </w:rPr>
        <w:t xml:space="preserve">Scale bar </w:t>
      </w:r>
      <w:r w:rsidRPr="00F61712">
        <w:rPr>
          <w:rFonts w:cstheme="minorHAnsi"/>
          <w:sz w:val="20"/>
          <w:szCs w:val="20"/>
          <w:lang w:val="el-GR"/>
        </w:rPr>
        <w:t>= 50 μ</w:t>
      </w:r>
      <w:r w:rsidRPr="00F61712">
        <w:rPr>
          <w:rFonts w:cstheme="minorHAnsi"/>
          <w:sz w:val="20"/>
          <w:szCs w:val="20"/>
          <w:lang w:val="ca-ES"/>
        </w:rPr>
        <w:t>m.</w:t>
      </w:r>
      <w:r w:rsidR="00766289">
        <w:rPr>
          <w:rFonts w:cstheme="minorHAnsi"/>
          <w:sz w:val="20"/>
          <w:szCs w:val="20"/>
          <w:lang w:val="ca-ES"/>
        </w:rPr>
        <w:t xml:space="preserve"> </w:t>
      </w:r>
      <w:r w:rsidR="00766289" w:rsidRPr="00766289">
        <w:rPr>
          <w:b/>
          <w:bCs/>
          <w:lang w:val="en-GB"/>
        </w:rPr>
        <w:t>d)</w:t>
      </w:r>
      <w:r w:rsidR="00766289">
        <w:rPr>
          <w:lang w:val="en-GB"/>
        </w:rPr>
        <w:t xml:space="preserve"> </w:t>
      </w:r>
      <w:r w:rsidR="00766289" w:rsidRPr="009148A2">
        <w:t xml:space="preserve">Schematic of network connectivity quantification as the inverse of </w:t>
      </w:r>
      <w:r w:rsidR="00766289">
        <w:t xml:space="preserve">the </w:t>
      </w:r>
      <w:proofErr w:type="gramStart"/>
      <w:r w:rsidR="00766289">
        <w:t>amount</w:t>
      </w:r>
      <w:proofErr w:type="gramEnd"/>
      <w:r w:rsidR="00766289">
        <w:t xml:space="preserve"> of </w:t>
      </w:r>
      <w:r w:rsidR="00766289" w:rsidRPr="009148A2">
        <w:t>end-point voxels. White lines represent theoretical networks</w:t>
      </w:r>
      <w:r w:rsidR="00766289">
        <w:t>, r</w:t>
      </w:r>
      <w:r w:rsidR="00766289" w:rsidRPr="009148A2">
        <w:t>ed dots indicate end-point voxels, yellow dots indicate new end-point voxels as a results of network splitting. The network on the left is more extensively connected than th</w:t>
      </w:r>
      <w:r w:rsidR="00766289">
        <w:t>e one</w:t>
      </w:r>
      <w:r w:rsidR="00766289" w:rsidRPr="009148A2">
        <w:t xml:space="preserve"> on the right, and thus contains fewer end-point voxels</w:t>
      </w:r>
      <w:r w:rsidR="00766289" w:rsidRPr="00B76132">
        <w:t xml:space="preserve">. </w:t>
      </w:r>
      <w:r w:rsidR="00766289" w:rsidRPr="00766289">
        <w:rPr>
          <w:b/>
          <w:bCs/>
        </w:rPr>
        <w:t>e)</w:t>
      </w:r>
      <w:r w:rsidR="00766289">
        <w:t xml:space="preserve"> </w:t>
      </w:r>
      <w:r w:rsidR="00766289" w:rsidRPr="009148A2">
        <w:t xml:space="preserve">Zoomed-in section from the red square in </w:t>
      </w:r>
      <w:r w:rsidR="00766289" w:rsidRPr="00766289">
        <w:rPr>
          <w:b/>
          <w:bCs/>
        </w:rPr>
        <w:t>c</w:t>
      </w:r>
      <w:r w:rsidR="00766289" w:rsidRPr="009148A2">
        <w:t>.</w:t>
      </w:r>
    </w:p>
    <w:p w14:paraId="32FE615F" w14:textId="1FFE0E83" w:rsidR="004B1033" w:rsidRDefault="004B1033" w:rsidP="004B1033">
      <w:pPr>
        <w:spacing w:after="0" w:line="276" w:lineRule="auto"/>
        <w:jc w:val="both"/>
        <w:rPr>
          <w:rFonts w:cstheme="minorHAnsi"/>
          <w:sz w:val="20"/>
          <w:szCs w:val="20"/>
          <w:lang w:val="ca-ES"/>
        </w:rPr>
      </w:pPr>
    </w:p>
    <w:p w14:paraId="2D5BEE96" w14:textId="4932B3C7" w:rsidR="004B1033" w:rsidRPr="00F61712" w:rsidRDefault="004B1033" w:rsidP="004B1033">
      <w:pPr>
        <w:spacing w:after="0" w:line="276" w:lineRule="auto"/>
        <w:jc w:val="both"/>
        <w:rPr>
          <w:rFonts w:cstheme="minorHAnsi"/>
          <w:sz w:val="20"/>
          <w:szCs w:val="20"/>
          <w:lang w:val="ca-ES"/>
        </w:rPr>
      </w:pPr>
    </w:p>
    <w:p w14:paraId="39F0C2B8" w14:textId="6B6FB5C4" w:rsidR="006439D9" w:rsidRPr="00F61712" w:rsidRDefault="002B6359" w:rsidP="004B1033">
      <w:pPr>
        <w:spacing w:after="0" w:line="276" w:lineRule="auto"/>
        <w:jc w:val="both"/>
        <w:rPr>
          <w:rFonts w:cstheme="minorHAnsi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379D07C1" wp14:editId="1E3F5227">
            <wp:extent cx="5760720" cy="3455035"/>
            <wp:effectExtent l="0" t="0" r="0" b="0"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FFA2B" w14:textId="2C28863B" w:rsidR="002E3170" w:rsidRDefault="002E3170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  <w:r w:rsidRPr="00F61712">
        <w:rPr>
          <w:rFonts w:cstheme="minorHAnsi"/>
          <w:b/>
          <w:bCs/>
          <w:sz w:val="20"/>
          <w:szCs w:val="20"/>
        </w:rPr>
        <w:t>Fig. S2: Substrates of tunable local surface adhesiveness obtained by nanopatterning RGD-functionalized dendrimers on PLLA</w:t>
      </w:r>
      <w:r w:rsidRPr="00F61712">
        <w:rPr>
          <w:rFonts w:cstheme="minorHAnsi"/>
          <w:sz w:val="20"/>
          <w:szCs w:val="20"/>
        </w:rPr>
        <w:t xml:space="preserve">. </w:t>
      </w:r>
      <w:r w:rsidR="00F61712">
        <w:rPr>
          <w:rFonts w:cstheme="minorHAnsi"/>
          <w:b/>
          <w:bCs/>
          <w:sz w:val="20"/>
          <w:szCs w:val="20"/>
        </w:rPr>
        <w:t>a</w:t>
      </w:r>
      <w:r w:rsidRPr="00F61712">
        <w:rPr>
          <w:rFonts w:cstheme="minorHAnsi"/>
          <w:b/>
          <w:bCs/>
          <w:sz w:val="20"/>
          <w:szCs w:val="20"/>
        </w:rPr>
        <w:t>)</w:t>
      </w:r>
      <w:r w:rsidRPr="00F61712">
        <w:rPr>
          <w:rFonts w:cstheme="minorHAnsi"/>
          <w:sz w:val="20"/>
          <w:szCs w:val="20"/>
        </w:rPr>
        <w:t xml:space="preserve"> Representative 3D AFM images (5x5 µm) of the nanopatterns’ topography. </w:t>
      </w:r>
      <w:r w:rsidR="00F61712">
        <w:rPr>
          <w:rFonts w:cstheme="minorHAnsi"/>
          <w:b/>
          <w:bCs/>
          <w:sz w:val="20"/>
          <w:szCs w:val="20"/>
        </w:rPr>
        <w:t>b</w:t>
      </w:r>
      <w:r w:rsidRPr="00F61712">
        <w:rPr>
          <w:rFonts w:cstheme="minorHAnsi"/>
          <w:b/>
          <w:bCs/>
          <w:sz w:val="20"/>
          <w:szCs w:val="20"/>
        </w:rPr>
        <w:t>)</w:t>
      </w:r>
      <w:r w:rsidRPr="00F61712">
        <w:rPr>
          <w:rFonts w:cstheme="minorHAnsi"/>
          <w:sz w:val="20"/>
          <w:szCs w:val="20"/>
        </w:rPr>
        <w:t xml:space="preserve"> Corresponding d</w:t>
      </w:r>
      <w:r w:rsidRPr="00F61712">
        <w:rPr>
          <w:rFonts w:cstheme="minorHAnsi"/>
          <w:sz w:val="20"/>
          <w:szCs w:val="20"/>
          <w:vertAlign w:val="subscript"/>
        </w:rPr>
        <w:t>min</w:t>
      </w:r>
      <w:r w:rsidRPr="00F61712">
        <w:rPr>
          <w:rFonts w:cstheme="minorHAnsi"/>
          <w:sz w:val="20"/>
          <w:szCs w:val="20"/>
        </w:rPr>
        <w:t xml:space="preserve"> probability contour plots showing high-density RGD regions (d</w:t>
      </w:r>
      <w:r w:rsidRPr="00F61712">
        <w:rPr>
          <w:rFonts w:cstheme="minorHAnsi"/>
          <w:sz w:val="20"/>
          <w:szCs w:val="20"/>
          <w:vertAlign w:val="subscript"/>
        </w:rPr>
        <w:t>min</w:t>
      </w:r>
      <w:r w:rsidRPr="00F61712">
        <w:rPr>
          <w:rFonts w:cstheme="minorHAnsi"/>
          <w:sz w:val="20"/>
          <w:szCs w:val="20"/>
        </w:rPr>
        <w:t xml:space="preserve"> &lt; 70 nm) in dark red (dendrimer positions are superimposed in black for clarity). Adapted with permission from </w:t>
      </w:r>
      <w:r w:rsidR="00823F98">
        <w:rPr>
          <w:rFonts w:cstheme="minorHAnsi"/>
          <w:sz w:val="20"/>
          <w:szCs w:val="20"/>
        </w:rPr>
        <w:t>[30]</w:t>
      </w:r>
      <w:r w:rsidRPr="00F61712">
        <w:rPr>
          <w:rFonts w:cstheme="minorHAnsi"/>
          <w:sz w:val="20"/>
          <w:szCs w:val="20"/>
        </w:rPr>
        <w:t xml:space="preserve"> </w:t>
      </w:r>
      <w:r w:rsidR="00823F98">
        <w:rPr>
          <w:rFonts w:cstheme="minorHAnsi"/>
          <w:sz w:val="20"/>
          <w:szCs w:val="20"/>
        </w:rPr>
        <w:t>©</w:t>
      </w:r>
      <w:r w:rsidRPr="00F61712">
        <w:rPr>
          <w:rFonts w:cstheme="minorHAnsi"/>
          <w:sz w:val="20"/>
          <w:szCs w:val="20"/>
        </w:rPr>
        <w:t xml:space="preserve"> </w:t>
      </w:r>
      <w:r w:rsidR="00823F98" w:rsidRPr="00823F98">
        <w:rPr>
          <w:rFonts w:cstheme="minorHAnsi"/>
          <w:sz w:val="20"/>
          <w:szCs w:val="20"/>
        </w:rPr>
        <w:t>Tsinghua University Press and Springer-Verlag Berlin Heidelberg</w:t>
      </w:r>
      <w:r w:rsidR="00823F98">
        <w:rPr>
          <w:rFonts w:cstheme="minorHAnsi"/>
          <w:sz w:val="20"/>
          <w:szCs w:val="20"/>
        </w:rPr>
        <w:t xml:space="preserve"> (2016)</w:t>
      </w:r>
      <w:r w:rsidRPr="00F61712">
        <w:rPr>
          <w:rFonts w:cstheme="minorHAnsi"/>
          <w:sz w:val="20"/>
          <w:szCs w:val="20"/>
        </w:rPr>
        <w:t xml:space="preserve">. </w:t>
      </w:r>
    </w:p>
    <w:p w14:paraId="7AF5C724" w14:textId="41E59B3A" w:rsidR="00766289" w:rsidRDefault="00766289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2080D052" w14:textId="08C4A1E0" w:rsidR="00766289" w:rsidRDefault="00766289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7A82B7CF" w14:textId="03D26B33" w:rsidR="00766289" w:rsidRDefault="00766289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3A6745B1" w14:textId="79714700" w:rsidR="00766289" w:rsidRDefault="00766289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09BDC762" w14:textId="77777777" w:rsidR="00750FC4" w:rsidRDefault="00750FC4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61228C3A" w14:textId="056A7E5E" w:rsidR="00766289" w:rsidRDefault="00766289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2D16F274" w14:textId="77777777" w:rsidR="00766289" w:rsidRPr="00F61712" w:rsidRDefault="00766289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776DA905" w14:textId="0C6BE401" w:rsidR="00AF3469" w:rsidRPr="00F61712" w:rsidRDefault="007723DE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56BC2E4" wp14:editId="5FD62C8E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3657600" cy="1377950"/>
            <wp:effectExtent l="0" t="0" r="0" b="0"/>
            <wp:wrapTopAndBottom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F7F">
        <w:rPr>
          <w:rFonts w:cstheme="minorHAnsi"/>
          <w:b/>
          <w:bCs/>
          <w:sz w:val="20"/>
          <w:szCs w:val="20"/>
        </w:rPr>
        <w:t>Table S1</w:t>
      </w:r>
      <w:r w:rsidR="002C6F7F" w:rsidRPr="00F61712">
        <w:rPr>
          <w:rFonts w:cstheme="minorHAnsi"/>
          <w:b/>
          <w:bCs/>
          <w:sz w:val="20"/>
          <w:szCs w:val="20"/>
        </w:rPr>
        <w:t xml:space="preserve">: </w:t>
      </w:r>
      <w:r w:rsidR="002C6F7F">
        <w:rPr>
          <w:rFonts w:cstheme="minorHAnsi"/>
          <w:b/>
          <w:bCs/>
          <w:sz w:val="20"/>
          <w:szCs w:val="20"/>
        </w:rPr>
        <w:t>Nanopatterns adherent area</w:t>
      </w:r>
    </w:p>
    <w:p w14:paraId="394BD97E" w14:textId="77777777" w:rsidR="00494A74" w:rsidRDefault="00494A74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51C80372" w14:textId="77777777" w:rsidR="004B1033" w:rsidRPr="00F61712" w:rsidRDefault="004B1033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15073BD6" w14:textId="49C8FEBD" w:rsidR="00CC686E" w:rsidRDefault="00855EB6" w:rsidP="00F61A8B">
      <w:pPr>
        <w:spacing w:after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EE16756" wp14:editId="5FD6EF37">
            <wp:extent cx="3755136" cy="978408"/>
            <wp:effectExtent l="0" t="0" r="0" b="0"/>
            <wp:docPr id="3" name="Imagen 3" descr="Imagen que contiene foto, estrella, par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foto, estrella, parad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136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E05D" w14:textId="77777777" w:rsidR="002F1812" w:rsidRDefault="002F1812" w:rsidP="00F61A8B">
      <w:pPr>
        <w:spacing w:after="0" w:line="276" w:lineRule="auto"/>
        <w:jc w:val="both"/>
        <w:rPr>
          <w:b/>
          <w:bCs/>
          <w:noProof/>
          <w:sz w:val="20"/>
          <w:szCs w:val="20"/>
        </w:rPr>
      </w:pPr>
    </w:p>
    <w:p w14:paraId="06EFD9EC" w14:textId="77777777" w:rsidR="0050042C" w:rsidRPr="0050042C" w:rsidRDefault="00F61A8B" w:rsidP="0050042C">
      <w:pPr>
        <w:spacing w:after="0" w:line="276" w:lineRule="auto"/>
        <w:jc w:val="both"/>
        <w:rPr>
          <w:bCs/>
          <w:iCs/>
          <w:noProof/>
          <w:sz w:val="20"/>
          <w:szCs w:val="20"/>
        </w:rPr>
      </w:pPr>
      <w:r w:rsidRPr="00F61A8B">
        <w:rPr>
          <w:b/>
          <w:bCs/>
          <w:noProof/>
          <w:sz w:val="20"/>
          <w:szCs w:val="20"/>
        </w:rPr>
        <w:t>Fig. S3:</w:t>
      </w:r>
      <w:r>
        <w:rPr>
          <w:noProof/>
          <w:sz w:val="20"/>
          <w:szCs w:val="20"/>
        </w:rPr>
        <w:t xml:space="preserve"> </w:t>
      </w:r>
      <w:r w:rsidR="0050042C" w:rsidRPr="0050042C">
        <w:rPr>
          <w:bCs/>
          <w:iCs/>
          <w:noProof/>
          <w:sz w:val="20"/>
          <w:szCs w:val="20"/>
        </w:rPr>
        <w:t>Representative confocal z-projections of Cx43 immunostaining at day 6, scale bar = 40 µm.</w:t>
      </w:r>
    </w:p>
    <w:p w14:paraId="72764D68" w14:textId="3A87DD72" w:rsidR="00F61A8B" w:rsidRPr="00F61A8B" w:rsidRDefault="00F61A8B" w:rsidP="00F61A8B">
      <w:pPr>
        <w:spacing w:after="0" w:line="276" w:lineRule="auto"/>
        <w:jc w:val="both"/>
        <w:rPr>
          <w:noProof/>
          <w:sz w:val="20"/>
          <w:szCs w:val="20"/>
        </w:rPr>
      </w:pPr>
    </w:p>
    <w:p w14:paraId="006B1C25" w14:textId="77777777" w:rsidR="00CC686E" w:rsidRPr="00F61A8B" w:rsidRDefault="00CC686E" w:rsidP="004B1033">
      <w:pPr>
        <w:spacing w:after="0" w:line="276" w:lineRule="auto"/>
        <w:jc w:val="both"/>
        <w:rPr>
          <w:noProof/>
          <w:sz w:val="20"/>
          <w:szCs w:val="20"/>
        </w:rPr>
      </w:pPr>
    </w:p>
    <w:p w14:paraId="72C95F88" w14:textId="77777777" w:rsidR="00CC686E" w:rsidRPr="00F61A8B" w:rsidRDefault="00CC686E" w:rsidP="004B1033">
      <w:pPr>
        <w:spacing w:after="0" w:line="276" w:lineRule="auto"/>
        <w:jc w:val="both"/>
        <w:rPr>
          <w:noProof/>
          <w:sz w:val="20"/>
          <w:szCs w:val="20"/>
        </w:rPr>
      </w:pPr>
    </w:p>
    <w:p w14:paraId="52AB719A" w14:textId="36E886D6" w:rsidR="00CC686E" w:rsidRDefault="00CC686E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89C208E" wp14:editId="1A1844B0">
            <wp:extent cx="5943600" cy="1575435"/>
            <wp:effectExtent l="0" t="0" r="0" b="571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4CC3" w14:textId="7C1C925B" w:rsidR="00E05FD4" w:rsidRPr="007723DE" w:rsidRDefault="00AF3469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  <w:r w:rsidRPr="00F61712">
        <w:rPr>
          <w:rFonts w:cstheme="minorHAnsi"/>
          <w:b/>
          <w:bCs/>
          <w:sz w:val="20"/>
          <w:szCs w:val="20"/>
        </w:rPr>
        <w:t>Fig. S</w:t>
      </w:r>
      <w:r w:rsidR="00F61A8B">
        <w:rPr>
          <w:rFonts w:cstheme="minorHAnsi"/>
          <w:b/>
          <w:bCs/>
          <w:sz w:val="20"/>
          <w:szCs w:val="20"/>
        </w:rPr>
        <w:t>4</w:t>
      </w:r>
      <w:r w:rsidRPr="00F61712">
        <w:rPr>
          <w:rFonts w:cstheme="minorHAnsi"/>
          <w:b/>
          <w:bCs/>
          <w:sz w:val="20"/>
          <w:szCs w:val="20"/>
        </w:rPr>
        <w:t xml:space="preserve">: </w:t>
      </w:r>
      <w:r w:rsidR="00CC686E">
        <w:rPr>
          <w:rFonts w:cstheme="minorHAnsi"/>
          <w:b/>
          <w:bCs/>
          <w:sz w:val="20"/>
          <w:szCs w:val="20"/>
        </w:rPr>
        <w:t xml:space="preserve">a) </w:t>
      </w:r>
      <w:r w:rsidR="002C6F7F" w:rsidRPr="002B6359">
        <w:rPr>
          <w:rFonts w:cstheme="minorHAnsi"/>
          <w:sz w:val="20"/>
          <w:szCs w:val="20"/>
        </w:rPr>
        <w:t>Western blot quantification for</w:t>
      </w:r>
      <w:r w:rsidRPr="00F61712">
        <w:rPr>
          <w:rFonts w:cstheme="minorHAnsi"/>
          <w:b/>
          <w:bCs/>
          <w:sz w:val="20"/>
          <w:szCs w:val="20"/>
        </w:rPr>
        <w:t xml:space="preserve"> </w:t>
      </w:r>
      <w:r w:rsidR="002B6359">
        <w:rPr>
          <w:rFonts w:cstheme="minorHAnsi"/>
          <w:sz w:val="20"/>
          <w:szCs w:val="20"/>
        </w:rPr>
        <w:t>v</w:t>
      </w:r>
      <w:r w:rsidR="002C6F7F">
        <w:rPr>
          <w:rFonts w:cstheme="minorHAnsi"/>
          <w:sz w:val="20"/>
          <w:szCs w:val="20"/>
        </w:rPr>
        <w:t xml:space="preserve">inculin </w:t>
      </w:r>
      <w:r w:rsidR="00CC686E">
        <w:rPr>
          <w:rFonts w:cstheme="minorHAnsi"/>
          <w:sz w:val="20"/>
          <w:szCs w:val="20"/>
        </w:rPr>
        <w:t xml:space="preserve">at </w:t>
      </w:r>
      <w:r w:rsidR="002C6F7F">
        <w:rPr>
          <w:rFonts w:cstheme="minorHAnsi"/>
          <w:sz w:val="20"/>
          <w:szCs w:val="20"/>
        </w:rPr>
        <w:t>day 6 of chondrogenesis</w:t>
      </w:r>
      <w:r w:rsidR="002B6359">
        <w:rPr>
          <w:rFonts w:cstheme="minorHAnsi"/>
          <w:sz w:val="20"/>
          <w:szCs w:val="20"/>
        </w:rPr>
        <w:t>.</w:t>
      </w:r>
      <w:r w:rsidR="00CC686E">
        <w:rPr>
          <w:rFonts w:cstheme="minorHAnsi"/>
          <w:sz w:val="20"/>
          <w:szCs w:val="20"/>
        </w:rPr>
        <w:t xml:space="preserve"> </w:t>
      </w:r>
      <w:r w:rsidR="00CC686E" w:rsidRPr="00CC686E">
        <w:rPr>
          <w:rFonts w:cstheme="minorHAnsi"/>
          <w:b/>
          <w:bCs/>
          <w:sz w:val="20"/>
          <w:szCs w:val="20"/>
        </w:rPr>
        <w:t>b)</w:t>
      </w:r>
      <w:r w:rsidR="00CC686E">
        <w:rPr>
          <w:rFonts w:cstheme="minorHAnsi"/>
          <w:sz w:val="20"/>
          <w:szCs w:val="20"/>
        </w:rPr>
        <w:t xml:space="preserve"> Western blot and corresponding quantification for Cx43 at day 6 of chondrogenesis. </w:t>
      </w:r>
    </w:p>
    <w:p w14:paraId="30987A55" w14:textId="3262DA28" w:rsidR="00494A74" w:rsidRDefault="00494A74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30B3E26D" w14:textId="77777777" w:rsidR="00DE0278" w:rsidRDefault="00DE0278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735AB8C3" w14:textId="77777777" w:rsidR="00DE0278" w:rsidRDefault="00DE0278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0F1C3312" w14:textId="77777777" w:rsidR="00DE0278" w:rsidRDefault="00DE0278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73135574" w14:textId="77777777" w:rsidR="00DE0278" w:rsidRDefault="00DE0278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7F120194" w14:textId="77777777" w:rsidR="00DE0278" w:rsidRDefault="00DE0278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6673FF33" w14:textId="47C22BAA" w:rsidR="00494A74" w:rsidRPr="00F61712" w:rsidRDefault="00E200BF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  <w:r w:rsidRPr="00F6171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7B6CBA5D" wp14:editId="6D84B2BD">
            <wp:simplePos x="0" y="0"/>
            <wp:positionH relativeFrom="margin">
              <wp:align>center</wp:align>
            </wp:positionH>
            <wp:positionV relativeFrom="paragraph">
              <wp:posOffset>344170</wp:posOffset>
            </wp:positionV>
            <wp:extent cx="2129790" cy="1515745"/>
            <wp:effectExtent l="0" t="0" r="3810" b="825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3451" w14:textId="0BD30750" w:rsidR="004206A0" w:rsidRPr="00F61712" w:rsidRDefault="004206A0" w:rsidP="004B1033">
      <w:p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541B50D5" w14:textId="5DC790C3" w:rsidR="00F23BE3" w:rsidRDefault="00E05FD4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  <w:r w:rsidRPr="00F61712">
        <w:rPr>
          <w:rFonts w:cstheme="minorHAnsi"/>
          <w:b/>
          <w:bCs/>
          <w:sz w:val="20"/>
          <w:szCs w:val="20"/>
        </w:rPr>
        <w:t>Fig. S</w:t>
      </w:r>
      <w:r w:rsidR="00F61A8B">
        <w:rPr>
          <w:rFonts w:cstheme="minorHAnsi"/>
          <w:b/>
          <w:bCs/>
          <w:sz w:val="20"/>
          <w:szCs w:val="20"/>
        </w:rPr>
        <w:t>5</w:t>
      </w:r>
      <w:r w:rsidRPr="00F61712">
        <w:rPr>
          <w:rFonts w:cstheme="minorHAnsi"/>
          <w:b/>
          <w:bCs/>
          <w:sz w:val="20"/>
          <w:szCs w:val="20"/>
        </w:rPr>
        <w:t xml:space="preserve">: </w:t>
      </w:r>
      <w:r w:rsidRPr="00F61712">
        <w:rPr>
          <w:rFonts w:cstheme="minorHAnsi"/>
          <w:sz w:val="20"/>
          <w:szCs w:val="20"/>
        </w:rPr>
        <w:t>Average length of Cx43 network branches in chondrogenic cell condensates (n≥2). Gray and white bars correspond to 6 and 9 days of chondrogenic induction, respectively. Green dots and orange triangles correspond to individual sample values at day 6 and day 9, respectively. Results given as the mean ± SEM., *</w:t>
      </w:r>
      <w:r w:rsidRPr="00F61712">
        <w:rPr>
          <w:rFonts w:cstheme="minorHAnsi"/>
          <w:i/>
          <w:iCs/>
          <w:sz w:val="20"/>
          <w:szCs w:val="20"/>
        </w:rPr>
        <w:t>p</w:t>
      </w:r>
      <w:r w:rsidR="0060644E">
        <w:rPr>
          <w:rFonts w:cstheme="minorHAnsi"/>
          <w:i/>
          <w:iCs/>
          <w:sz w:val="20"/>
          <w:szCs w:val="20"/>
        </w:rPr>
        <w:t xml:space="preserve"> </w:t>
      </w:r>
      <w:r w:rsidRPr="00F61712">
        <w:rPr>
          <w:rFonts w:cstheme="minorHAnsi"/>
          <w:sz w:val="20"/>
          <w:szCs w:val="20"/>
        </w:rPr>
        <w:t>&lt;</w:t>
      </w:r>
      <w:r w:rsidR="0060644E">
        <w:rPr>
          <w:rFonts w:cstheme="minorHAnsi"/>
          <w:sz w:val="20"/>
          <w:szCs w:val="20"/>
        </w:rPr>
        <w:t xml:space="preserve"> </w:t>
      </w:r>
      <w:r w:rsidRPr="00F61712">
        <w:rPr>
          <w:rFonts w:cstheme="minorHAnsi"/>
          <w:sz w:val="20"/>
          <w:szCs w:val="20"/>
        </w:rPr>
        <w:t>0.05</w:t>
      </w:r>
    </w:p>
    <w:p w14:paraId="1E898242" w14:textId="77777777" w:rsidR="002F1812" w:rsidRDefault="002F1812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3FC6A71B" w14:textId="606F07C2" w:rsidR="00494A74" w:rsidRDefault="00E200BF" w:rsidP="004B1033">
      <w:pPr>
        <w:spacing w:after="0" w:line="276" w:lineRule="auto"/>
        <w:jc w:val="both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53D6004" wp14:editId="646F72E7">
            <wp:simplePos x="0" y="0"/>
            <wp:positionH relativeFrom="margin">
              <wp:align>center</wp:align>
            </wp:positionH>
            <wp:positionV relativeFrom="paragraph">
              <wp:posOffset>185737</wp:posOffset>
            </wp:positionV>
            <wp:extent cx="4320540" cy="1152525"/>
            <wp:effectExtent l="0" t="0" r="3810" b="9525"/>
            <wp:wrapTopAndBottom/>
            <wp:docPr id="11" name="Picture 1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9B233" w14:textId="20073448" w:rsidR="00494A74" w:rsidRPr="00F61712" w:rsidRDefault="00494A74" w:rsidP="004B1033">
      <w:pPr>
        <w:spacing w:after="0" w:line="276" w:lineRule="auto"/>
        <w:jc w:val="both"/>
        <w:rPr>
          <w:rFonts w:cstheme="minorHAnsi"/>
          <w:sz w:val="20"/>
          <w:szCs w:val="20"/>
          <w:lang w:val="ca-ES"/>
        </w:rPr>
      </w:pPr>
      <w:r w:rsidRPr="00F61712">
        <w:rPr>
          <w:rFonts w:cstheme="minorHAnsi"/>
          <w:b/>
          <w:bCs/>
          <w:sz w:val="20"/>
          <w:szCs w:val="20"/>
        </w:rPr>
        <w:t>Fig. S</w:t>
      </w:r>
      <w:r w:rsidR="00F61A8B">
        <w:rPr>
          <w:rFonts w:cstheme="minorHAnsi"/>
          <w:b/>
          <w:bCs/>
          <w:sz w:val="20"/>
          <w:szCs w:val="20"/>
        </w:rPr>
        <w:t>6</w:t>
      </w:r>
      <w:r w:rsidRPr="00F61712">
        <w:rPr>
          <w:rFonts w:cstheme="minorHAnsi"/>
          <w:b/>
          <w:bCs/>
          <w:sz w:val="20"/>
          <w:szCs w:val="20"/>
        </w:rPr>
        <w:t>: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bCs/>
          <w:iCs/>
          <w:sz w:val="20"/>
          <w:szCs w:val="20"/>
          <w:lang w:val="en-GB"/>
        </w:rPr>
        <w:t>C</w:t>
      </w:r>
      <w:r w:rsidRPr="000877F2">
        <w:rPr>
          <w:bCs/>
          <w:iCs/>
          <w:sz w:val="20"/>
          <w:szCs w:val="20"/>
          <w:lang w:val="en-GB"/>
        </w:rPr>
        <w:t xml:space="preserve">onfocal z-projections showing neurobiotin tracer (red) </w:t>
      </w:r>
      <w:r>
        <w:rPr>
          <w:bCs/>
          <w:iCs/>
          <w:sz w:val="20"/>
          <w:szCs w:val="20"/>
          <w:lang w:val="en-GB"/>
        </w:rPr>
        <w:t>after 10 min</w:t>
      </w:r>
      <w:r w:rsidRPr="000877F2">
        <w:rPr>
          <w:bCs/>
          <w:iCs/>
          <w:sz w:val="20"/>
          <w:szCs w:val="20"/>
          <w:lang w:val="en-GB"/>
        </w:rPr>
        <w:t xml:space="preserve"> of exposure at day 6 of chondrogenic induction</w:t>
      </w:r>
      <w:r>
        <w:rPr>
          <w:rFonts w:cstheme="minorHAnsi"/>
          <w:b/>
          <w:bCs/>
          <w:sz w:val="20"/>
          <w:szCs w:val="20"/>
        </w:rPr>
        <w:t>.</w:t>
      </w:r>
      <w:r w:rsidR="00F23BE3">
        <w:rPr>
          <w:rFonts w:cstheme="minorHAnsi"/>
          <w:b/>
          <w:bCs/>
          <w:sz w:val="20"/>
          <w:szCs w:val="20"/>
        </w:rPr>
        <w:t xml:space="preserve"> </w:t>
      </w:r>
      <w:r w:rsidR="00F23BE3" w:rsidRPr="00E200BF">
        <w:rPr>
          <w:rFonts w:cstheme="minorHAnsi"/>
          <w:sz w:val="20"/>
          <w:szCs w:val="20"/>
        </w:rPr>
        <w:t xml:space="preserve">Scale bar = </w:t>
      </w:r>
      <w:r w:rsidR="00E200BF" w:rsidRPr="00E200BF">
        <w:rPr>
          <w:rFonts w:cstheme="minorHAnsi"/>
          <w:sz w:val="20"/>
          <w:szCs w:val="20"/>
        </w:rPr>
        <w:t>80 µm</w:t>
      </w:r>
      <w:r w:rsidR="00E200BF">
        <w:rPr>
          <w:rFonts w:cstheme="minorHAnsi"/>
          <w:sz w:val="20"/>
          <w:szCs w:val="20"/>
        </w:rPr>
        <w:t>.</w:t>
      </w:r>
    </w:p>
    <w:sectPr w:rsidR="00494A74" w:rsidRPr="00F61712" w:rsidSect="004B1033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8F562" w14:textId="77777777" w:rsidR="00670AA3" w:rsidRDefault="00670AA3" w:rsidP="005A1126">
      <w:pPr>
        <w:spacing w:after="0" w:line="240" w:lineRule="auto"/>
      </w:pPr>
      <w:r>
        <w:separator/>
      </w:r>
    </w:p>
  </w:endnote>
  <w:endnote w:type="continuationSeparator" w:id="0">
    <w:p w14:paraId="39357F2D" w14:textId="77777777" w:rsidR="00670AA3" w:rsidRDefault="00670AA3" w:rsidP="005A1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51671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DBEBBE" w14:textId="4CE4125E" w:rsidR="005A1126" w:rsidRDefault="005A11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160905" w14:textId="77777777" w:rsidR="005A1126" w:rsidRDefault="005A11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C46CB" w14:textId="77777777" w:rsidR="00670AA3" w:rsidRDefault="00670AA3" w:rsidP="005A1126">
      <w:pPr>
        <w:spacing w:after="0" w:line="240" w:lineRule="auto"/>
      </w:pPr>
      <w:r>
        <w:separator/>
      </w:r>
    </w:p>
  </w:footnote>
  <w:footnote w:type="continuationSeparator" w:id="0">
    <w:p w14:paraId="3E5A526D" w14:textId="77777777" w:rsidR="00670AA3" w:rsidRDefault="00670AA3" w:rsidP="005A1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2F25EC"/>
    <w:multiLevelType w:val="multilevel"/>
    <w:tmpl w:val="A9BE8C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1532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4F9"/>
    <w:rsid w:val="00005712"/>
    <w:rsid w:val="00032578"/>
    <w:rsid w:val="00044A41"/>
    <w:rsid w:val="000456B5"/>
    <w:rsid w:val="00045846"/>
    <w:rsid w:val="0004769B"/>
    <w:rsid w:val="00055639"/>
    <w:rsid w:val="00066243"/>
    <w:rsid w:val="00075184"/>
    <w:rsid w:val="000767AC"/>
    <w:rsid w:val="000829C6"/>
    <w:rsid w:val="000868A7"/>
    <w:rsid w:val="000929CB"/>
    <w:rsid w:val="000930FB"/>
    <w:rsid w:val="000A0A2B"/>
    <w:rsid w:val="000A5DEE"/>
    <w:rsid w:val="000B2C8E"/>
    <w:rsid w:val="000B3FF9"/>
    <w:rsid w:val="000D49B4"/>
    <w:rsid w:val="000D5758"/>
    <w:rsid w:val="000E4930"/>
    <w:rsid w:val="000F3960"/>
    <w:rsid w:val="001046C8"/>
    <w:rsid w:val="00105B4F"/>
    <w:rsid w:val="00107988"/>
    <w:rsid w:val="001169CE"/>
    <w:rsid w:val="00116A58"/>
    <w:rsid w:val="00122692"/>
    <w:rsid w:val="0012608A"/>
    <w:rsid w:val="001271F4"/>
    <w:rsid w:val="001457AD"/>
    <w:rsid w:val="00151374"/>
    <w:rsid w:val="00151796"/>
    <w:rsid w:val="001566EC"/>
    <w:rsid w:val="00170C5F"/>
    <w:rsid w:val="00173D55"/>
    <w:rsid w:val="001777BF"/>
    <w:rsid w:val="00181931"/>
    <w:rsid w:val="00187C42"/>
    <w:rsid w:val="001B0A84"/>
    <w:rsid w:val="001B3300"/>
    <w:rsid w:val="001C217E"/>
    <w:rsid w:val="001C2DEB"/>
    <w:rsid w:val="001D0E90"/>
    <w:rsid w:val="001D1996"/>
    <w:rsid w:val="001D4DE2"/>
    <w:rsid w:val="001E60D2"/>
    <w:rsid w:val="002100D5"/>
    <w:rsid w:val="0021197C"/>
    <w:rsid w:val="0022223F"/>
    <w:rsid w:val="0022303E"/>
    <w:rsid w:val="002256FE"/>
    <w:rsid w:val="0023718E"/>
    <w:rsid w:val="00250B05"/>
    <w:rsid w:val="00253D97"/>
    <w:rsid w:val="0025499A"/>
    <w:rsid w:val="002604F6"/>
    <w:rsid w:val="00262451"/>
    <w:rsid w:val="002632D0"/>
    <w:rsid w:val="0026675E"/>
    <w:rsid w:val="00267FEA"/>
    <w:rsid w:val="00286311"/>
    <w:rsid w:val="00293FAC"/>
    <w:rsid w:val="00296201"/>
    <w:rsid w:val="002A0585"/>
    <w:rsid w:val="002A0911"/>
    <w:rsid w:val="002B1D84"/>
    <w:rsid w:val="002B6359"/>
    <w:rsid w:val="002C27AD"/>
    <w:rsid w:val="002C48B8"/>
    <w:rsid w:val="002C5645"/>
    <w:rsid w:val="002C6F7F"/>
    <w:rsid w:val="002E3170"/>
    <w:rsid w:val="002F1812"/>
    <w:rsid w:val="003010E2"/>
    <w:rsid w:val="0031713F"/>
    <w:rsid w:val="00321913"/>
    <w:rsid w:val="00326B2A"/>
    <w:rsid w:val="00366D9A"/>
    <w:rsid w:val="00367215"/>
    <w:rsid w:val="003779BF"/>
    <w:rsid w:val="0038244F"/>
    <w:rsid w:val="00382808"/>
    <w:rsid w:val="00383EBE"/>
    <w:rsid w:val="00386902"/>
    <w:rsid w:val="00386EDB"/>
    <w:rsid w:val="003A002B"/>
    <w:rsid w:val="003A20A1"/>
    <w:rsid w:val="003A264D"/>
    <w:rsid w:val="003C5A2B"/>
    <w:rsid w:val="003C5C09"/>
    <w:rsid w:val="003E25A1"/>
    <w:rsid w:val="003E6E57"/>
    <w:rsid w:val="003E6FD2"/>
    <w:rsid w:val="00404D29"/>
    <w:rsid w:val="004118C1"/>
    <w:rsid w:val="0041430B"/>
    <w:rsid w:val="004206A0"/>
    <w:rsid w:val="00421DDA"/>
    <w:rsid w:val="00422CC6"/>
    <w:rsid w:val="004241AA"/>
    <w:rsid w:val="00424D70"/>
    <w:rsid w:val="00426CA5"/>
    <w:rsid w:val="004726E4"/>
    <w:rsid w:val="004733F7"/>
    <w:rsid w:val="00486CC8"/>
    <w:rsid w:val="00490BC9"/>
    <w:rsid w:val="00494A74"/>
    <w:rsid w:val="004B002F"/>
    <w:rsid w:val="004B1033"/>
    <w:rsid w:val="004B49D7"/>
    <w:rsid w:val="004B7DAB"/>
    <w:rsid w:val="004E6ADB"/>
    <w:rsid w:val="004F16F6"/>
    <w:rsid w:val="004F5CDB"/>
    <w:rsid w:val="004F749C"/>
    <w:rsid w:val="004F74F9"/>
    <w:rsid w:val="0050042C"/>
    <w:rsid w:val="0051551C"/>
    <w:rsid w:val="00515891"/>
    <w:rsid w:val="00523102"/>
    <w:rsid w:val="005244F4"/>
    <w:rsid w:val="00531D43"/>
    <w:rsid w:val="00534643"/>
    <w:rsid w:val="00540A48"/>
    <w:rsid w:val="0055659D"/>
    <w:rsid w:val="00567071"/>
    <w:rsid w:val="005767E6"/>
    <w:rsid w:val="005801D9"/>
    <w:rsid w:val="005823D5"/>
    <w:rsid w:val="00586554"/>
    <w:rsid w:val="0059774A"/>
    <w:rsid w:val="005A05AA"/>
    <w:rsid w:val="005A1126"/>
    <w:rsid w:val="005A1329"/>
    <w:rsid w:val="005A2617"/>
    <w:rsid w:val="005B0BBA"/>
    <w:rsid w:val="005C0BA6"/>
    <w:rsid w:val="005C584E"/>
    <w:rsid w:val="005C6AA7"/>
    <w:rsid w:val="005C7D4C"/>
    <w:rsid w:val="005E021B"/>
    <w:rsid w:val="005F3D45"/>
    <w:rsid w:val="005F65D0"/>
    <w:rsid w:val="006019AD"/>
    <w:rsid w:val="0060644E"/>
    <w:rsid w:val="006072A2"/>
    <w:rsid w:val="0062224F"/>
    <w:rsid w:val="00626226"/>
    <w:rsid w:val="006360BC"/>
    <w:rsid w:val="00636BA3"/>
    <w:rsid w:val="00637161"/>
    <w:rsid w:val="006439D9"/>
    <w:rsid w:val="00664FFB"/>
    <w:rsid w:val="00670AA3"/>
    <w:rsid w:val="006874A7"/>
    <w:rsid w:val="006942BC"/>
    <w:rsid w:val="00695D71"/>
    <w:rsid w:val="006A7D30"/>
    <w:rsid w:val="006B002C"/>
    <w:rsid w:val="006B31C4"/>
    <w:rsid w:val="006C14F7"/>
    <w:rsid w:val="006D36C4"/>
    <w:rsid w:val="006D42F5"/>
    <w:rsid w:val="006D5275"/>
    <w:rsid w:val="006D7A55"/>
    <w:rsid w:val="006E3854"/>
    <w:rsid w:val="006E793B"/>
    <w:rsid w:val="007226A6"/>
    <w:rsid w:val="00732E19"/>
    <w:rsid w:val="00734579"/>
    <w:rsid w:val="0073554C"/>
    <w:rsid w:val="007439F3"/>
    <w:rsid w:val="00744FA8"/>
    <w:rsid w:val="0074533D"/>
    <w:rsid w:val="00750FC4"/>
    <w:rsid w:val="007600A9"/>
    <w:rsid w:val="007605B4"/>
    <w:rsid w:val="00760D59"/>
    <w:rsid w:val="007640E2"/>
    <w:rsid w:val="0076493C"/>
    <w:rsid w:val="00766289"/>
    <w:rsid w:val="007678AE"/>
    <w:rsid w:val="007723DE"/>
    <w:rsid w:val="007735BC"/>
    <w:rsid w:val="00774201"/>
    <w:rsid w:val="0077653D"/>
    <w:rsid w:val="007967D9"/>
    <w:rsid w:val="007B7546"/>
    <w:rsid w:val="007C1BB6"/>
    <w:rsid w:val="007D7171"/>
    <w:rsid w:val="0081215C"/>
    <w:rsid w:val="00823F98"/>
    <w:rsid w:val="0083332C"/>
    <w:rsid w:val="00840DBC"/>
    <w:rsid w:val="0084721D"/>
    <w:rsid w:val="00854941"/>
    <w:rsid w:val="00855ACB"/>
    <w:rsid w:val="00855EB6"/>
    <w:rsid w:val="00876C1D"/>
    <w:rsid w:val="0088228A"/>
    <w:rsid w:val="0088256C"/>
    <w:rsid w:val="0088370B"/>
    <w:rsid w:val="00884ADB"/>
    <w:rsid w:val="00890485"/>
    <w:rsid w:val="00893C3A"/>
    <w:rsid w:val="008970B4"/>
    <w:rsid w:val="008B49FD"/>
    <w:rsid w:val="008B4AC5"/>
    <w:rsid w:val="008D17B6"/>
    <w:rsid w:val="008D4804"/>
    <w:rsid w:val="008D4AD4"/>
    <w:rsid w:val="008D7D93"/>
    <w:rsid w:val="008E0280"/>
    <w:rsid w:val="009017AC"/>
    <w:rsid w:val="00902750"/>
    <w:rsid w:val="009114AF"/>
    <w:rsid w:val="0092196D"/>
    <w:rsid w:val="00922080"/>
    <w:rsid w:val="009429AB"/>
    <w:rsid w:val="00944E37"/>
    <w:rsid w:val="009501A3"/>
    <w:rsid w:val="0096007B"/>
    <w:rsid w:val="00967A87"/>
    <w:rsid w:val="009843A8"/>
    <w:rsid w:val="009854DA"/>
    <w:rsid w:val="009B3302"/>
    <w:rsid w:val="009B4642"/>
    <w:rsid w:val="009B6DAD"/>
    <w:rsid w:val="009C51E9"/>
    <w:rsid w:val="009F03A2"/>
    <w:rsid w:val="009F14F3"/>
    <w:rsid w:val="009F3FDE"/>
    <w:rsid w:val="00A06C3C"/>
    <w:rsid w:val="00A13E62"/>
    <w:rsid w:val="00A153CE"/>
    <w:rsid w:val="00A40892"/>
    <w:rsid w:val="00A50577"/>
    <w:rsid w:val="00A50907"/>
    <w:rsid w:val="00A5162F"/>
    <w:rsid w:val="00A539A2"/>
    <w:rsid w:val="00A573E2"/>
    <w:rsid w:val="00A57A76"/>
    <w:rsid w:val="00A62877"/>
    <w:rsid w:val="00A70F00"/>
    <w:rsid w:val="00A71E04"/>
    <w:rsid w:val="00A74E30"/>
    <w:rsid w:val="00A8074B"/>
    <w:rsid w:val="00A821FA"/>
    <w:rsid w:val="00A83CC5"/>
    <w:rsid w:val="00A87120"/>
    <w:rsid w:val="00A92332"/>
    <w:rsid w:val="00A92954"/>
    <w:rsid w:val="00AA7F4B"/>
    <w:rsid w:val="00AB339C"/>
    <w:rsid w:val="00AB5CDA"/>
    <w:rsid w:val="00AC48DE"/>
    <w:rsid w:val="00AD3B91"/>
    <w:rsid w:val="00AD4B42"/>
    <w:rsid w:val="00AF3469"/>
    <w:rsid w:val="00AF49FC"/>
    <w:rsid w:val="00AF554B"/>
    <w:rsid w:val="00B04E69"/>
    <w:rsid w:val="00B0571B"/>
    <w:rsid w:val="00B06141"/>
    <w:rsid w:val="00B06160"/>
    <w:rsid w:val="00B10278"/>
    <w:rsid w:val="00B11D69"/>
    <w:rsid w:val="00B129B4"/>
    <w:rsid w:val="00B1642A"/>
    <w:rsid w:val="00B20BD1"/>
    <w:rsid w:val="00B27356"/>
    <w:rsid w:val="00B4471B"/>
    <w:rsid w:val="00B60380"/>
    <w:rsid w:val="00B70664"/>
    <w:rsid w:val="00B86696"/>
    <w:rsid w:val="00B95B56"/>
    <w:rsid w:val="00BA4F63"/>
    <w:rsid w:val="00BD3A09"/>
    <w:rsid w:val="00BE3509"/>
    <w:rsid w:val="00BF1C22"/>
    <w:rsid w:val="00BF7983"/>
    <w:rsid w:val="00C051E7"/>
    <w:rsid w:val="00C06DEE"/>
    <w:rsid w:val="00C1451A"/>
    <w:rsid w:val="00C173D6"/>
    <w:rsid w:val="00C2461F"/>
    <w:rsid w:val="00C25651"/>
    <w:rsid w:val="00C30ADC"/>
    <w:rsid w:val="00C406B4"/>
    <w:rsid w:val="00C52CC4"/>
    <w:rsid w:val="00C60CB4"/>
    <w:rsid w:val="00C647D5"/>
    <w:rsid w:val="00C70FBD"/>
    <w:rsid w:val="00C74A62"/>
    <w:rsid w:val="00C750E2"/>
    <w:rsid w:val="00C77B11"/>
    <w:rsid w:val="00C77E28"/>
    <w:rsid w:val="00CB1845"/>
    <w:rsid w:val="00CC686E"/>
    <w:rsid w:val="00CD2EFB"/>
    <w:rsid w:val="00CF629A"/>
    <w:rsid w:val="00CF70DC"/>
    <w:rsid w:val="00D2475F"/>
    <w:rsid w:val="00D24DAB"/>
    <w:rsid w:val="00D42DEC"/>
    <w:rsid w:val="00D43C2B"/>
    <w:rsid w:val="00D463A7"/>
    <w:rsid w:val="00D46D58"/>
    <w:rsid w:val="00D50FA1"/>
    <w:rsid w:val="00D561D8"/>
    <w:rsid w:val="00D71098"/>
    <w:rsid w:val="00D743F5"/>
    <w:rsid w:val="00D87CA3"/>
    <w:rsid w:val="00D94FCC"/>
    <w:rsid w:val="00D958D2"/>
    <w:rsid w:val="00DA20B9"/>
    <w:rsid w:val="00DB2B19"/>
    <w:rsid w:val="00DB3BCB"/>
    <w:rsid w:val="00DC2389"/>
    <w:rsid w:val="00DC2995"/>
    <w:rsid w:val="00DC3134"/>
    <w:rsid w:val="00DC5CD0"/>
    <w:rsid w:val="00DC7157"/>
    <w:rsid w:val="00DE0278"/>
    <w:rsid w:val="00DE3933"/>
    <w:rsid w:val="00DE5456"/>
    <w:rsid w:val="00DF6BA9"/>
    <w:rsid w:val="00E00AE4"/>
    <w:rsid w:val="00E02CE6"/>
    <w:rsid w:val="00E051B2"/>
    <w:rsid w:val="00E05FD4"/>
    <w:rsid w:val="00E200BF"/>
    <w:rsid w:val="00E31FC1"/>
    <w:rsid w:val="00E33A82"/>
    <w:rsid w:val="00E477B1"/>
    <w:rsid w:val="00E50B24"/>
    <w:rsid w:val="00E523FC"/>
    <w:rsid w:val="00E54BEA"/>
    <w:rsid w:val="00E70B26"/>
    <w:rsid w:val="00E7240E"/>
    <w:rsid w:val="00E811A4"/>
    <w:rsid w:val="00E845D8"/>
    <w:rsid w:val="00E903C9"/>
    <w:rsid w:val="00EA15D4"/>
    <w:rsid w:val="00EA2DCD"/>
    <w:rsid w:val="00EA5E06"/>
    <w:rsid w:val="00EB50AF"/>
    <w:rsid w:val="00ED4706"/>
    <w:rsid w:val="00ED6A31"/>
    <w:rsid w:val="00EE489E"/>
    <w:rsid w:val="00F10AB2"/>
    <w:rsid w:val="00F23BE3"/>
    <w:rsid w:val="00F24E24"/>
    <w:rsid w:val="00F33635"/>
    <w:rsid w:val="00F4226D"/>
    <w:rsid w:val="00F4481A"/>
    <w:rsid w:val="00F53542"/>
    <w:rsid w:val="00F60621"/>
    <w:rsid w:val="00F61712"/>
    <w:rsid w:val="00F61A8B"/>
    <w:rsid w:val="00F71715"/>
    <w:rsid w:val="00F71B4F"/>
    <w:rsid w:val="00F77474"/>
    <w:rsid w:val="00F83F6E"/>
    <w:rsid w:val="00F8696E"/>
    <w:rsid w:val="00F90702"/>
    <w:rsid w:val="00F95DEF"/>
    <w:rsid w:val="00FA2484"/>
    <w:rsid w:val="00FA3157"/>
    <w:rsid w:val="00FB28E1"/>
    <w:rsid w:val="00FB6196"/>
    <w:rsid w:val="00FB736A"/>
    <w:rsid w:val="00FD1DD7"/>
    <w:rsid w:val="00FD2BF4"/>
    <w:rsid w:val="00FE0233"/>
    <w:rsid w:val="00FE04E0"/>
    <w:rsid w:val="00FE06C7"/>
    <w:rsid w:val="00FE06CD"/>
    <w:rsid w:val="00FF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4E559"/>
  <w14:defaultImageDpi w14:val="32767"/>
  <w15:chartTrackingRefBased/>
  <w15:docId w15:val="{23F35AAD-7C8F-4C8C-AA0E-BC2E9F67B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02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69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3A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3A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20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FE04E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E02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696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FB61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61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61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1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19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A11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126"/>
  </w:style>
  <w:style w:type="paragraph" w:styleId="Footer">
    <w:name w:val="footer"/>
    <w:basedOn w:val="Normal"/>
    <w:link w:val="FooterChar"/>
    <w:uiPriority w:val="99"/>
    <w:unhideWhenUsed/>
    <w:rsid w:val="005A11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126"/>
  </w:style>
  <w:style w:type="character" w:styleId="LineNumber">
    <w:name w:val="line number"/>
    <w:basedOn w:val="DefaultParagraphFont"/>
    <w:uiPriority w:val="99"/>
    <w:semiHidden/>
    <w:unhideWhenUsed/>
    <w:rsid w:val="005A1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9910B-D3A0-4A81-ABEC-B4A0E023B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334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Lagunas Targarona</dc:creator>
  <cp:keywords/>
  <dc:description/>
  <cp:lastModifiedBy>Campbell Brooks</cp:lastModifiedBy>
  <cp:revision>9</cp:revision>
  <dcterms:created xsi:type="dcterms:W3CDTF">2021-12-21T12:18:00Z</dcterms:created>
  <dcterms:modified xsi:type="dcterms:W3CDTF">2022-05-03T11:51:00Z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http://www.zotero.org/styles/applied-materials-today</vt:lpwstr>
  </property>
  <property fmtid="{D5CDD505-2E9C-101B-9397-08002B2CF9AE}" pid="9" name="Mendeley Recent Style Name 3_1">
    <vt:lpwstr>Applied Materials Today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