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7079" w14:textId="5EC1A208" w:rsidR="00181442" w:rsidRDefault="00181442" w:rsidP="00181442">
      <w:pPr>
        <w:pStyle w:val="HEORNormal"/>
        <w:rPr>
          <w:rFonts w:ascii="Helvetica" w:hAnsi="Helvetica"/>
          <w:b/>
          <w:color w:val="auto"/>
          <w:sz w:val="20"/>
        </w:rPr>
      </w:pPr>
      <w:r>
        <w:rPr>
          <w:rFonts w:ascii="Helvetica" w:hAnsi="Helvetica"/>
          <w:b/>
          <w:color w:val="auto"/>
          <w:sz w:val="20"/>
        </w:rPr>
        <w:t>Supplementary Materials</w:t>
      </w:r>
    </w:p>
    <w:p w14:paraId="11553F6C" w14:textId="77777777" w:rsidR="00181442" w:rsidRDefault="00181442" w:rsidP="00181442">
      <w:pPr>
        <w:pStyle w:val="HEORNormal"/>
        <w:rPr>
          <w:rFonts w:ascii="Helvetica" w:hAnsi="Helvetica"/>
          <w:b/>
          <w:color w:val="auto"/>
          <w:sz w:val="20"/>
        </w:rPr>
      </w:pPr>
    </w:p>
    <w:p w14:paraId="7115B01F" w14:textId="2B4BADBF" w:rsidR="00181442" w:rsidRPr="00173BFC" w:rsidRDefault="00181442" w:rsidP="00181442">
      <w:pPr>
        <w:pStyle w:val="HEORNormal"/>
        <w:rPr>
          <w:rFonts w:ascii="Helvetica" w:hAnsi="Helvetica"/>
          <w:b/>
          <w:color w:val="auto"/>
          <w:sz w:val="20"/>
        </w:rPr>
      </w:pPr>
      <w:r w:rsidRPr="00173BFC">
        <w:rPr>
          <w:rFonts w:ascii="Helvetica" w:hAnsi="Helvetica"/>
          <w:b/>
          <w:color w:val="auto"/>
          <w:sz w:val="20"/>
        </w:rPr>
        <w:t>Table S1. Probability* of Death by Treatment Type</w:t>
      </w:r>
    </w:p>
    <w:tbl>
      <w:tblPr>
        <w:tblStyle w:val="PHETable"/>
        <w:tblpPr w:leftFromText="180" w:rightFromText="180" w:vertAnchor="text" w:horzAnchor="margin" w:tblpY="66"/>
        <w:tblW w:w="4184" w:type="pct"/>
        <w:tblLook w:val="0420" w:firstRow="1" w:lastRow="0" w:firstColumn="0" w:lastColumn="0" w:noHBand="0" w:noVBand="1"/>
      </w:tblPr>
      <w:tblGrid>
        <w:gridCol w:w="2963"/>
        <w:gridCol w:w="2432"/>
        <w:gridCol w:w="2429"/>
      </w:tblGrid>
      <w:tr w:rsidR="00181442" w:rsidRPr="008E56E0" w14:paraId="746BEB11" w14:textId="77777777" w:rsidTr="0095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1894" w:type="pct"/>
            <w:vMerge w:val="restart"/>
            <w:tcBorders>
              <w:bottom w:val="nil"/>
              <w:right w:val="nil"/>
            </w:tcBorders>
            <w:shd w:val="clear" w:color="auto" w:fill="2C3A62"/>
            <w:vAlign w:val="center"/>
            <w:hideMark/>
          </w:tcPr>
          <w:p w14:paraId="68128B59" w14:textId="77777777" w:rsidR="00181442" w:rsidRPr="00173BFC" w:rsidRDefault="00181442" w:rsidP="00957B91">
            <w:pPr>
              <w:pStyle w:val="HEORNormal"/>
              <w:jc w:val="left"/>
              <w:rPr>
                <w:rFonts w:ascii="Helvetica" w:hAnsi="Helvetica" w:cs="Arial"/>
                <w:color w:val="FFFFFF" w:themeColor="background1"/>
                <w:sz w:val="16"/>
                <w:szCs w:val="20"/>
              </w:rPr>
            </w:pPr>
            <w:r w:rsidRPr="00173BFC">
              <w:rPr>
                <w:rFonts w:ascii="Helvetica" w:hAnsi="Helvetica" w:cs="Arial"/>
                <w:bCs/>
                <w:color w:val="FFFFFF" w:themeColor="background1"/>
                <w:sz w:val="16"/>
                <w:szCs w:val="20"/>
              </w:rPr>
              <w:t>Outcome</w:t>
            </w:r>
          </w:p>
        </w:tc>
        <w:tc>
          <w:tcPr>
            <w:tcW w:w="3106" w:type="pct"/>
            <w:gridSpan w:val="2"/>
            <w:tcBorders>
              <w:left w:val="nil"/>
              <w:bottom w:val="nil"/>
            </w:tcBorders>
            <w:shd w:val="clear" w:color="auto" w:fill="2C3A62"/>
          </w:tcPr>
          <w:p w14:paraId="2A78B95D" w14:textId="77777777" w:rsidR="00181442" w:rsidRPr="00173BFC" w:rsidRDefault="00181442" w:rsidP="00957B91">
            <w:pPr>
              <w:pStyle w:val="HEORNormal"/>
              <w:rPr>
                <w:rFonts w:ascii="Helvetica" w:hAnsi="Helvetica" w:cs="Arial"/>
                <w:b w:val="0"/>
                <w:bCs/>
                <w:color w:val="FFFFFF" w:themeColor="background1"/>
                <w:sz w:val="16"/>
                <w:szCs w:val="20"/>
              </w:rPr>
            </w:pPr>
            <w:proofErr w:type="spellStart"/>
            <w:r>
              <w:rPr>
                <w:rFonts w:ascii="Helvetica" w:hAnsi="Helvetica" w:cs="Arial"/>
                <w:bCs/>
                <w:color w:val="FFFFFF" w:themeColor="background1"/>
                <w:sz w:val="16"/>
                <w:szCs w:val="20"/>
              </w:rPr>
              <w:t>rpFVIII</w:t>
            </w:r>
            <w:proofErr w:type="spellEnd"/>
            <w:r w:rsidRPr="00173BFC">
              <w:rPr>
                <w:rFonts w:ascii="Helvetica" w:hAnsi="Helvetica" w:cs="Arial"/>
                <w:bCs/>
                <w:color w:val="FFFFFF" w:themeColor="background1"/>
                <w:sz w:val="16"/>
                <w:szCs w:val="20"/>
              </w:rPr>
              <w:t xml:space="preserve"> Admissions (n=40) vs </w:t>
            </w:r>
            <w:proofErr w:type="spellStart"/>
            <w:r>
              <w:rPr>
                <w:rFonts w:ascii="Helvetica" w:hAnsi="Helvetica" w:cs="Arial"/>
                <w:bCs/>
                <w:color w:val="FFFFFF" w:themeColor="background1"/>
                <w:sz w:val="16"/>
                <w:szCs w:val="20"/>
              </w:rPr>
              <w:t>rFVIIa</w:t>
            </w:r>
            <w:proofErr w:type="spellEnd"/>
            <w:r w:rsidRPr="00173BFC">
              <w:rPr>
                <w:rFonts w:ascii="Helvetica" w:hAnsi="Helvetica" w:cs="Arial"/>
                <w:bCs/>
                <w:color w:val="FFFFFF" w:themeColor="background1"/>
                <w:sz w:val="16"/>
                <w:szCs w:val="20"/>
              </w:rPr>
              <w:t xml:space="preserve"> Admissions (n=180)</w:t>
            </w:r>
          </w:p>
        </w:tc>
      </w:tr>
      <w:tr w:rsidR="00181442" w:rsidRPr="008E56E0" w14:paraId="7C4B4FBF" w14:textId="77777777" w:rsidTr="00957B91">
        <w:trPr>
          <w:trHeight w:val="373"/>
        </w:trPr>
        <w:tc>
          <w:tcPr>
            <w:tcW w:w="1894" w:type="pct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2C3A62"/>
            <w:hideMark/>
          </w:tcPr>
          <w:p w14:paraId="6B25D38C" w14:textId="77777777" w:rsidR="00181442" w:rsidRPr="00173BFC" w:rsidRDefault="00181442" w:rsidP="00957B91">
            <w:pPr>
              <w:pStyle w:val="HEORNormal"/>
              <w:rPr>
                <w:rFonts w:ascii="Helvetica" w:hAnsi="Helvetica" w:cs="Arial"/>
                <w:color w:val="FFFFFF" w:themeColor="background1"/>
                <w:sz w:val="16"/>
                <w:szCs w:val="20"/>
              </w:rPr>
            </w:pPr>
          </w:p>
        </w:tc>
        <w:tc>
          <w:tcPr>
            <w:tcW w:w="3106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2C3A62"/>
            <w:hideMark/>
          </w:tcPr>
          <w:p w14:paraId="2531A31D" w14:textId="77777777" w:rsidR="00181442" w:rsidRPr="00173BFC" w:rsidRDefault="00181442" w:rsidP="00957B91">
            <w:pPr>
              <w:pStyle w:val="HEORNormal"/>
              <w:jc w:val="center"/>
              <w:rPr>
                <w:rFonts w:ascii="Helvetica" w:hAnsi="Helvetica" w:cs="Arial"/>
                <w:color w:val="FFFFFF" w:themeColor="background1"/>
                <w:sz w:val="16"/>
                <w:szCs w:val="20"/>
              </w:rPr>
            </w:pPr>
            <w:r w:rsidRPr="00173BFC">
              <w:rPr>
                <w:rFonts w:ascii="Helvetica" w:hAnsi="Helvetica" w:cs="Arial"/>
                <w:color w:val="FFFFFF" w:themeColor="background1"/>
                <w:sz w:val="16"/>
                <w:szCs w:val="20"/>
              </w:rPr>
              <w:t>Unadjusted</w:t>
            </w:r>
            <w:r>
              <w:rPr>
                <w:rFonts w:ascii="Helvetica" w:hAnsi="Helvetica" w:cs="Arial"/>
                <w:color w:val="FFFFFF" w:themeColor="background1"/>
                <w:sz w:val="16"/>
                <w:szCs w:val="20"/>
              </w:rPr>
              <w:t xml:space="preserve"> Results</w:t>
            </w:r>
          </w:p>
        </w:tc>
      </w:tr>
      <w:tr w:rsidR="00181442" w:rsidRPr="008E56E0" w14:paraId="726E1DBF" w14:textId="77777777" w:rsidTr="00957B91">
        <w:trPr>
          <w:trHeight w:val="373"/>
        </w:trPr>
        <w:tc>
          <w:tcPr>
            <w:tcW w:w="1894" w:type="pct"/>
            <w:tcBorders>
              <w:top w:val="nil"/>
              <w:bottom w:val="single" w:sz="4" w:space="0" w:color="auto"/>
              <w:right w:val="nil"/>
            </w:tcBorders>
            <w:shd w:val="clear" w:color="auto" w:fill="2C3A62"/>
          </w:tcPr>
          <w:p w14:paraId="703F45C6" w14:textId="77777777" w:rsidR="00181442" w:rsidRPr="00173BFC" w:rsidRDefault="00181442" w:rsidP="00957B91">
            <w:pPr>
              <w:pStyle w:val="HEORNormal"/>
              <w:rPr>
                <w:rFonts w:ascii="Helvetica" w:hAnsi="Helvetica" w:cs="Arial"/>
                <w:color w:val="FFFFFF" w:themeColor="background1"/>
                <w:sz w:val="16"/>
                <w:szCs w:val="20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C3A62"/>
          </w:tcPr>
          <w:p w14:paraId="4664B2A4" w14:textId="77777777" w:rsidR="00181442" w:rsidRPr="00173BFC" w:rsidRDefault="00181442" w:rsidP="00957B91">
            <w:pPr>
              <w:pStyle w:val="HEORNormal"/>
              <w:jc w:val="left"/>
              <w:rPr>
                <w:rFonts w:ascii="Helvetica" w:hAnsi="Helvetica" w:cs="Arial"/>
                <w:color w:val="FFFFFF" w:themeColor="background1"/>
                <w:sz w:val="16"/>
                <w:szCs w:val="20"/>
              </w:rPr>
            </w:pPr>
            <w:r>
              <w:rPr>
                <w:rFonts w:ascii="Helvetica" w:hAnsi="Helvetica" w:cs="Arial"/>
                <w:color w:val="FFFFFF" w:themeColor="background1"/>
                <w:sz w:val="16"/>
                <w:szCs w:val="20"/>
              </w:rPr>
              <w:t>Probability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</w:tcBorders>
            <w:shd w:val="clear" w:color="auto" w:fill="2C3A62"/>
          </w:tcPr>
          <w:p w14:paraId="20262535" w14:textId="77777777" w:rsidR="00181442" w:rsidRPr="00173BFC" w:rsidRDefault="00181442" w:rsidP="00957B91">
            <w:pPr>
              <w:pStyle w:val="HEORNormal"/>
              <w:jc w:val="left"/>
              <w:rPr>
                <w:rFonts w:ascii="Helvetica" w:hAnsi="Helvetica" w:cs="Arial"/>
                <w:color w:val="FFFFFF" w:themeColor="background1"/>
                <w:sz w:val="16"/>
                <w:szCs w:val="20"/>
              </w:rPr>
            </w:pPr>
            <w:r>
              <w:rPr>
                <w:rFonts w:ascii="Helvetica" w:hAnsi="Helvetica" w:cs="Arial"/>
                <w:color w:val="FFFFFF" w:themeColor="background1"/>
                <w:sz w:val="16"/>
                <w:szCs w:val="20"/>
              </w:rPr>
              <w:t>p-value</w:t>
            </w:r>
          </w:p>
        </w:tc>
      </w:tr>
      <w:tr w:rsidR="00181442" w:rsidRPr="008E56E0" w14:paraId="2752B7BE" w14:textId="77777777" w:rsidTr="00957B91">
        <w:trPr>
          <w:trHeight w:val="436"/>
        </w:trPr>
        <w:tc>
          <w:tcPr>
            <w:tcW w:w="1894" w:type="pct"/>
            <w:tcBorders>
              <w:left w:val="single" w:sz="4" w:space="0" w:color="6EC3B9"/>
              <w:bottom w:val="single" w:sz="4" w:space="0" w:color="6EC3B9"/>
              <w:right w:val="single" w:sz="4" w:space="0" w:color="82CCC3"/>
            </w:tcBorders>
          </w:tcPr>
          <w:p w14:paraId="05780AC5" w14:textId="77777777" w:rsidR="00181442" w:rsidRPr="00173BFC" w:rsidRDefault="00181442" w:rsidP="00957B91">
            <w:pPr>
              <w:pStyle w:val="HEORNormal"/>
              <w:jc w:val="left"/>
              <w:rPr>
                <w:rFonts w:ascii="Helvetica" w:hAnsi="Helvetica" w:cs="Arial"/>
                <w:color w:val="000000" w:themeColor="text1"/>
                <w:sz w:val="16"/>
                <w:szCs w:val="20"/>
              </w:rPr>
            </w:pPr>
            <w:r w:rsidRPr="00173BFC">
              <w:rPr>
                <w:rFonts w:ascii="Helvetica" w:hAnsi="Helvetica" w:cs="Arial"/>
                <w:color w:val="000000" w:themeColor="text1"/>
                <w:kern w:val="24"/>
                <w:sz w:val="16"/>
                <w:szCs w:val="20"/>
              </w:rPr>
              <w:t>Death during most recent index admission</w:t>
            </w:r>
          </w:p>
        </w:tc>
        <w:tc>
          <w:tcPr>
            <w:tcW w:w="1554" w:type="pct"/>
            <w:tcBorders>
              <w:left w:val="single" w:sz="4" w:space="0" w:color="82CCC3"/>
              <w:bottom w:val="single" w:sz="4" w:space="0" w:color="6EC3B9"/>
              <w:right w:val="single" w:sz="4" w:space="0" w:color="82CCC3"/>
            </w:tcBorders>
            <w:vAlign w:val="center"/>
          </w:tcPr>
          <w:p w14:paraId="6941EE12" w14:textId="77777777" w:rsidR="00181442" w:rsidRPr="00173BFC" w:rsidRDefault="00181442" w:rsidP="00957B91">
            <w:pPr>
              <w:pStyle w:val="HEORNormal"/>
              <w:jc w:val="left"/>
              <w:rPr>
                <w:rFonts w:ascii="Helvetica" w:hAnsi="Helvetica" w:cs="Arial"/>
                <w:color w:val="000000" w:themeColor="text1"/>
                <w:sz w:val="16"/>
                <w:szCs w:val="20"/>
              </w:rPr>
            </w:pPr>
            <w:r w:rsidRPr="00173BFC">
              <w:rPr>
                <w:rFonts w:ascii="Helvetica" w:hAnsi="Helvetica" w:cs="Arial"/>
                <w:color w:val="000000" w:themeColor="text1"/>
                <w:kern w:val="24"/>
                <w:sz w:val="16"/>
                <w:szCs w:val="20"/>
              </w:rPr>
              <w:t>-12.5%</w:t>
            </w:r>
            <w:r>
              <w:rPr>
                <w:rFonts w:ascii="Helvetica" w:hAnsi="Helvetica" w:cs="Arial"/>
                <w:color w:val="000000" w:themeColor="text1"/>
                <w:kern w:val="24"/>
                <w:sz w:val="16"/>
                <w:szCs w:val="20"/>
              </w:rPr>
              <w:t xml:space="preserve"> </w:t>
            </w:r>
          </w:p>
        </w:tc>
        <w:tc>
          <w:tcPr>
            <w:tcW w:w="1552" w:type="pct"/>
            <w:tcBorders>
              <w:left w:val="single" w:sz="4" w:space="0" w:color="82CCC3"/>
              <w:bottom w:val="single" w:sz="4" w:space="0" w:color="6EC3B9"/>
              <w:right w:val="single" w:sz="4" w:space="0" w:color="82CCC3"/>
            </w:tcBorders>
            <w:vAlign w:val="center"/>
          </w:tcPr>
          <w:p w14:paraId="215725D2" w14:textId="77777777" w:rsidR="00181442" w:rsidRPr="00173BFC" w:rsidRDefault="00181442" w:rsidP="00957B91">
            <w:pPr>
              <w:pStyle w:val="HEORNormal"/>
              <w:jc w:val="left"/>
              <w:rPr>
                <w:rFonts w:ascii="Helvetica" w:hAnsi="Helvetica" w:cs="Arial"/>
                <w:color w:val="000000" w:themeColor="text1"/>
                <w:sz w:val="16"/>
                <w:szCs w:val="20"/>
              </w:rPr>
            </w:pPr>
            <w:r>
              <w:rPr>
                <w:rFonts w:ascii="Helvetica" w:hAnsi="Helvetica" w:cs="Arial"/>
                <w:color w:val="000000" w:themeColor="text1"/>
                <w:sz w:val="16"/>
                <w:szCs w:val="20"/>
              </w:rPr>
              <w:t>0.075</w:t>
            </w:r>
          </w:p>
        </w:tc>
      </w:tr>
      <w:tr w:rsidR="00181442" w:rsidRPr="008E56E0" w14:paraId="2488038E" w14:textId="77777777" w:rsidTr="00957B91">
        <w:trPr>
          <w:trHeight w:val="436"/>
        </w:trPr>
        <w:tc>
          <w:tcPr>
            <w:tcW w:w="1894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single" w:sz="4" w:space="0" w:color="82CCC3"/>
            </w:tcBorders>
          </w:tcPr>
          <w:p w14:paraId="2B5FAE52" w14:textId="77777777" w:rsidR="00181442" w:rsidRPr="00173BFC" w:rsidRDefault="00181442" w:rsidP="00957B91">
            <w:pPr>
              <w:pStyle w:val="HEORNormal"/>
              <w:jc w:val="left"/>
              <w:rPr>
                <w:rFonts w:ascii="Helvetica" w:hAnsi="Helvetica" w:cs="Arial"/>
                <w:color w:val="000000" w:themeColor="text1"/>
                <w:sz w:val="16"/>
                <w:szCs w:val="20"/>
              </w:rPr>
            </w:pPr>
            <w:r w:rsidRPr="00173BFC">
              <w:rPr>
                <w:rFonts w:ascii="Helvetica" w:hAnsi="Helvetica" w:cs="Arial"/>
                <w:color w:val="000000" w:themeColor="text1"/>
                <w:kern w:val="24"/>
                <w:sz w:val="16"/>
                <w:szCs w:val="20"/>
              </w:rPr>
              <w:t xml:space="preserve">Death within 30 days post-discharge of most recent index admission </w:t>
            </w:r>
          </w:p>
        </w:tc>
        <w:tc>
          <w:tcPr>
            <w:tcW w:w="1554" w:type="pct"/>
            <w:tcBorders>
              <w:top w:val="single" w:sz="4" w:space="0" w:color="6EC3B9"/>
              <w:left w:val="single" w:sz="4" w:space="0" w:color="82CCC3"/>
              <w:bottom w:val="single" w:sz="4" w:space="0" w:color="6EC3B9"/>
              <w:right w:val="single" w:sz="4" w:space="0" w:color="82CCC3"/>
            </w:tcBorders>
            <w:vAlign w:val="center"/>
          </w:tcPr>
          <w:p w14:paraId="10AF3F68" w14:textId="77777777" w:rsidR="00181442" w:rsidRPr="00173BFC" w:rsidRDefault="00181442" w:rsidP="00957B91">
            <w:pPr>
              <w:pStyle w:val="HEORNormal"/>
              <w:jc w:val="left"/>
              <w:rPr>
                <w:rFonts w:ascii="Helvetica" w:hAnsi="Helvetica" w:cs="Arial"/>
                <w:color w:val="000000" w:themeColor="text1"/>
                <w:sz w:val="16"/>
                <w:szCs w:val="20"/>
              </w:rPr>
            </w:pPr>
            <w:r w:rsidRPr="00173BFC">
              <w:rPr>
                <w:rFonts w:ascii="Helvetica" w:hAnsi="Helvetica" w:cs="Arial"/>
                <w:color w:val="000000" w:themeColor="text1"/>
                <w:kern w:val="24"/>
                <w:sz w:val="16"/>
                <w:szCs w:val="20"/>
              </w:rPr>
              <w:t>-20.1%</w:t>
            </w:r>
            <w:r>
              <w:rPr>
                <w:rFonts w:ascii="Helvetica" w:hAnsi="Helvetica" w:cs="Arial"/>
                <w:color w:val="000000" w:themeColor="text1"/>
                <w:kern w:val="24"/>
                <w:sz w:val="16"/>
                <w:szCs w:val="20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6EC3B9"/>
              <w:left w:val="single" w:sz="4" w:space="0" w:color="82CCC3"/>
              <w:bottom w:val="single" w:sz="4" w:space="0" w:color="6EC3B9"/>
              <w:right w:val="single" w:sz="4" w:space="0" w:color="82CCC3"/>
            </w:tcBorders>
            <w:vAlign w:val="center"/>
          </w:tcPr>
          <w:p w14:paraId="2E20346D" w14:textId="77777777" w:rsidR="00181442" w:rsidRPr="00173BFC" w:rsidRDefault="00181442" w:rsidP="00957B91">
            <w:pPr>
              <w:pStyle w:val="HEORNormal"/>
              <w:jc w:val="left"/>
              <w:rPr>
                <w:rFonts w:ascii="Helvetica" w:hAnsi="Helvetica" w:cs="Arial"/>
                <w:color w:val="000000" w:themeColor="text1"/>
                <w:sz w:val="16"/>
                <w:szCs w:val="20"/>
              </w:rPr>
            </w:pPr>
            <w:r>
              <w:rPr>
                <w:rFonts w:ascii="Helvetica" w:hAnsi="Helvetica" w:cs="Arial"/>
                <w:color w:val="000000" w:themeColor="text1"/>
                <w:sz w:val="16"/>
                <w:szCs w:val="20"/>
              </w:rPr>
              <w:t>0.012</w:t>
            </w:r>
          </w:p>
        </w:tc>
      </w:tr>
      <w:tr w:rsidR="00181442" w:rsidRPr="008E56E0" w14:paraId="5C0BE2E8" w14:textId="77777777" w:rsidTr="00957B91">
        <w:trPr>
          <w:trHeight w:val="436"/>
        </w:trPr>
        <w:tc>
          <w:tcPr>
            <w:tcW w:w="1894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single" w:sz="4" w:space="0" w:color="82CCC3"/>
            </w:tcBorders>
          </w:tcPr>
          <w:p w14:paraId="10FD1CC8" w14:textId="77777777" w:rsidR="00181442" w:rsidRPr="00173BFC" w:rsidRDefault="00181442" w:rsidP="00957B91">
            <w:pPr>
              <w:pStyle w:val="HEORNormal"/>
              <w:jc w:val="left"/>
              <w:rPr>
                <w:rFonts w:ascii="Helvetica" w:hAnsi="Helvetica" w:cs="Arial"/>
                <w:color w:val="000000" w:themeColor="text1"/>
                <w:sz w:val="16"/>
                <w:szCs w:val="20"/>
              </w:rPr>
            </w:pPr>
            <w:r w:rsidRPr="00173BFC">
              <w:rPr>
                <w:rFonts w:ascii="Helvetica" w:hAnsi="Helvetica" w:cs="Arial"/>
                <w:color w:val="000000" w:themeColor="text1"/>
                <w:kern w:val="24"/>
                <w:sz w:val="16"/>
                <w:szCs w:val="20"/>
              </w:rPr>
              <w:t xml:space="preserve">Death within 60 days post-discharge of most recent index admission </w:t>
            </w:r>
          </w:p>
        </w:tc>
        <w:tc>
          <w:tcPr>
            <w:tcW w:w="1554" w:type="pct"/>
            <w:tcBorders>
              <w:top w:val="single" w:sz="4" w:space="0" w:color="6EC3B9"/>
              <w:left w:val="single" w:sz="4" w:space="0" w:color="82CCC3"/>
              <w:bottom w:val="single" w:sz="4" w:space="0" w:color="6EC3B9"/>
              <w:right w:val="single" w:sz="4" w:space="0" w:color="82CCC3"/>
            </w:tcBorders>
            <w:vAlign w:val="center"/>
          </w:tcPr>
          <w:p w14:paraId="5945CEFD" w14:textId="77777777" w:rsidR="00181442" w:rsidRPr="00173BFC" w:rsidRDefault="00181442" w:rsidP="00957B91">
            <w:pPr>
              <w:pStyle w:val="HEORNormal"/>
              <w:jc w:val="left"/>
              <w:rPr>
                <w:rFonts w:ascii="Helvetica" w:hAnsi="Helvetica" w:cs="Arial"/>
                <w:color w:val="000000" w:themeColor="text1"/>
                <w:sz w:val="16"/>
                <w:szCs w:val="20"/>
              </w:rPr>
            </w:pPr>
            <w:r w:rsidRPr="00173BFC">
              <w:rPr>
                <w:rFonts w:ascii="Helvetica" w:hAnsi="Helvetica" w:cs="Arial"/>
                <w:color w:val="000000" w:themeColor="text1"/>
                <w:kern w:val="24"/>
                <w:sz w:val="16"/>
                <w:szCs w:val="20"/>
              </w:rPr>
              <w:t>-18.6%</w:t>
            </w:r>
            <w:r>
              <w:rPr>
                <w:rFonts w:ascii="Helvetica" w:hAnsi="Helvetica" w:cs="Arial"/>
                <w:color w:val="000000" w:themeColor="text1"/>
                <w:kern w:val="24"/>
                <w:sz w:val="16"/>
                <w:szCs w:val="20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6EC3B9"/>
              <w:left w:val="single" w:sz="4" w:space="0" w:color="82CCC3"/>
              <w:bottom w:val="single" w:sz="4" w:space="0" w:color="6EC3B9"/>
              <w:right w:val="single" w:sz="4" w:space="0" w:color="82CCC3"/>
            </w:tcBorders>
            <w:vAlign w:val="center"/>
          </w:tcPr>
          <w:p w14:paraId="6622B1CD" w14:textId="77777777" w:rsidR="00181442" w:rsidRPr="00173BFC" w:rsidRDefault="00181442" w:rsidP="00957B91">
            <w:pPr>
              <w:pStyle w:val="HEORNormal"/>
              <w:jc w:val="left"/>
              <w:rPr>
                <w:rFonts w:ascii="Helvetica" w:hAnsi="Helvetica" w:cs="Arial"/>
                <w:color w:val="000000" w:themeColor="text1"/>
                <w:sz w:val="16"/>
                <w:szCs w:val="20"/>
              </w:rPr>
            </w:pPr>
            <w:r>
              <w:rPr>
                <w:rFonts w:ascii="Helvetica" w:hAnsi="Helvetica" w:cs="Arial"/>
                <w:color w:val="000000" w:themeColor="text1"/>
                <w:sz w:val="16"/>
                <w:szCs w:val="20"/>
              </w:rPr>
              <w:t>0.039</w:t>
            </w:r>
          </w:p>
        </w:tc>
      </w:tr>
      <w:tr w:rsidR="00181442" w:rsidRPr="008E56E0" w14:paraId="5D0730B8" w14:textId="77777777" w:rsidTr="00957B91">
        <w:trPr>
          <w:trHeight w:val="436"/>
        </w:trPr>
        <w:tc>
          <w:tcPr>
            <w:tcW w:w="1894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single" w:sz="4" w:space="0" w:color="82CCC3"/>
            </w:tcBorders>
          </w:tcPr>
          <w:p w14:paraId="4F0CCB87" w14:textId="77777777" w:rsidR="00181442" w:rsidRPr="00173BFC" w:rsidRDefault="00181442" w:rsidP="00957B91">
            <w:pPr>
              <w:pStyle w:val="HEORNormal"/>
              <w:jc w:val="left"/>
              <w:rPr>
                <w:rFonts w:ascii="Helvetica" w:hAnsi="Helvetica" w:cs="Arial"/>
                <w:color w:val="000000" w:themeColor="text1"/>
                <w:sz w:val="16"/>
                <w:szCs w:val="20"/>
              </w:rPr>
            </w:pPr>
            <w:r w:rsidRPr="00173BFC">
              <w:rPr>
                <w:rFonts w:ascii="Helvetica" w:hAnsi="Helvetica" w:cs="Arial"/>
                <w:color w:val="000000" w:themeColor="text1"/>
                <w:kern w:val="24"/>
                <w:sz w:val="16"/>
                <w:szCs w:val="20"/>
              </w:rPr>
              <w:t xml:space="preserve">Death within 90 days post-discharge of most recent index admission </w:t>
            </w:r>
          </w:p>
        </w:tc>
        <w:tc>
          <w:tcPr>
            <w:tcW w:w="1554" w:type="pct"/>
            <w:tcBorders>
              <w:top w:val="single" w:sz="4" w:space="0" w:color="6EC3B9"/>
              <w:left w:val="single" w:sz="4" w:space="0" w:color="82CCC3"/>
              <w:bottom w:val="single" w:sz="4" w:space="0" w:color="6EC3B9"/>
              <w:right w:val="single" w:sz="4" w:space="0" w:color="82CCC3"/>
            </w:tcBorders>
            <w:vAlign w:val="center"/>
          </w:tcPr>
          <w:p w14:paraId="38E8CD70" w14:textId="77777777" w:rsidR="00181442" w:rsidRPr="00173BFC" w:rsidRDefault="00181442" w:rsidP="00957B91">
            <w:pPr>
              <w:pStyle w:val="HEORNormal"/>
              <w:jc w:val="left"/>
              <w:rPr>
                <w:rFonts w:ascii="Helvetica" w:hAnsi="Helvetica" w:cs="Arial"/>
                <w:color w:val="000000" w:themeColor="text1"/>
                <w:sz w:val="16"/>
                <w:szCs w:val="20"/>
              </w:rPr>
            </w:pPr>
            <w:r w:rsidRPr="00173BFC">
              <w:rPr>
                <w:rFonts w:ascii="Helvetica" w:hAnsi="Helvetica" w:cs="Arial"/>
                <w:color w:val="000000" w:themeColor="text1"/>
                <w:kern w:val="24"/>
                <w:sz w:val="16"/>
                <w:szCs w:val="20"/>
              </w:rPr>
              <w:t>-20.2%</w:t>
            </w:r>
          </w:p>
        </w:tc>
        <w:tc>
          <w:tcPr>
            <w:tcW w:w="1552" w:type="pct"/>
            <w:tcBorders>
              <w:top w:val="single" w:sz="4" w:space="0" w:color="6EC3B9"/>
              <w:left w:val="single" w:sz="4" w:space="0" w:color="82CCC3"/>
              <w:bottom w:val="single" w:sz="4" w:space="0" w:color="6EC3B9"/>
              <w:right w:val="single" w:sz="4" w:space="0" w:color="82CCC3"/>
            </w:tcBorders>
            <w:vAlign w:val="center"/>
          </w:tcPr>
          <w:p w14:paraId="561E21E5" w14:textId="77777777" w:rsidR="00181442" w:rsidRPr="00173BFC" w:rsidRDefault="00181442" w:rsidP="00957B91">
            <w:pPr>
              <w:pStyle w:val="HEORNormal"/>
              <w:jc w:val="left"/>
              <w:rPr>
                <w:rFonts w:ascii="Helvetica" w:hAnsi="Helvetica" w:cs="Arial"/>
                <w:color w:val="000000" w:themeColor="text1"/>
                <w:sz w:val="16"/>
                <w:szCs w:val="20"/>
              </w:rPr>
            </w:pPr>
            <w:r>
              <w:rPr>
                <w:rFonts w:ascii="Helvetica" w:hAnsi="Helvetica" w:cs="Arial"/>
                <w:color w:val="000000" w:themeColor="text1"/>
                <w:sz w:val="16"/>
                <w:szCs w:val="20"/>
              </w:rPr>
              <w:t>0.025</w:t>
            </w:r>
          </w:p>
        </w:tc>
      </w:tr>
    </w:tbl>
    <w:p w14:paraId="77E4FD93" w14:textId="77777777" w:rsidR="00181442" w:rsidRDefault="00181442" w:rsidP="00181442">
      <w:pPr>
        <w:pStyle w:val="BodyTextHEOR"/>
        <w:rPr>
          <w:color w:val="auto"/>
          <w:sz w:val="20"/>
        </w:rPr>
      </w:pPr>
    </w:p>
    <w:p w14:paraId="26E0DE79" w14:textId="77777777" w:rsidR="00181442" w:rsidRDefault="00181442" w:rsidP="00181442">
      <w:pPr>
        <w:pStyle w:val="BodyTextHEOR"/>
        <w:rPr>
          <w:color w:val="auto"/>
          <w:sz w:val="20"/>
        </w:rPr>
      </w:pPr>
    </w:p>
    <w:p w14:paraId="1BC39B5B" w14:textId="77777777" w:rsidR="00181442" w:rsidRDefault="00181442" w:rsidP="00181442">
      <w:pPr>
        <w:pStyle w:val="BodyTextHEOR"/>
        <w:rPr>
          <w:color w:val="auto"/>
          <w:sz w:val="20"/>
        </w:rPr>
      </w:pPr>
    </w:p>
    <w:p w14:paraId="3A2BABE7" w14:textId="77777777" w:rsidR="00181442" w:rsidRDefault="00181442" w:rsidP="00181442">
      <w:pPr>
        <w:pStyle w:val="BodyTextHEOR"/>
        <w:rPr>
          <w:color w:val="auto"/>
          <w:sz w:val="20"/>
        </w:rPr>
      </w:pPr>
    </w:p>
    <w:p w14:paraId="386E9F73" w14:textId="77777777" w:rsidR="00181442" w:rsidRDefault="00181442" w:rsidP="00181442">
      <w:pPr>
        <w:pStyle w:val="BodyTextHEOR"/>
        <w:rPr>
          <w:color w:val="auto"/>
          <w:sz w:val="20"/>
        </w:rPr>
      </w:pPr>
    </w:p>
    <w:p w14:paraId="06E7D327" w14:textId="77777777" w:rsidR="00181442" w:rsidRDefault="00181442" w:rsidP="00181442">
      <w:pPr>
        <w:pStyle w:val="HEORNormal"/>
        <w:contextualSpacing/>
        <w:rPr>
          <w:rFonts w:ascii="Helvetica" w:hAnsi="Helvetica" w:cs="Arial"/>
          <w:color w:val="000000" w:themeColor="text1"/>
          <w:sz w:val="16"/>
          <w:szCs w:val="20"/>
        </w:rPr>
      </w:pPr>
    </w:p>
    <w:p w14:paraId="069C2084" w14:textId="77777777" w:rsidR="00181442" w:rsidRDefault="00181442" w:rsidP="00181442">
      <w:pPr>
        <w:pStyle w:val="HEORNormal"/>
        <w:contextualSpacing/>
        <w:rPr>
          <w:rFonts w:ascii="Helvetica" w:hAnsi="Helvetica" w:cs="Arial"/>
          <w:color w:val="000000" w:themeColor="text1"/>
          <w:sz w:val="16"/>
          <w:szCs w:val="20"/>
        </w:rPr>
      </w:pPr>
    </w:p>
    <w:p w14:paraId="2E9814E9" w14:textId="77777777" w:rsidR="00181442" w:rsidRDefault="00181442" w:rsidP="00181442">
      <w:pPr>
        <w:pStyle w:val="HEORNormal"/>
        <w:contextualSpacing/>
        <w:rPr>
          <w:rFonts w:ascii="Helvetica" w:hAnsi="Helvetica" w:cs="Arial"/>
          <w:color w:val="000000" w:themeColor="text1"/>
          <w:sz w:val="16"/>
          <w:szCs w:val="20"/>
        </w:rPr>
      </w:pPr>
    </w:p>
    <w:p w14:paraId="1B6707E3" w14:textId="77777777" w:rsidR="00181442" w:rsidRDefault="00181442" w:rsidP="00181442">
      <w:pPr>
        <w:pStyle w:val="HEORNormal"/>
        <w:contextualSpacing/>
        <w:rPr>
          <w:rFonts w:ascii="Helvetica" w:hAnsi="Helvetica" w:cs="Arial"/>
          <w:color w:val="000000" w:themeColor="text1"/>
          <w:sz w:val="16"/>
          <w:szCs w:val="20"/>
        </w:rPr>
      </w:pPr>
    </w:p>
    <w:p w14:paraId="5AA64FC1" w14:textId="77777777" w:rsidR="00181442" w:rsidRDefault="00181442" w:rsidP="00181442">
      <w:pPr>
        <w:pStyle w:val="HEORNormal"/>
        <w:contextualSpacing/>
        <w:rPr>
          <w:rFonts w:ascii="Helvetica" w:hAnsi="Helvetica" w:cs="Arial"/>
          <w:color w:val="000000" w:themeColor="text1"/>
          <w:sz w:val="16"/>
          <w:szCs w:val="20"/>
        </w:rPr>
      </w:pPr>
    </w:p>
    <w:p w14:paraId="394E731C" w14:textId="77777777" w:rsidR="00181442" w:rsidRDefault="00181442" w:rsidP="00181442">
      <w:pPr>
        <w:pStyle w:val="HEORNormal"/>
        <w:contextualSpacing/>
        <w:rPr>
          <w:rFonts w:ascii="Helvetica" w:hAnsi="Helvetica" w:cs="Arial"/>
          <w:color w:val="000000" w:themeColor="text1"/>
          <w:sz w:val="16"/>
          <w:szCs w:val="20"/>
        </w:rPr>
      </w:pPr>
    </w:p>
    <w:p w14:paraId="11A2C467" w14:textId="77777777" w:rsidR="00181442" w:rsidRDefault="00181442" w:rsidP="00181442">
      <w:pPr>
        <w:pStyle w:val="HEORNormal"/>
        <w:spacing w:after="0"/>
        <w:contextualSpacing/>
        <w:rPr>
          <w:rFonts w:ascii="Helvetica" w:hAnsi="Helvetica" w:cs="Arial"/>
          <w:color w:val="000000" w:themeColor="text1"/>
          <w:sz w:val="16"/>
          <w:szCs w:val="20"/>
        </w:rPr>
      </w:pPr>
    </w:p>
    <w:p w14:paraId="2C5564FB" w14:textId="77777777" w:rsidR="00181442" w:rsidRDefault="00181442" w:rsidP="00181442">
      <w:pPr>
        <w:pStyle w:val="HEORNormal"/>
        <w:contextualSpacing/>
        <w:rPr>
          <w:rFonts w:ascii="Helvetica" w:hAnsi="Helvetica" w:cs="Arial"/>
          <w:color w:val="000000" w:themeColor="text1"/>
          <w:sz w:val="16"/>
          <w:szCs w:val="20"/>
        </w:rPr>
      </w:pPr>
    </w:p>
    <w:p w14:paraId="630FC88C" w14:textId="77777777" w:rsidR="00181442" w:rsidRPr="00173BFC" w:rsidRDefault="00181442" w:rsidP="00181442">
      <w:pPr>
        <w:pStyle w:val="HEORNormal"/>
        <w:spacing w:after="0"/>
        <w:contextualSpacing/>
        <w:rPr>
          <w:rFonts w:ascii="Helvetica" w:hAnsi="Helvetica" w:cs="Arial"/>
          <w:color w:val="000000" w:themeColor="text1"/>
          <w:sz w:val="16"/>
          <w:szCs w:val="20"/>
        </w:rPr>
      </w:pPr>
      <w:r w:rsidRPr="00173BFC">
        <w:rPr>
          <w:rFonts w:ascii="Helvetica" w:hAnsi="Helvetica" w:cs="Arial"/>
          <w:color w:val="000000" w:themeColor="text1"/>
          <w:sz w:val="16"/>
          <w:szCs w:val="20"/>
        </w:rPr>
        <w:t xml:space="preserve">NOTE: </w:t>
      </w:r>
      <w:proofErr w:type="spellStart"/>
      <w:r>
        <w:rPr>
          <w:rFonts w:ascii="Helvetica" w:hAnsi="Helvetica" w:cs="Arial"/>
          <w:color w:val="000000" w:themeColor="text1"/>
          <w:sz w:val="16"/>
          <w:szCs w:val="20"/>
        </w:rPr>
        <w:t>rFVIIa</w:t>
      </w:r>
      <w:proofErr w:type="spellEnd"/>
      <w:r w:rsidRPr="00173BFC">
        <w:rPr>
          <w:rFonts w:ascii="Helvetica" w:hAnsi="Helvetica" w:cs="Arial"/>
          <w:color w:val="000000" w:themeColor="text1"/>
          <w:sz w:val="16"/>
          <w:szCs w:val="20"/>
        </w:rPr>
        <w:t xml:space="preserve"> admissions served as the reference group. </w:t>
      </w:r>
    </w:p>
    <w:p w14:paraId="6F8D9B1E" w14:textId="77777777" w:rsidR="00181442" w:rsidRDefault="00181442" w:rsidP="00181442">
      <w:pPr>
        <w:pStyle w:val="HEORNormal"/>
        <w:contextualSpacing/>
        <w:rPr>
          <w:rFonts w:ascii="Helvetica" w:hAnsi="Helvetica"/>
          <w:color w:val="000000" w:themeColor="text1"/>
          <w:sz w:val="16"/>
          <w:szCs w:val="20"/>
        </w:rPr>
      </w:pPr>
      <w:r w:rsidRPr="00173BFC">
        <w:rPr>
          <w:rFonts w:ascii="Helvetica" w:hAnsi="Helvetica"/>
          <w:color w:val="000000" w:themeColor="text1"/>
          <w:sz w:val="16"/>
          <w:szCs w:val="20"/>
        </w:rPr>
        <w:t>*Calculated using multivariate regression</w:t>
      </w:r>
    </w:p>
    <w:p w14:paraId="2684BC32" w14:textId="77777777" w:rsidR="00181442" w:rsidRDefault="00181442" w:rsidP="00181442">
      <w:pPr>
        <w:pStyle w:val="HEORNormal"/>
        <w:contextualSpacing/>
        <w:rPr>
          <w:rFonts w:cs="Arial"/>
          <w:color w:val="000000" w:themeColor="text1"/>
          <w:sz w:val="16"/>
          <w:szCs w:val="20"/>
        </w:rPr>
      </w:pPr>
      <w:proofErr w:type="spellStart"/>
      <w:r w:rsidRPr="004E13C3">
        <w:rPr>
          <w:rFonts w:cs="Arial"/>
          <w:color w:val="000000" w:themeColor="text1"/>
          <w:sz w:val="16"/>
          <w:szCs w:val="20"/>
        </w:rPr>
        <w:t>rFV</w:t>
      </w:r>
      <w:r>
        <w:rPr>
          <w:rFonts w:cs="Arial"/>
          <w:color w:val="000000" w:themeColor="text1"/>
          <w:sz w:val="16"/>
          <w:szCs w:val="20"/>
        </w:rPr>
        <w:t>II</w:t>
      </w:r>
      <w:r w:rsidRPr="004E13C3">
        <w:rPr>
          <w:rFonts w:cs="Arial"/>
          <w:color w:val="000000" w:themeColor="text1"/>
          <w:sz w:val="16"/>
          <w:szCs w:val="20"/>
        </w:rPr>
        <w:t>a</w:t>
      </w:r>
      <w:proofErr w:type="spellEnd"/>
      <w:r w:rsidRPr="004E13C3">
        <w:rPr>
          <w:rFonts w:cs="Arial"/>
          <w:color w:val="000000" w:themeColor="text1"/>
          <w:sz w:val="16"/>
          <w:szCs w:val="20"/>
        </w:rPr>
        <w:t xml:space="preserve"> = </w:t>
      </w:r>
      <w:r w:rsidRPr="00CB518A">
        <w:rPr>
          <w:rFonts w:cs="Arial"/>
          <w:color w:val="000000" w:themeColor="text1"/>
          <w:sz w:val="16"/>
          <w:szCs w:val="20"/>
        </w:rPr>
        <w:t>activated recombinant Factor VII</w:t>
      </w:r>
      <w:r w:rsidRPr="004E13C3">
        <w:rPr>
          <w:rFonts w:cs="Arial"/>
          <w:color w:val="000000" w:themeColor="text1"/>
          <w:sz w:val="16"/>
          <w:szCs w:val="20"/>
        </w:rPr>
        <w:t xml:space="preserve">; </w:t>
      </w:r>
      <w:proofErr w:type="spellStart"/>
      <w:r w:rsidRPr="004E13C3">
        <w:rPr>
          <w:rFonts w:cs="Arial"/>
          <w:color w:val="000000" w:themeColor="text1"/>
          <w:sz w:val="16"/>
          <w:szCs w:val="20"/>
        </w:rPr>
        <w:t>rpFVIII</w:t>
      </w:r>
      <w:proofErr w:type="spellEnd"/>
      <w:r w:rsidRPr="004E13C3">
        <w:rPr>
          <w:rFonts w:cs="Arial"/>
          <w:color w:val="000000" w:themeColor="text1"/>
          <w:sz w:val="16"/>
          <w:szCs w:val="20"/>
        </w:rPr>
        <w:t xml:space="preserve"> = recombinant porcine FVIII</w:t>
      </w:r>
    </w:p>
    <w:p w14:paraId="4D348C07" w14:textId="77777777" w:rsidR="00181442" w:rsidRPr="0066479C" w:rsidRDefault="00181442" w:rsidP="00181442">
      <w:pPr>
        <w:pStyle w:val="BodyTextHEOR"/>
        <w:rPr>
          <w:color w:val="auto"/>
          <w:sz w:val="20"/>
        </w:rPr>
      </w:pPr>
    </w:p>
    <w:p w14:paraId="73ECB56B" w14:textId="77777777" w:rsidR="00181442" w:rsidRPr="00173BFC" w:rsidRDefault="00181442" w:rsidP="00181442">
      <w:pPr>
        <w:pStyle w:val="HEORNormal"/>
        <w:rPr>
          <w:rFonts w:ascii="Helvetica" w:hAnsi="Helvetica"/>
          <w:b/>
          <w:color w:val="auto"/>
          <w:sz w:val="20"/>
        </w:rPr>
      </w:pPr>
      <w:r w:rsidRPr="00173BFC">
        <w:rPr>
          <w:rFonts w:ascii="Helvetica" w:hAnsi="Helvetica"/>
          <w:b/>
          <w:color w:val="auto"/>
          <w:sz w:val="20"/>
        </w:rPr>
        <w:t>Table S2. Descriptive Mortality at the Admission Level, Following Treatment</w:t>
      </w:r>
    </w:p>
    <w:tbl>
      <w:tblPr>
        <w:tblStyle w:val="PHETable"/>
        <w:tblW w:w="3728" w:type="pct"/>
        <w:tblLook w:val="0420" w:firstRow="1" w:lastRow="0" w:firstColumn="0" w:lastColumn="0" w:noHBand="0" w:noVBand="1"/>
      </w:tblPr>
      <w:tblGrid>
        <w:gridCol w:w="2910"/>
        <w:gridCol w:w="1695"/>
        <w:gridCol w:w="2366"/>
      </w:tblGrid>
      <w:tr w:rsidR="00181442" w:rsidRPr="0066479C" w14:paraId="27A94DC3" w14:textId="77777777" w:rsidTr="0095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tcW w:w="2087" w:type="pct"/>
            <w:vMerge w:val="restart"/>
            <w:tcBorders>
              <w:bottom w:val="nil"/>
              <w:right w:val="nil"/>
            </w:tcBorders>
            <w:shd w:val="clear" w:color="auto" w:fill="2C3A62"/>
            <w:vAlign w:val="center"/>
            <w:hideMark/>
          </w:tcPr>
          <w:p w14:paraId="5AF8B1A5" w14:textId="77777777" w:rsidR="00181442" w:rsidRPr="005A4202" w:rsidRDefault="00181442" w:rsidP="00957B91">
            <w:pPr>
              <w:pStyle w:val="HEORNormal"/>
              <w:jc w:val="left"/>
              <w:rPr>
                <w:rFonts w:ascii="Helvetica" w:hAnsi="Helvetica"/>
                <w:color w:val="FFFFFF" w:themeColor="background1"/>
                <w:sz w:val="16"/>
                <w:szCs w:val="20"/>
              </w:rPr>
            </w:pPr>
            <w:r w:rsidRPr="005A4202">
              <w:rPr>
                <w:rFonts w:ascii="Helvetica" w:hAnsi="Helvetica"/>
                <w:bCs/>
                <w:color w:val="FFFFFF" w:themeColor="background1"/>
                <w:sz w:val="16"/>
                <w:szCs w:val="20"/>
              </w:rPr>
              <w:t>Outcomes</w:t>
            </w:r>
          </w:p>
        </w:tc>
        <w:tc>
          <w:tcPr>
            <w:tcW w:w="2913" w:type="pct"/>
            <w:gridSpan w:val="2"/>
            <w:tcBorders>
              <w:left w:val="nil"/>
              <w:bottom w:val="nil"/>
            </w:tcBorders>
            <w:shd w:val="clear" w:color="auto" w:fill="2C3A62"/>
            <w:hideMark/>
          </w:tcPr>
          <w:p w14:paraId="11C3F6D0" w14:textId="77777777" w:rsidR="00181442" w:rsidRPr="005A4202" w:rsidRDefault="00181442" w:rsidP="00957B91">
            <w:pPr>
              <w:pStyle w:val="HEORNormal"/>
              <w:jc w:val="center"/>
              <w:rPr>
                <w:rFonts w:ascii="Helvetica" w:hAnsi="Helvetica"/>
                <w:color w:val="FFFFFF" w:themeColor="background1"/>
                <w:sz w:val="16"/>
                <w:szCs w:val="20"/>
              </w:rPr>
            </w:pPr>
            <w:r w:rsidRPr="005A4202">
              <w:rPr>
                <w:rFonts w:ascii="Helvetica" w:hAnsi="Helvetica"/>
                <w:bCs/>
                <w:color w:val="FFFFFF" w:themeColor="background1"/>
                <w:sz w:val="16"/>
                <w:szCs w:val="20"/>
              </w:rPr>
              <w:t>Total Admissions with Treatment</w:t>
            </w:r>
          </w:p>
          <w:p w14:paraId="25E0444F" w14:textId="77777777" w:rsidR="00181442" w:rsidRPr="005A4202" w:rsidRDefault="00181442" w:rsidP="00957B91">
            <w:pPr>
              <w:pStyle w:val="HEORNormal"/>
              <w:jc w:val="center"/>
              <w:rPr>
                <w:rFonts w:ascii="Helvetica" w:hAnsi="Helvetica"/>
                <w:color w:val="FFFFFF" w:themeColor="background1"/>
                <w:sz w:val="16"/>
                <w:szCs w:val="20"/>
              </w:rPr>
            </w:pPr>
            <w:r w:rsidRPr="005A4202">
              <w:rPr>
                <w:rFonts w:ascii="Helvetica" w:hAnsi="Helvetica"/>
                <w:bCs/>
                <w:color w:val="FFFFFF" w:themeColor="background1"/>
                <w:sz w:val="16"/>
                <w:szCs w:val="20"/>
              </w:rPr>
              <w:t>Treatments = 220 (</w:t>
            </w:r>
            <w:proofErr w:type="spellStart"/>
            <w:r>
              <w:rPr>
                <w:rFonts w:ascii="Helvetica" w:hAnsi="Helvetica"/>
                <w:bCs/>
                <w:color w:val="FFFFFF" w:themeColor="background1"/>
                <w:sz w:val="16"/>
                <w:szCs w:val="20"/>
              </w:rPr>
              <w:t>rpFVIII</w:t>
            </w:r>
            <w:proofErr w:type="spellEnd"/>
            <w:r w:rsidRPr="005A4202">
              <w:rPr>
                <w:rFonts w:ascii="Helvetica" w:hAnsi="Helvetica"/>
                <w:bCs/>
                <w:color w:val="FFFFFF" w:themeColor="background1"/>
                <w:sz w:val="16"/>
                <w:szCs w:val="20"/>
              </w:rPr>
              <w:t xml:space="preserve"> = 40, </w:t>
            </w:r>
            <w:proofErr w:type="spellStart"/>
            <w:r>
              <w:rPr>
                <w:rFonts w:ascii="Helvetica" w:hAnsi="Helvetica"/>
                <w:bCs/>
                <w:color w:val="FFFFFF" w:themeColor="background1"/>
                <w:sz w:val="16"/>
                <w:szCs w:val="20"/>
              </w:rPr>
              <w:t>rFVIIa</w:t>
            </w:r>
            <w:proofErr w:type="spellEnd"/>
            <w:r w:rsidRPr="005A4202">
              <w:rPr>
                <w:rFonts w:ascii="Helvetica" w:hAnsi="Helvetica"/>
                <w:bCs/>
                <w:color w:val="FFFFFF" w:themeColor="background1"/>
                <w:sz w:val="16"/>
                <w:szCs w:val="20"/>
              </w:rPr>
              <w:t xml:space="preserve"> = 180)</w:t>
            </w:r>
          </w:p>
        </w:tc>
      </w:tr>
      <w:tr w:rsidR="00181442" w:rsidRPr="0066479C" w14:paraId="10532931" w14:textId="77777777" w:rsidTr="00957B91">
        <w:trPr>
          <w:trHeight w:val="260"/>
        </w:trPr>
        <w:tc>
          <w:tcPr>
            <w:tcW w:w="2087" w:type="pct"/>
            <w:vMerge/>
            <w:tcBorders>
              <w:top w:val="nil"/>
              <w:right w:val="nil"/>
            </w:tcBorders>
            <w:shd w:val="clear" w:color="auto" w:fill="2C3A62"/>
            <w:hideMark/>
          </w:tcPr>
          <w:p w14:paraId="2518FB1F" w14:textId="77777777" w:rsidR="00181442" w:rsidRPr="005A4202" w:rsidRDefault="00181442" w:rsidP="00957B91">
            <w:pPr>
              <w:pStyle w:val="HEORNormal"/>
              <w:rPr>
                <w:rFonts w:ascii="Helvetica" w:hAnsi="Helvetica"/>
                <w:color w:val="FFFFFF" w:themeColor="background1"/>
                <w:sz w:val="16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right w:val="nil"/>
            </w:tcBorders>
            <w:shd w:val="clear" w:color="auto" w:fill="2C3A62"/>
            <w:hideMark/>
          </w:tcPr>
          <w:p w14:paraId="4A66A077" w14:textId="77777777" w:rsidR="00181442" w:rsidRPr="005A4202" w:rsidRDefault="00181442" w:rsidP="00957B91">
            <w:pPr>
              <w:pStyle w:val="HEORNormal"/>
              <w:jc w:val="center"/>
              <w:rPr>
                <w:rFonts w:ascii="Helvetica" w:hAnsi="Helvetica"/>
                <w:color w:val="FFFFFF" w:themeColor="background1"/>
                <w:sz w:val="16"/>
                <w:szCs w:val="20"/>
              </w:rPr>
            </w:pPr>
            <w:r w:rsidRPr="005A4202">
              <w:rPr>
                <w:rFonts w:ascii="Helvetica" w:hAnsi="Helvetica"/>
                <w:color w:val="FFFFFF" w:themeColor="background1"/>
                <w:sz w:val="16"/>
                <w:szCs w:val="20"/>
              </w:rPr>
              <w:t>N = Deaths</w:t>
            </w:r>
          </w:p>
        </w:tc>
        <w:tc>
          <w:tcPr>
            <w:tcW w:w="1698" w:type="pct"/>
            <w:tcBorders>
              <w:top w:val="nil"/>
              <w:left w:val="nil"/>
            </w:tcBorders>
            <w:shd w:val="clear" w:color="auto" w:fill="2C3A62"/>
            <w:hideMark/>
          </w:tcPr>
          <w:p w14:paraId="5E26C4A7" w14:textId="77777777" w:rsidR="00181442" w:rsidRPr="005A4202" w:rsidRDefault="00181442" w:rsidP="00957B91">
            <w:pPr>
              <w:pStyle w:val="HEORNormal"/>
              <w:jc w:val="center"/>
              <w:rPr>
                <w:rFonts w:ascii="Helvetica" w:hAnsi="Helvetica"/>
                <w:color w:val="FFFFFF" w:themeColor="background1"/>
                <w:sz w:val="16"/>
                <w:szCs w:val="20"/>
              </w:rPr>
            </w:pPr>
            <w:r w:rsidRPr="005A4202">
              <w:rPr>
                <w:rFonts w:ascii="Helvetica" w:hAnsi="Helvetica"/>
                <w:color w:val="FFFFFF" w:themeColor="background1"/>
                <w:sz w:val="16"/>
                <w:szCs w:val="20"/>
              </w:rPr>
              <w:t>%</w:t>
            </w:r>
          </w:p>
        </w:tc>
      </w:tr>
      <w:tr w:rsidR="00181442" w:rsidRPr="0066479C" w14:paraId="08108CAD" w14:textId="77777777" w:rsidTr="00957B91">
        <w:trPr>
          <w:trHeight w:val="404"/>
        </w:trPr>
        <w:tc>
          <w:tcPr>
            <w:tcW w:w="2087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  <w:hideMark/>
          </w:tcPr>
          <w:p w14:paraId="615FED34" w14:textId="77777777" w:rsidR="00181442" w:rsidRPr="005A4202" w:rsidRDefault="00181442" w:rsidP="00957B91">
            <w:pPr>
              <w:pStyle w:val="HEORNormal"/>
              <w:jc w:val="left"/>
              <w:rPr>
                <w:rFonts w:ascii="Helvetica" w:hAnsi="Helvetica"/>
                <w:color w:val="auto"/>
                <w:sz w:val="16"/>
                <w:szCs w:val="20"/>
              </w:rPr>
            </w:pPr>
            <w:r w:rsidRPr="005A4202">
              <w:rPr>
                <w:rFonts w:ascii="Helvetica" w:hAnsi="Helvetica"/>
                <w:color w:val="auto"/>
                <w:sz w:val="16"/>
                <w:szCs w:val="20"/>
              </w:rPr>
              <w:t>Recorded death following an admission with treatment</w:t>
            </w:r>
          </w:p>
        </w:tc>
        <w:tc>
          <w:tcPr>
            <w:tcW w:w="1216" w:type="pct"/>
            <w:tcBorders>
              <w:top w:val="single" w:sz="4" w:space="0" w:color="6EC3B9"/>
              <w:left w:val="nil"/>
              <w:bottom w:val="single" w:sz="4" w:space="0" w:color="6EC3B9"/>
              <w:right w:val="nil"/>
            </w:tcBorders>
            <w:hideMark/>
          </w:tcPr>
          <w:p w14:paraId="381BCAC5" w14:textId="77777777" w:rsidR="00181442" w:rsidRPr="005A4202" w:rsidRDefault="00181442" w:rsidP="00957B91">
            <w:pPr>
              <w:pStyle w:val="HEORNormal"/>
              <w:jc w:val="center"/>
              <w:rPr>
                <w:rFonts w:ascii="Helvetica" w:hAnsi="Helvetica"/>
                <w:color w:val="auto"/>
                <w:sz w:val="16"/>
                <w:szCs w:val="20"/>
              </w:rPr>
            </w:pPr>
            <w:r w:rsidRPr="005A4202">
              <w:rPr>
                <w:rFonts w:ascii="Helvetica" w:hAnsi="Helvetica"/>
                <w:color w:val="auto"/>
                <w:sz w:val="16"/>
                <w:szCs w:val="20"/>
              </w:rPr>
              <w:t>86</w:t>
            </w:r>
          </w:p>
        </w:tc>
        <w:tc>
          <w:tcPr>
            <w:tcW w:w="1698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  <w:hideMark/>
          </w:tcPr>
          <w:p w14:paraId="1D3EAA1B" w14:textId="77777777" w:rsidR="00181442" w:rsidRPr="005A4202" w:rsidRDefault="00181442" w:rsidP="00957B91">
            <w:pPr>
              <w:pStyle w:val="HEORNormal"/>
              <w:jc w:val="center"/>
              <w:rPr>
                <w:rFonts w:ascii="Helvetica" w:hAnsi="Helvetica"/>
                <w:color w:val="auto"/>
                <w:sz w:val="16"/>
                <w:szCs w:val="20"/>
              </w:rPr>
            </w:pPr>
            <w:r w:rsidRPr="005A4202">
              <w:rPr>
                <w:rFonts w:ascii="Helvetica" w:hAnsi="Helvetica"/>
                <w:color w:val="auto"/>
                <w:sz w:val="16"/>
                <w:szCs w:val="20"/>
              </w:rPr>
              <w:t>39.09%</w:t>
            </w:r>
          </w:p>
        </w:tc>
      </w:tr>
      <w:tr w:rsidR="00181442" w:rsidRPr="0066479C" w14:paraId="6EF4FA40" w14:textId="77777777" w:rsidTr="00957B91">
        <w:trPr>
          <w:trHeight w:val="422"/>
        </w:trPr>
        <w:tc>
          <w:tcPr>
            <w:tcW w:w="2087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  <w:hideMark/>
          </w:tcPr>
          <w:p w14:paraId="7DF18B88" w14:textId="77777777" w:rsidR="00181442" w:rsidRPr="005A4202" w:rsidRDefault="00181442" w:rsidP="00957B91">
            <w:pPr>
              <w:pStyle w:val="HEORNormal"/>
              <w:jc w:val="left"/>
              <w:rPr>
                <w:rFonts w:ascii="Helvetica" w:hAnsi="Helvetica"/>
                <w:color w:val="auto"/>
                <w:sz w:val="16"/>
                <w:szCs w:val="20"/>
              </w:rPr>
            </w:pPr>
            <w:r w:rsidRPr="005A4202">
              <w:rPr>
                <w:rFonts w:ascii="Helvetica" w:hAnsi="Helvetica"/>
                <w:color w:val="auto"/>
                <w:sz w:val="16"/>
                <w:szCs w:val="20"/>
              </w:rPr>
              <w:t>Death during most recent admission with treatment*</w:t>
            </w:r>
          </w:p>
        </w:tc>
        <w:tc>
          <w:tcPr>
            <w:tcW w:w="1216" w:type="pct"/>
            <w:tcBorders>
              <w:top w:val="single" w:sz="4" w:space="0" w:color="6EC3B9"/>
              <w:left w:val="nil"/>
              <w:bottom w:val="single" w:sz="4" w:space="0" w:color="6EC3B9"/>
              <w:right w:val="nil"/>
            </w:tcBorders>
            <w:hideMark/>
          </w:tcPr>
          <w:p w14:paraId="3682D392" w14:textId="77777777" w:rsidR="00181442" w:rsidRPr="005A4202" w:rsidRDefault="00181442" w:rsidP="00957B91">
            <w:pPr>
              <w:pStyle w:val="HEORNormal"/>
              <w:jc w:val="center"/>
              <w:rPr>
                <w:rFonts w:ascii="Helvetica" w:hAnsi="Helvetica"/>
                <w:color w:val="auto"/>
                <w:sz w:val="16"/>
                <w:szCs w:val="20"/>
              </w:rPr>
            </w:pPr>
            <w:r w:rsidRPr="005A4202">
              <w:rPr>
                <w:rFonts w:ascii="Helvetica" w:hAnsi="Helvetica"/>
                <w:color w:val="auto"/>
                <w:sz w:val="16"/>
                <w:szCs w:val="20"/>
              </w:rPr>
              <w:t>32</w:t>
            </w:r>
          </w:p>
        </w:tc>
        <w:tc>
          <w:tcPr>
            <w:tcW w:w="1698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  <w:hideMark/>
          </w:tcPr>
          <w:p w14:paraId="53FB68EC" w14:textId="77777777" w:rsidR="00181442" w:rsidRPr="005A4202" w:rsidRDefault="00181442" w:rsidP="00957B91">
            <w:pPr>
              <w:pStyle w:val="HEORNormal"/>
              <w:jc w:val="center"/>
              <w:rPr>
                <w:rFonts w:ascii="Helvetica" w:hAnsi="Helvetica"/>
                <w:color w:val="auto"/>
                <w:sz w:val="16"/>
                <w:szCs w:val="20"/>
              </w:rPr>
            </w:pPr>
            <w:r w:rsidRPr="005A4202">
              <w:rPr>
                <w:rFonts w:ascii="Helvetica" w:hAnsi="Helvetica"/>
                <w:color w:val="auto"/>
                <w:sz w:val="16"/>
                <w:szCs w:val="20"/>
              </w:rPr>
              <w:t>14.55%</w:t>
            </w:r>
          </w:p>
        </w:tc>
      </w:tr>
      <w:tr w:rsidR="00181442" w:rsidRPr="0066479C" w14:paraId="64B7C966" w14:textId="77777777" w:rsidTr="00957B91">
        <w:trPr>
          <w:trHeight w:val="197"/>
        </w:trPr>
        <w:tc>
          <w:tcPr>
            <w:tcW w:w="2087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  <w:hideMark/>
          </w:tcPr>
          <w:p w14:paraId="47316542" w14:textId="77777777" w:rsidR="00181442" w:rsidRPr="005A4202" w:rsidRDefault="00181442" w:rsidP="00957B91">
            <w:pPr>
              <w:pStyle w:val="HEORNormal"/>
              <w:jc w:val="left"/>
              <w:rPr>
                <w:rFonts w:ascii="Helvetica" w:hAnsi="Helvetica"/>
                <w:color w:val="auto"/>
                <w:sz w:val="16"/>
                <w:szCs w:val="20"/>
              </w:rPr>
            </w:pPr>
            <w:r w:rsidRPr="005A4202">
              <w:rPr>
                <w:rFonts w:ascii="Helvetica" w:hAnsi="Helvetica"/>
                <w:color w:val="auto"/>
                <w:sz w:val="16"/>
                <w:szCs w:val="20"/>
              </w:rPr>
              <w:t>Death within 30 days post discharge of latest admission with treatment</w:t>
            </w:r>
          </w:p>
        </w:tc>
        <w:tc>
          <w:tcPr>
            <w:tcW w:w="1216" w:type="pct"/>
            <w:tcBorders>
              <w:top w:val="single" w:sz="4" w:space="0" w:color="6EC3B9"/>
              <w:left w:val="nil"/>
              <w:bottom w:val="single" w:sz="4" w:space="0" w:color="6EC3B9"/>
              <w:right w:val="nil"/>
            </w:tcBorders>
            <w:hideMark/>
          </w:tcPr>
          <w:p w14:paraId="4D066021" w14:textId="77777777" w:rsidR="00181442" w:rsidRPr="005A4202" w:rsidRDefault="00181442" w:rsidP="00957B91">
            <w:pPr>
              <w:pStyle w:val="HEORNormal"/>
              <w:jc w:val="center"/>
              <w:rPr>
                <w:rFonts w:ascii="Helvetica" w:hAnsi="Helvetica"/>
                <w:color w:val="auto"/>
                <w:sz w:val="16"/>
                <w:szCs w:val="20"/>
              </w:rPr>
            </w:pPr>
            <w:r w:rsidRPr="005A4202">
              <w:rPr>
                <w:rFonts w:ascii="Helvetica" w:hAnsi="Helvetica"/>
                <w:color w:val="auto"/>
                <w:sz w:val="16"/>
                <w:szCs w:val="20"/>
              </w:rPr>
              <w:t>47</w:t>
            </w:r>
          </w:p>
        </w:tc>
        <w:tc>
          <w:tcPr>
            <w:tcW w:w="1698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  <w:hideMark/>
          </w:tcPr>
          <w:p w14:paraId="08A2B2F3" w14:textId="77777777" w:rsidR="00181442" w:rsidRPr="005A4202" w:rsidRDefault="00181442" w:rsidP="00957B91">
            <w:pPr>
              <w:pStyle w:val="HEORNormal"/>
              <w:jc w:val="center"/>
              <w:rPr>
                <w:rFonts w:ascii="Helvetica" w:hAnsi="Helvetica"/>
                <w:color w:val="auto"/>
                <w:sz w:val="16"/>
                <w:szCs w:val="20"/>
              </w:rPr>
            </w:pPr>
            <w:r w:rsidRPr="005A4202">
              <w:rPr>
                <w:rFonts w:ascii="Helvetica" w:hAnsi="Helvetica"/>
                <w:color w:val="auto"/>
                <w:sz w:val="16"/>
                <w:szCs w:val="20"/>
              </w:rPr>
              <w:t>21.36%</w:t>
            </w:r>
          </w:p>
        </w:tc>
      </w:tr>
      <w:tr w:rsidR="00181442" w:rsidRPr="0066479C" w14:paraId="4E326C41" w14:textId="77777777" w:rsidTr="00957B91">
        <w:trPr>
          <w:trHeight w:val="323"/>
        </w:trPr>
        <w:tc>
          <w:tcPr>
            <w:tcW w:w="2087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  <w:hideMark/>
          </w:tcPr>
          <w:p w14:paraId="79B645F0" w14:textId="77777777" w:rsidR="00181442" w:rsidRPr="005A4202" w:rsidRDefault="00181442" w:rsidP="00957B91">
            <w:pPr>
              <w:pStyle w:val="HEORNormal"/>
              <w:jc w:val="left"/>
              <w:rPr>
                <w:rFonts w:ascii="Helvetica" w:hAnsi="Helvetica"/>
                <w:color w:val="auto"/>
                <w:sz w:val="16"/>
                <w:szCs w:val="20"/>
              </w:rPr>
            </w:pPr>
            <w:r w:rsidRPr="005A4202">
              <w:rPr>
                <w:rFonts w:ascii="Helvetica" w:hAnsi="Helvetica"/>
                <w:color w:val="auto"/>
                <w:sz w:val="16"/>
                <w:szCs w:val="20"/>
              </w:rPr>
              <w:t>Death within 60 days post discharge of latest admission with treatment</w:t>
            </w:r>
          </w:p>
        </w:tc>
        <w:tc>
          <w:tcPr>
            <w:tcW w:w="1216" w:type="pct"/>
            <w:tcBorders>
              <w:top w:val="single" w:sz="4" w:space="0" w:color="6EC3B9"/>
              <w:left w:val="nil"/>
              <w:bottom w:val="single" w:sz="4" w:space="0" w:color="6EC3B9"/>
              <w:right w:val="nil"/>
            </w:tcBorders>
            <w:hideMark/>
          </w:tcPr>
          <w:p w14:paraId="60A5FA00" w14:textId="77777777" w:rsidR="00181442" w:rsidRPr="005A4202" w:rsidRDefault="00181442" w:rsidP="00957B91">
            <w:pPr>
              <w:pStyle w:val="HEORNormal"/>
              <w:jc w:val="center"/>
              <w:rPr>
                <w:rFonts w:ascii="Helvetica" w:hAnsi="Helvetica"/>
                <w:color w:val="auto"/>
                <w:sz w:val="16"/>
                <w:szCs w:val="20"/>
              </w:rPr>
            </w:pPr>
            <w:r w:rsidRPr="005A4202">
              <w:rPr>
                <w:rFonts w:ascii="Helvetica" w:hAnsi="Helvetica"/>
                <w:color w:val="auto"/>
                <w:sz w:val="16"/>
                <w:szCs w:val="20"/>
              </w:rPr>
              <w:t>56</w:t>
            </w:r>
          </w:p>
        </w:tc>
        <w:tc>
          <w:tcPr>
            <w:tcW w:w="1698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  <w:hideMark/>
          </w:tcPr>
          <w:p w14:paraId="5A74CEE7" w14:textId="77777777" w:rsidR="00181442" w:rsidRPr="005A4202" w:rsidRDefault="00181442" w:rsidP="00957B91">
            <w:pPr>
              <w:pStyle w:val="HEORNormal"/>
              <w:jc w:val="center"/>
              <w:rPr>
                <w:rFonts w:ascii="Helvetica" w:hAnsi="Helvetica"/>
                <w:color w:val="auto"/>
                <w:sz w:val="16"/>
                <w:szCs w:val="20"/>
              </w:rPr>
            </w:pPr>
            <w:r w:rsidRPr="005A4202">
              <w:rPr>
                <w:rFonts w:ascii="Helvetica" w:hAnsi="Helvetica"/>
                <w:color w:val="auto"/>
                <w:sz w:val="16"/>
                <w:szCs w:val="20"/>
              </w:rPr>
              <w:t>25.45%</w:t>
            </w:r>
          </w:p>
        </w:tc>
      </w:tr>
      <w:tr w:rsidR="00181442" w:rsidRPr="0066479C" w14:paraId="07A53F57" w14:textId="77777777" w:rsidTr="00957B91">
        <w:trPr>
          <w:trHeight w:val="188"/>
        </w:trPr>
        <w:tc>
          <w:tcPr>
            <w:tcW w:w="2087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  <w:hideMark/>
          </w:tcPr>
          <w:p w14:paraId="7F6FC882" w14:textId="77777777" w:rsidR="00181442" w:rsidRPr="005A4202" w:rsidRDefault="00181442" w:rsidP="00957B91">
            <w:pPr>
              <w:pStyle w:val="HEORNormal"/>
              <w:jc w:val="left"/>
              <w:rPr>
                <w:rFonts w:ascii="Helvetica" w:hAnsi="Helvetica"/>
                <w:color w:val="auto"/>
                <w:sz w:val="16"/>
                <w:szCs w:val="20"/>
              </w:rPr>
            </w:pPr>
            <w:r w:rsidRPr="005A4202">
              <w:rPr>
                <w:rFonts w:ascii="Helvetica" w:hAnsi="Helvetica"/>
                <w:color w:val="auto"/>
                <w:sz w:val="16"/>
                <w:szCs w:val="20"/>
              </w:rPr>
              <w:t>Death within 90 days post discharge of latest admission with treatment</w:t>
            </w:r>
          </w:p>
        </w:tc>
        <w:tc>
          <w:tcPr>
            <w:tcW w:w="1216" w:type="pct"/>
            <w:tcBorders>
              <w:top w:val="single" w:sz="4" w:space="0" w:color="6EC3B9"/>
              <w:left w:val="nil"/>
              <w:bottom w:val="single" w:sz="4" w:space="0" w:color="6EC3B9"/>
              <w:right w:val="nil"/>
            </w:tcBorders>
            <w:hideMark/>
          </w:tcPr>
          <w:p w14:paraId="7E6C2DB1" w14:textId="77777777" w:rsidR="00181442" w:rsidRPr="005A4202" w:rsidRDefault="00181442" w:rsidP="00957B91">
            <w:pPr>
              <w:pStyle w:val="HEORNormal"/>
              <w:jc w:val="center"/>
              <w:rPr>
                <w:rFonts w:ascii="Helvetica" w:hAnsi="Helvetica"/>
                <w:color w:val="auto"/>
                <w:sz w:val="16"/>
                <w:szCs w:val="20"/>
              </w:rPr>
            </w:pPr>
            <w:r w:rsidRPr="005A4202">
              <w:rPr>
                <w:rFonts w:ascii="Helvetica" w:hAnsi="Helvetica"/>
                <w:color w:val="auto"/>
                <w:sz w:val="16"/>
                <w:szCs w:val="20"/>
              </w:rPr>
              <w:t>58</w:t>
            </w:r>
          </w:p>
        </w:tc>
        <w:tc>
          <w:tcPr>
            <w:tcW w:w="1698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  <w:hideMark/>
          </w:tcPr>
          <w:p w14:paraId="1721D2EB" w14:textId="77777777" w:rsidR="00181442" w:rsidRPr="005A4202" w:rsidRDefault="00181442" w:rsidP="00957B91">
            <w:pPr>
              <w:pStyle w:val="HEORNormal"/>
              <w:jc w:val="center"/>
              <w:rPr>
                <w:rFonts w:ascii="Helvetica" w:hAnsi="Helvetica"/>
                <w:color w:val="auto"/>
                <w:sz w:val="16"/>
                <w:szCs w:val="20"/>
              </w:rPr>
            </w:pPr>
            <w:r w:rsidRPr="005A4202">
              <w:rPr>
                <w:rFonts w:ascii="Helvetica" w:hAnsi="Helvetica"/>
                <w:color w:val="auto"/>
                <w:sz w:val="16"/>
                <w:szCs w:val="20"/>
              </w:rPr>
              <w:t>26.36%</w:t>
            </w:r>
          </w:p>
        </w:tc>
      </w:tr>
    </w:tbl>
    <w:p w14:paraId="697BA865" w14:textId="77777777" w:rsidR="00181442" w:rsidRPr="005A4202" w:rsidRDefault="00181442" w:rsidP="00181442">
      <w:pPr>
        <w:rPr>
          <w:rFonts w:ascii="Helvetica" w:hAnsi="Helvetica" w:cs="Times New Roman"/>
          <w:sz w:val="16"/>
          <w:szCs w:val="20"/>
        </w:rPr>
      </w:pPr>
      <w:r w:rsidRPr="005A4202">
        <w:rPr>
          <w:rFonts w:ascii="Helvetica" w:hAnsi="Helvetica" w:cs="Times New Roman"/>
          <w:b/>
          <w:bCs/>
          <w:sz w:val="16"/>
          <w:szCs w:val="20"/>
        </w:rPr>
        <w:t xml:space="preserve">Bolded </w:t>
      </w:r>
      <w:r w:rsidRPr="005A4202">
        <w:rPr>
          <w:rFonts w:ascii="Helvetica" w:hAnsi="Helvetica" w:cs="Times New Roman"/>
          <w:sz w:val="16"/>
          <w:szCs w:val="20"/>
        </w:rPr>
        <w:t xml:space="preserve">numbers indicate percentages are higher in the </w:t>
      </w:r>
      <w:proofErr w:type="spellStart"/>
      <w:r>
        <w:rPr>
          <w:rFonts w:ascii="Helvetica" w:hAnsi="Helvetica" w:cs="Times New Roman"/>
          <w:sz w:val="16"/>
          <w:szCs w:val="20"/>
        </w:rPr>
        <w:t>rpFVIII</w:t>
      </w:r>
      <w:proofErr w:type="spellEnd"/>
      <w:r w:rsidRPr="005A4202">
        <w:rPr>
          <w:rFonts w:ascii="Helvetica" w:hAnsi="Helvetica" w:cs="Times New Roman"/>
          <w:sz w:val="16"/>
          <w:szCs w:val="20"/>
        </w:rPr>
        <w:t xml:space="preserve"> group, otherwise percentage is higher for </w:t>
      </w:r>
      <w:proofErr w:type="spellStart"/>
      <w:r>
        <w:rPr>
          <w:rFonts w:ascii="Helvetica" w:hAnsi="Helvetica" w:cs="Times New Roman"/>
          <w:sz w:val="16"/>
          <w:szCs w:val="20"/>
        </w:rPr>
        <w:t>rFVIIa</w:t>
      </w:r>
      <w:proofErr w:type="spellEnd"/>
      <w:r w:rsidRPr="005A4202">
        <w:rPr>
          <w:rFonts w:ascii="Helvetica" w:hAnsi="Helvetica" w:cs="Times New Roman"/>
          <w:sz w:val="16"/>
          <w:szCs w:val="20"/>
        </w:rPr>
        <w:t xml:space="preserve">. In the table above, all death statistics occurred more frequently in the </w:t>
      </w:r>
      <w:proofErr w:type="spellStart"/>
      <w:r>
        <w:rPr>
          <w:rFonts w:ascii="Helvetica" w:hAnsi="Helvetica" w:cs="Times New Roman"/>
          <w:sz w:val="16"/>
          <w:szCs w:val="20"/>
        </w:rPr>
        <w:t>rFVIIa</w:t>
      </w:r>
      <w:proofErr w:type="spellEnd"/>
      <w:r w:rsidRPr="005A4202">
        <w:rPr>
          <w:rFonts w:ascii="Helvetica" w:hAnsi="Helvetica" w:cs="Times New Roman"/>
          <w:sz w:val="16"/>
          <w:szCs w:val="20"/>
        </w:rPr>
        <w:t xml:space="preserve"> cohort. </w:t>
      </w:r>
    </w:p>
    <w:p w14:paraId="47F828F2" w14:textId="77777777" w:rsidR="00181442" w:rsidRDefault="00181442" w:rsidP="00181442">
      <w:pPr>
        <w:rPr>
          <w:rFonts w:ascii="Helvetica" w:hAnsi="Helvetica" w:cs="Times New Roman"/>
          <w:sz w:val="16"/>
          <w:szCs w:val="20"/>
        </w:rPr>
      </w:pPr>
      <w:r w:rsidRPr="005A4202">
        <w:rPr>
          <w:rFonts w:ascii="Helvetica" w:hAnsi="Helvetica" w:cs="Times New Roman"/>
          <w:sz w:val="16"/>
          <w:szCs w:val="20"/>
        </w:rPr>
        <w:t>*Indicates a case who died in the hospital during their most recent admission.</w:t>
      </w:r>
    </w:p>
    <w:p w14:paraId="1647A83B" w14:textId="77777777" w:rsidR="00181442" w:rsidRPr="005A4202" w:rsidRDefault="00181442" w:rsidP="00181442">
      <w:pPr>
        <w:rPr>
          <w:rFonts w:ascii="Helvetica" w:hAnsi="Helvetica" w:cs="Times New Roman"/>
          <w:sz w:val="16"/>
          <w:szCs w:val="20"/>
        </w:rPr>
      </w:pPr>
      <w:proofErr w:type="spellStart"/>
      <w:r w:rsidRPr="004E13C3">
        <w:rPr>
          <w:rFonts w:ascii="Helvetica" w:hAnsi="Helvetica" w:cs="Times New Roman"/>
          <w:sz w:val="16"/>
          <w:szCs w:val="20"/>
        </w:rPr>
        <w:t>rFV</w:t>
      </w:r>
      <w:r>
        <w:rPr>
          <w:rFonts w:ascii="Helvetica" w:hAnsi="Helvetica" w:cs="Times New Roman"/>
          <w:sz w:val="16"/>
          <w:szCs w:val="20"/>
        </w:rPr>
        <w:t>II</w:t>
      </w:r>
      <w:r w:rsidRPr="004E13C3">
        <w:rPr>
          <w:rFonts w:ascii="Helvetica" w:hAnsi="Helvetica" w:cs="Times New Roman"/>
          <w:sz w:val="16"/>
          <w:szCs w:val="20"/>
        </w:rPr>
        <w:t>a</w:t>
      </w:r>
      <w:proofErr w:type="spellEnd"/>
      <w:r w:rsidRPr="004E13C3">
        <w:rPr>
          <w:rFonts w:ascii="Helvetica" w:hAnsi="Helvetica" w:cs="Times New Roman"/>
          <w:sz w:val="16"/>
          <w:szCs w:val="20"/>
        </w:rPr>
        <w:t xml:space="preserve"> </w:t>
      </w:r>
      <w:r>
        <w:rPr>
          <w:rFonts w:ascii="Helvetica" w:hAnsi="Helvetica" w:cs="Times New Roman"/>
          <w:sz w:val="16"/>
          <w:szCs w:val="20"/>
        </w:rPr>
        <w:t xml:space="preserve">= </w:t>
      </w:r>
      <w:r w:rsidRPr="001750EE">
        <w:rPr>
          <w:rFonts w:ascii="Helvetica" w:hAnsi="Helvetica" w:cs="Times New Roman"/>
          <w:sz w:val="16"/>
          <w:szCs w:val="20"/>
        </w:rPr>
        <w:t>activated recombinant Factor VII</w:t>
      </w:r>
      <w:r w:rsidRPr="004E13C3">
        <w:rPr>
          <w:rFonts w:ascii="Helvetica" w:hAnsi="Helvetica" w:cs="Times New Roman"/>
          <w:sz w:val="16"/>
          <w:szCs w:val="20"/>
        </w:rPr>
        <w:t xml:space="preserve">; </w:t>
      </w:r>
      <w:proofErr w:type="spellStart"/>
      <w:r w:rsidRPr="004E13C3">
        <w:rPr>
          <w:rFonts w:ascii="Helvetica" w:hAnsi="Helvetica" w:cs="Times New Roman"/>
          <w:sz w:val="16"/>
          <w:szCs w:val="20"/>
        </w:rPr>
        <w:t>rpFVIII</w:t>
      </w:r>
      <w:proofErr w:type="spellEnd"/>
      <w:r w:rsidRPr="004E13C3">
        <w:rPr>
          <w:rFonts w:ascii="Helvetica" w:hAnsi="Helvetica" w:cs="Times New Roman"/>
          <w:sz w:val="16"/>
          <w:szCs w:val="20"/>
        </w:rPr>
        <w:t xml:space="preserve"> = recombinant porcine FVIII</w:t>
      </w:r>
    </w:p>
    <w:p w14:paraId="560D8A84" w14:textId="77777777" w:rsidR="00181442" w:rsidRDefault="00181442" w:rsidP="00181442">
      <w:pPr>
        <w:rPr>
          <w:rFonts w:ascii="Helvetica" w:hAnsi="Helvetica" w:cs="Times New Roman"/>
          <w:sz w:val="18"/>
          <w:szCs w:val="18"/>
        </w:rPr>
      </w:pPr>
    </w:p>
    <w:p w14:paraId="6087D4CD" w14:textId="77777777" w:rsidR="00181442" w:rsidRPr="0066479C" w:rsidRDefault="00181442" w:rsidP="00181442">
      <w:pPr>
        <w:rPr>
          <w:rFonts w:ascii="Helvetica" w:hAnsi="Helvetica" w:cs="Times New Roman"/>
          <w:sz w:val="18"/>
          <w:szCs w:val="18"/>
        </w:rPr>
      </w:pPr>
    </w:p>
    <w:p w14:paraId="55FB970F" w14:textId="77777777" w:rsidR="00181442" w:rsidRPr="0066479C" w:rsidRDefault="00181442" w:rsidP="00181442">
      <w:pPr>
        <w:pStyle w:val="HEORNormal"/>
        <w:rPr>
          <w:rFonts w:ascii="Helvetica" w:hAnsi="Helvetica"/>
          <w:color w:val="auto"/>
        </w:rPr>
      </w:pPr>
      <w:r w:rsidRPr="0066479C">
        <w:rPr>
          <w:rFonts w:ascii="Helvetica" w:hAnsi="Helvetica"/>
          <w:b/>
          <w:color w:val="auto"/>
        </w:rPr>
        <w:t>Table S3. ICD 9/10 Codes for Comorbidities and Therapies of Interest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3"/>
        <w:gridCol w:w="6117"/>
      </w:tblGrid>
      <w:tr w:rsidR="00181442" w:rsidRPr="0066479C" w14:paraId="5670CD30" w14:textId="77777777" w:rsidTr="00957B91">
        <w:trPr>
          <w:trHeight w:val="278"/>
          <w:tblHeader/>
        </w:trPr>
        <w:tc>
          <w:tcPr>
            <w:tcW w:w="1729" w:type="pct"/>
            <w:tcBorders>
              <w:right w:val="nil"/>
            </w:tcBorders>
            <w:shd w:val="clear" w:color="auto" w:fill="2C3A62"/>
            <w:vAlign w:val="center"/>
          </w:tcPr>
          <w:p w14:paraId="2FDF0B71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173BFC">
              <w:rPr>
                <w:b/>
                <w:color w:val="FFFFFF" w:themeColor="background1"/>
                <w:sz w:val="16"/>
                <w:szCs w:val="16"/>
              </w:rPr>
              <w:t>Variables</w:t>
            </w:r>
          </w:p>
        </w:tc>
        <w:tc>
          <w:tcPr>
            <w:tcW w:w="3271" w:type="pct"/>
            <w:tcBorders>
              <w:left w:val="nil"/>
            </w:tcBorders>
            <w:shd w:val="clear" w:color="auto" w:fill="2C3A62"/>
            <w:vAlign w:val="center"/>
          </w:tcPr>
          <w:p w14:paraId="1AC6C498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173BFC">
              <w:rPr>
                <w:b/>
                <w:color w:val="FFFFFF" w:themeColor="background1"/>
                <w:sz w:val="16"/>
                <w:szCs w:val="16"/>
              </w:rPr>
              <w:t>ICD 9/10 Codes:</w:t>
            </w:r>
          </w:p>
        </w:tc>
      </w:tr>
      <w:tr w:rsidR="00181442" w:rsidRPr="0066479C" w14:paraId="08077A23" w14:textId="77777777" w:rsidTr="00957B91">
        <w:trPr>
          <w:trHeight w:val="170"/>
        </w:trPr>
        <w:tc>
          <w:tcPr>
            <w:tcW w:w="5000" w:type="pct"/>
            <w:gridSpan w:val="2"/>
            <w:tcBorders>
              <w:left w:val="single" w:sz="4" w:space="0" w:color="6EC3B9"/>
              <w:bottom w:val="single" w:sz="4" w:space="0" w:color="6EC3B9"/>
              <w:right w:val="single" w:sz="4" w:space="0" w:color="6EC3B9"/>
            </w:tcBorders>
            <w:shd w:val="clear" w:color="auto" w:fill="6EC3B9"/>
            <w:vAlign w:val="bottom"/>
          </w:tcPr>
          <w:p w14:paraId="407C9FB3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173BFC">
              <w:rPr>
                <w:bCs/>
                <w:color w:val="auto"/>
                <w:sz w:val="16"/>
                <w:szCs w:val="16"/>
              </w:rPr>
              <w:t>Charlson</w:t>
            </w:r>
            <w:proofErr w:type="spellEnd"/>
            <w:r w:rsidRPr="00173BFC">
              <w:rPr>
                <w:bCs/>
                <w:color w:val="auto"/>
                <w:sz w:val="16"/>
                <w:szCs w:val="16"/>
              </w:rPr>
              <w:t xml:space="preserve"> Comorbidity Index:</w:t>
            </w:r>
          </w:p>
        </w:tc>
      </w:tr>
      <w:tr w:rsidR="00181442" w:rsidRPr="0066479C" w14:paraId="2D88C6B7" w14:textId="77777777" w:rsidTr="00957B91">
        <w:trPr>
          <w:trHeight w:val="269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21E5379B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AIDS/HIV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7192F332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  <w:lang w:val="fr-FR"/>
              </w:rPr>
            </w:pPr>
            <w:r w:rsidRPr="00173BFC">
              <w:rPr>
                <w:color w:val="auto"/>
                <w:sz w:val="16"/>
                <w:szCs w:val="16"/>
                <w:lang w:val="fr-FR"/>
              </w:rPr>
              <w:t>ICD-10 Codes B20.x–B22.x, B24.x; ICD-9 Codes 042.x–044.x</w:t>
            </w:r>
          </w:p>
        </w:tc>
      </w:tr>
      <w:tr w:rsidR="00181442" w:rsidRPr="0066479C" w14:paraId="522893FA" w14:textId="77777777" w:rsidTr="00957B91">
        <w:trPr>
          <w:trHeight w:val="611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733C3691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Any malignancy, including lymphoma and leukemia, except malignant neoplasm of skin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68063B94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ICD-10 Codes C00.x–C26.x, C30.x–C34.x, C37.x– C41.x, C43.x, C45.x–C58.x, C60.x– C76.x, C81.x–C85.x, C88.x, C90.x–C97.x; ICD-9 Codes 140.x–172.x, 174.x–195.8, 200.x–208.x, 238.6</w:t>
            </w:r>
          </w:p>
        </w:tc>
      </w:tr>
      <w:tr w:rsidR="00181442" w:rsidRPr="0066479C" w14:paraId="203C7430" w14:textId="77777777" w:rsidTr="00957B91">
        <w:trPr>
          <w:trHeight w:val="269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79C1B748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Cerebrovascular disease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17A140B7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  <w:lang w:val="fr-FR"/>
              </w:rPr>
            </w:pPr>
            <w:r w:rsidRPr="00173BFC">
              <w:rPr>
                <w:color w:val="auto"/>
                <w:sz w:val="16"/>
                <w:szCs w:val="16"/>
                <w:lang w:val="fr-FR"/>
              </w:rPr>
              <w:t>ICD-10 Codes G45.x, G46.x, H34.0, I60.x–I69.x; ICD-9 Codes 362.34, 430.x–438.x</w:t>
            </w:r>
          </w:p>
        </w:tc>
      </w:tr>
      <w:tr w:rsidR="00181442" w:rsidRPr="0066479C" w14:paraId="2FBE1A22" w14:textId="77777777" w:rsidTr="00957B91">
        <w:trPr>
          <w:trHeight w:val="521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4A4228C2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lastRenderedPageBreak/>
              <w:t>Chronic pulmonary disease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672273B7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ICD-10 Codes I27.8, I27.9, J40.x–J47.x, J60.x–J67.x, J68.4, J70.1, J70.3; ICD-9 Codes 416.8, 416.9, 490.x–505.x, 506.4, 508.1, 508.8</w:t>
            </w:r>
          </w:p>
        </w:tc>
      </w:tr>
      <w:tr w:rsidR="00181442" w:rsidRPr="0066479C" w14:paraId="45DB20E0" w14:textId="77777777" w:rsidTr="00957B91">
        <w:trPr>
          <w:trHeight w:val="620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2AFD5E59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Congestive heart failure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5519478F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  <w:lang w:val="pt-BR"/>
              </w:rPr>
            </w:pPr>
            <w:r w:rsidRPr="00173BFC">
              <w:rPr>
                <w:color w:val="auto"/>
                <w:sz w:val="16"/>
                <w:szCs w:val="16"/>
                <w:lang w:val="pt-BR"/>
              </w:rPr>
              <w:t>ICD-10 Codes I09.9, I11.0, I13.0, I13.2, I25.5, I42.0, I42.5–I42.9, I43.x, I50.x, P29.0; ICD-9 Codes 398.91, 402.01, 402.11, 402.91, 404.01, 404.03, 404.11, 404.13, 404.91, 404.93, 425.4–425.9, 428.x</w:t>
            </w:r>
          </w:p>
        </w:tc>
      </w:tr>
      <w:tr w:rsidR="00181442" w:rsidRPr="0066479C" w14:paraId="3AAB4FAB" w14:textId="77777777" w:rsidTr="00957B91">
        <w:trPr>
          <w:trHeight w:val="449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028908BF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Dementia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5E2132EB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ICD-10 Codes F00.x–F03.x, F05.1, G30.x, G31.1; ICD-9 Codes 290.x, 294.1, 331.2</w:t>
            </w:r>
          </w:p>
        </w:tc>
      </w:tr>
      <w:tr w:rsidR="00181442" w:rsidRPr="0066479C" w14:paraId="5A1C1771" w14:textId="77777777" w:rsidTr="00957B91"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591C2BFC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Diabetes with chronic complication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28D04CB9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  <w:lang w:val="pt-BR"/>
              </w:rPr>
            </w:pPr>
            <w:r w:rsidRPr="00173BFC">
              <w:rPr>
                <w:color w:val="auto"/>
                <w:sz w:val="16"/>
                <w:szCs w:val="16"/>
                <w:lang w:val="pt-BR"/>
              </w:rPr>
              <w:t>ICD-10 Codes E10.2–E10.5, E10.7, E11.2–E11.5, E11.7, E12.2–E12.5, E12.7, E13.2– E13.5, E13.7, E14.2–E14.5, E14.7; ICD-9 Codes 250.4–250.7</w:t>
            </w:r>
          </w:p>
        </w:tc>
      </w:tr>
      <w:tr w:rsidR="00181442" w:rsidRPr="0066479C" w14:paraId="6578D6F7" w14:textId="77777777" w:rsidTr="00957B91">
        <w:trPr>
          <w:trHeight w:val="584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02BC39C6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Diabetes without chronic complication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0A010DBE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  <w:lang w:val="pt-BR"/>
              </w:rPr>
            </w:pPr>
            <w:r w:rsidRPr="00173BFC">
              <w:rPr>
                <w:color w:val="auto"/>
                <w:sz w:val="16"/>
                <w:szCs w:val="16"/>
                <w:lang w:val="pt-BR"/>
              </w:rPr>
              <w:t>ICD-10 Codes E10.0, E10.1, E10.6, E10.8, E10.9, E11.0, E11.1, E11.6, E11.8, E11.9, E12.0, E12.1, E12.6, E12.8, E12.9, E13.0, E13.1, E13.6, E13.8, E13.9, E14.0, E14.1, E14.6, E14.8, E14.9; ICD-9 Codes 250.0–250.3, 250.8, 250.9</w:t>
            </w:r>
          </w:p>
        </w:tc>
      </w:tr>
      <w:tr w:rsidR="00181442" w:rsidRPr="0066479C" w14:paraId="1E280B03" w14:textId="77777777" w:rsidTr="00957B91"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67DBA141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Hemiplegia or paraplegia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6FC61BDE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ICD-10 Codes G04.1, G11.4, G80.1, G80.2, G81.x, G82.x, G83.0–G83.4, G83.9; ICD-9 Codes 334.1, 342.x, 343.x, 344.0– 344.6, 344.9</w:t>
            </w:r>
          </w:p>
        </w:tc>
      </w:tr>
      <w:tr w:rsidR="00181442" w:rsidRPr="0066479C" w14:paraId="3A3F60D3" w14:textId="77777777" w:rsidTr="00957B91"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013B3335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Metastatic solid tumor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572825CF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  <w:lang w:val="fr-FR"/>
              </w:rPr>
            </w:pPr>
            <w:r w:rsidRPr="00173BFC">
              <w:rPr>
                <w:color w:val="auto"/>
                <w:sz w:val="16"/>
                <w:szCs w:val="16"/>
                <w:lang w:val="fr-FR"/>
              </w:rPr>
              <w:t>ICD-10 Codes C77.x–C80.x; ICD-9 Codes 196.x–199.x</w:t>
            </w:r>
          </w:p>
        </w:tc>
      </w:tr>
      <w:tr w:rsidR="00181442" w:rsidRPr="0066479C" w14:paraId="2B0B127D" w14:textId="77777777" w:rsidTr="00957B91"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2C724FCD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Mild liver disease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386C3A73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ICD-10 Codes B18.x, K70.0–K70.3, K70.9, K71.3–K71.5, K71.7, K73.x, K74.x, K76.0, K76.2–K76.4, K76.8, K76.9, Z94.4; ICD-9 Codes 070.22, 070.23, 070.32, 070.33, 070.44, 070.54, 070.6, 070.9, 570.x, 571.x, 573.3, 573.4, 573.8, 573.9, V42.7</w:t>
            </w:r>
          </w:p>
        </w:tc>
      </w:tr>
      <w:tr w:rsidR="00181442" w:rsidRPr="0066479C" w14:paraId="51821881" w14:textId="77777777" w:rsidTr="00957B91">
        <w:trPr>
          <w:trHeight w:val="368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62D10E8A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Moderate or severe liver disease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0927A8C4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ICD-10 Codes I85.0, I85.9, I86.4, I98.2, K70.4, K71.1, K72.1, K72.9, K76.5, K76.6, K76.7; ICD-9 Codes 456.0–456.2, 572.2–572.8</w:t>
            </w:r>
          </w:p>
        </w:tc>
      </w:tr>
      <w:tr w:rsidR="00181442" w:rsidRPr="0066479C" w14:paraId="58549B1E" w14:textId="77777777" w:rsidTr="00957B91">
        <w:trPr>
          <w:trHeight w:val="269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06F2FAA3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Myocardial infarction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3285F6AA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ICD-10 Codes I21.x, I22.x, I25.2; ICD-9 Codes 410.x, 412.x</w:t>
            </w:r>
          </w:p>
        </w:tc>
      </w:tr>
      <w:tr w:rsidR="00181442" w:rsidRPr="0066479C" w14:paraId="6A413EC2" w14:textId="77777777" w:rsidTr="00957B91"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40CFB30D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Peptic ulcer disease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7B14DBCD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ICD-10 Codes K25.x–K28.x; ICD-9 Codes 531.x–534.x</w:t>
            </w:r>
          </w:p>
        </w:tc>
      </w:tr>
      <w:tr w:rsidR="00181442" w:rsidRPr="0066479C" w14:paraId="109081DA" w14:textId="77777777" w:rsidTr="00957B91">
        <w:trPr>
          <w:trHeight w:val="602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641178E8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Peripheral vascular disease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0D5853B8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  <w:lang w:val="pt-BR"/>
              </w:rPr>
            </w:pPr>
            <w:r w:rsidRPr="00173BFC">
              <w:rPr>
                <w:color w:val="auto"/>
                <w:sz w:val="16"/>
                <w:szCs w:val="16"/>
                <w:lang w:val="pt-BR"/>
              </w:rPr>
              <w:t>ICD-10 Codes I70.x, I71.x, I73.1, I73.8, I73.9, I77.1, I79.0, I79.2, K55.1, K55.8, K55.9, Z95.8, Z95.9; ICD-9 Codes 093.0, 437.3, 440.x, 441.x, 443.1–443.9, 47.1, 557.1, 557.9, V43.4</w:t>
            </w:r>
          </w:p>
        </w:tc>
      </w:tr>
      <w:tr w:rsidR="00181442" w:rsidRPr="0066479C" w14:paraId="78AB45C2" w14:textId="77777777" w:rsidTr="00957B91"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12D25107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Renal disease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297B424D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  <w:lang w:val="pt-BR"/>
              </w:rPr>
            </w:pPr>
            <w:r w:rsidRPr="00173BFC">
              <w:rPr>
                <w:color w:val="auto"/>
                <w:sz w:val="16"/>
                <w:szCs w:val="16"/>
                <w:lang w:val="pt-BR"/>
              </w:rPr>
              <w:t>ICD-10 Codes I12.0, I13.1, N03.2–N03.7, N05.2– N05.7, N18.x, N19.x, N25.0, Z49.0– Z49.2, Z94.0, Z99.2; ICD-9 Codes 403.01, 403.11, 403.91, 404.02, 404.03, 404.12, 404.13, 404.92, 404.93, 582.x, 583.0–583.7, 585.x, 586.x, 588.0, V42.0, V45.1, V56.x</w:t>
            </w:r>
          </w:p>
        </w:tc>
      </w:tr>
      <w:tr w:rsidR="00181442" w:rsidRPr="0066479C" w14:paraId="0292DF73" w14:textId="77777777" w:rsidTr="00957B91"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5DA00FBF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Rheumatic disease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6088FE5B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  <w:lang w:val="fr-FR"/>
              </w:rPr>
            </w:pPr>
            <w:r w:rsidRPr="00173BFC">
              <w:rPr>
                <w:color w:val="auto"/>
                <w:sz w:val="16"/>
                <w:szCs w:val="16"/>
                <w:lang w:val="fr-FR"/>
              </w:rPr>
              <w:t>ICD-10 Codes M05.x, M06.x, M31.5, M32.x–M34.x, M35.1, M35.3, M36.0; ICD-9 Codes 446.5, 710.0–710.4, 714.0– 714.2, 714.8, 725.x</w:t>
            </w:r>
          </w:p>
        </w:tc>
      </w:tr>
      <w:tr w:rsidR="00181442" w:rsidRPr="0066479C" w14:paraId="3B58F9CE" w14:textId="77777777" w:rsidTr="00957B91">
        <w:trPr>
          <w:trHeight w:val="224"/>
        </w:trPr>
        <w:tc>
          <w:tcPr>
            <w:tcW w:w="5000" w:type="pct"/>
            <w:gridSpan w:val="2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single" w:sz="4" w:space="0" w:color="6EC3B9"/>
            </w:tcBorders>
            <w:shd w:val="clear" w:color="auto" w:fill="6EC3B9"/>
          </w:tcPr>
          <w:p w14:paraId="5792F1F4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bCs/>
                <w:color w:val="auto"/>
                <w:sz w:val="16"/>
                <w:szCs w:val="16"/>
              </w:rPr>
            </w:pPr>
            <w:r w:rsidRPr="00173BFC">
              <w:rPr>
                <w:bCs/>
                <w:color w:val="auto"/>
                <w:sz w:val="16"/>
                <w:szCs w:val="16"/>
              </w:rPr>
              <w:t>Lymphoproliferative disorders</w:t>
            </w:r>
          </w:p>
        </w:tc>
      </w:tr>
      <w:tr w:rsidR="00181442" w:rsidRPr="0066479C" w14:paraId="6351DBB8" w14:textId="77777777" w:rsidTr="00957B91">
        <w:trPr>
          <w:trHeight w:val="539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5F742E59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Autoimmune Lymphoproliferative Syndrome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0722F65C" w14:textId="77777777" w:rsidR="00181442" w:rsidRPr="00173BFC" w:rsidRDefault="00181442" w:rsidP="00957B91">
            <w:pPr>
              <w:pStyle w:val="HEORNormal"/>
              <w:jc w:val="left"/>
              <w:rPr>
                <w:rFonts w:ascii="Helvetica" w:hAnsi="Helvetica"/>
                <w:color w:val="auto"/>
                <w:sz w:val="16"/>
                <w:szCs w:val="16"/>
              </w:rPr>
            </w:pPr>
            <w:r w:rsidRPr="00173BFC">
              <w:rPr>
                <w:rFonts w:ascii="Helvetica" w:hAnsi="Helvetica"/>
                <w:color w:val="auto"/>
                <w:sz w:val="16"/>
                <w:szCs w:val="16"/>
              </w:rPr>
              <w:t>ICD-10 Codes D89.82, C83.50 – C83.59, C91.30 – C91.32, ICD-9 Codes 200.00 – 208.92, 279.41</w:t>
            </w:r>
          </w:p>
        </w:tc>
      </w:tr>
      <w:tr w:rsidR="00181442" w:rsidRPr="0066479C" w14:paraId="11A3A453" w14:textId="77777777" w:rsidTr="00957B91">
        <w:trPr>
          <w:trHeight w:val="341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566719CE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 xml:space="preserve">Hemophagocytic </w:t>
            </w:r>
            <w:proofErr w:type="spellStart"/>
            <w:r w:rsidRPr="00173BFC">
              <w:rPr>
                <w:color w:val="auto"/>
                <w:sz w:val="16"/>
                <w:szCs w:val="16"/>
              </w:rPr>
              <w:t>Lymphohistiocytosis</w:t>
            </w:r>
            <w:proofErr w:type="spellEnd"/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4C55C642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ICD-10 Codes D76.1; ICD-9 Codes 288.4. 277.89</w:t>
            </w:r>
          </w:p>
        </w:tc>
      </w:tr>
      <w:tr w:rsidR="00181442" w:rsidRPr="0066479C" w14:paraId="2C0E8A68" w14:textId="77777777" w:rsidTr="00957B91">
        <w:trPr>
          <w:trHeight w:val="260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4DE3CF88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Langerhans Cell Histiocytosis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379D63E8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 xml:space="preserve">ICD-10 </w:t>
            </w:r>
            <w:proofErr w:type="gramStart"/>
            <w:r w:rsidRPr="00173BFC">
              <w:rPr>
                <w:color w:val="auto"/>
                <w:sz w:val="16"/>
                <w:szCs w:val="16"/>
              </w:rPr>
              <w:t>Codes  J84.82</w:t>
            </w:r>
            <w:proofErr w:type="gramEnd"/>
            <w:r w:rsidRPr="00173BFC">
              <w:rPr>
                <w:color w:val="auto"/>
                <w:sz w:val="16"/>
                <w:szCs w:val="16"/>
              </w:rPr>
              <w:t>; ICD-9 Codes 516.5</w:t>
            </w:r>
          </w:p>
        </w:tc>
      </w:tr>
      <w:tr w:rsidR="00181442" w:rsidRPr="0066479C" w14:paraId="1BE29036" w14:textId="77777777" w:rsidTr="00957B91">
        <w:trPr>
          <w:trHeight w:val="440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44E08A6D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Acute Lymphoblastic Leukemia (ALL)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752B5ED9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  <w:lang w:val="fr-FR"/>
              </w:rPr>
            </w:pPr>
            <w:r w:rsidRPr="00173BFC">
              <w:rPr>
                <w:color w:val="auto"/>
                <w:sz w:val="16"/>
                <w:szCs w:val="16"/>
                <w:lang w:val="fr-FR"/>
              </w:rPr>
              <w:t>ICD-10 Codes C91.00-C91.02, C92.60-C92.62, C92.A0-A2, C92.10–C92.</w:t>
            </w:r>
            <w:proofErr w:type="gramStart"/>
            <w:r w:rsidRPr="00173BFC">
              <w:rPr>
                <w:color w:val="auto"/>
                <w:sz w:val="16"/>
                <w:szCs w:val="16"/>
                <w:lang w:val="fr-FR"/>
              </w:rPr>
              <w:t>12;</w:t>
            </w:r>
            <w:proofErr w:type="gramEnd"/>
            <w:r w:rsidRPr="00173BFC">
              <w:rPr>
                <w:color w:val="auto"/>
                <w:sz w:val="16"/>
                <w:szCs w:val="16"/>
                <w:lang w:val="fr-FR"/>
              </w:rPr>
              <w:t xml:space="preserve"> ICD-9 Codes 204.00, 204.02</w:t>
            </w:r>
          </w:p>
        </w:tc>
      </w:tr>
      <w:tr w:rsidR="00181442" w:rsidRPr="0066479C" w14:paraId="2D32DC14" w14:textId="77777777" w:rsidTr="00957B91">
        <w:trPr>
          <w:trHeight w:val="260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5DC33850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Chronic Lymphocytic Leukemia (CLL)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255446F5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ICD-10 Codes C91.10 – C91.12; ICD-9 Codes 204.10, 204.12</w:t>
            </w:r>
          </w:p>
        </w:tc>
      </w:tr>
      <w:tr w:rsidR="00181442" w:rsidRPr="0066479C" w14:paraId="40FB97BC" w14:textId="77777777" w:rsidTr="00957B91">
        <w:trPr>
          <w:trHeight w:val="260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1331B227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T-Cell Lymphomas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748C2F32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ICD-10 Codes D82.0; ICD-9 Codes 279.13</w:t>
            </w:r>
          </w:p>
        </w:tc>
      </w:tr>
      <w:tr w:rsidR="00181442" w:rsidRPr="0066479C" w14:paraId="757923AB" w14:textId="77777777" w:rsidTr="00957B91">
        <w:trPr>
          <w:trHeight w:val="629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0EF8E9D5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Hairy Cell Leukemia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7E2F3E62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  <w:lang w:val="de-DE"/>
              </w:rPr>
            </w:pPr>
            <w:r w:rsidRPr="00173BFC">
              <w:rPr>
                <w:color w:val="auto"/>
                <w:sz w:val="16"/>
                <w:szCs w:val="16"/>
                <w:lang w:val="de-DE"/>
              </w:rPr>
              <w:t>ICD-10 Codes C82.50 – C82.69, C86.0, C82.0 – C82.49, C82.90 – C82.99, C91.40-C91.42, C82.80 – C82.89, C84.40 – C84.49, Z85.72; ICD-9 Codes 200.00 – 200.88, 202.00 – 202.28, 202.40 – 202.48, 202.70 – 202.98</w:t>
            </w:r>
          </w:p>
        </w:tc>
      </w:tr>
      <w:tr w:rsidR="00181442" w:rsidRPr="0066479C" w14:paraId="2483B151" w14:textId="77777777" w:rsidTr="00957B91"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435A50E1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Follicular Lymphoma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7ADDA805" w14:textId="77777777" w:rsidR="00181442" w:rsidRPr="00173BFC" w:rsidRDefault="00181442" w:rsidP="00957B91">
            <w:pPr>
              <w:pStyle w:val="HEORNormal"/>
              <w:jc w:val="left"/>
              <w:rPr>
                <w:rFonts w:ascii="Helvetica" w:hAnsi="Helvetica"/>
                <w:color w:val="auto"/>
                <w:sz w:val="16"/>
                <w:szCs w:val="16"/>
              </w:rPr>
            </w:pPr>
            <w:r w:rsidRPr="00173BFC">
              <w:rPr>
                <w:rFonts w:ascii="Helvetica" w:hAnsi="Helvetica"/>
                <w:color w:val="auto"/>
                <w:sz w:val="16"/>
                <w:szCs w:val="16"/>
              </w:rPr>
              <w:t>ICD-10 Codes D89.82, C83.50 – C83.59, C91.30 – C91.32; ICD-9 Codes 200.00 – 208.92, 279.41</w:t>
            </w:r>
          </w:p>
        </w:tc>
      </w:tr>
      <w:tr w:rsidR="00181442" w:rsidRPr="0066479C" w14:paraId="31D01E69" w14:textId="77777777" w:rsidTr="00957B91">
        <w:trPr>
          <w:trHeight w:val="296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6B3640AC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Multiple Myeloma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1B5BF4EE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ICD-10 Codes D76.1; ICD-9 Codes 288.4. 277.89</w:t>
            </w:r>
          </w:p>
        </w:tc>
      </w:tr>
      <w:tr w:rsidR="00181442" w:rsidRPr="0066479C" w14:paraId="0ED7D258" w14:textId="77777777" w:rsidTr="00957B91">
        <w:trPr>
          <w:trHeight w:val="305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182B74B8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proofErr w:type="spellStart"/>
            <w:r w:rsidRPr="00173BFC">
              <w:rPr>
                <w:color w:val="auto"/>
                <w:sz w:val="16"/>
                <w:szCs w:val="16"/>
              </w:rPr>
              <w:t>Wiskott</w:t>
            </w:r>
            <w:proofErr w:type="spellEnd"/>
            <w:r w:rsidRPr="00173BFC">
              <w:rPr>
                <w:color w:val="auto"/>
                <w:sz w:val="16"/>
                <w:szCs w:val="16"/>
              </w:rPr>
              <w:t>–Aldrich Syndrome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562970C3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ICD-10 Codes C91.10 – C91.12; ICD-9 Codes 204.10, 204.12</w:t>
            </w:r>
          </w:p>
        </w:tc>
      </w:tr>
      <w:tr w:rsidR="00181442" w:rsidRPr="0066479C" w14:paraId="7F337360" w14:textId="77777777" w:rsidTr="00957B91">
        <w:trPr>
          <w:trHeight w:val="485"/>
        </w:trPr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08AD23DB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Non-Hodgkin’s lymphoma</w:t>
            </w:r>
            <w:r w:rsidRPr="00173BFC">
              <w:rPr>
                <w:color w:val="auto"/>
                <w:sz w:val="16"/>
                <w:szCs w:val="16"/>
                <w:vertAlign w:val="superscript"/>
              </w:rPr>
              <w:t xml:space="preserve">† </w:t>
            </w:r>
            <w:r w:rsidRPr="00173BFC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754550A3" w14:textId="77777777" w:rsidR="00181442" w:rsidRPr="00173BFC" w:rsidRDefault="00181442" w:rsidP="00957B91">
            <w:pPr>
              <w:pStyle w:val="BodyTextHEOR"/>
              <w:spacing w:after="0" w:line="240" w:lineRule="auto"/>
              <w:rPr>
                <w:color w:val="auto"/>
                <w:sz w:val="16"/>
                <w:szCs w:val="16"/>
                <w:lang w:val="de-DE"/>
              </w:rPr>
            </w:pPr>
            <w:r w:rsidRPr="00173BFC">
              <w:rPr>
                <w:color w:val="auto"/>
                <w:sz w:val="16"/>
                <w:szCs w:val="16"/>
                <w:lang w:val="de-DE"/>
              </w:rPr>
              <w:t>ICD-10 Codes M36.1, C90.00 – C90.02, C90.20 – C90.22, Z80.7*, Z85.79, C90.30 – C90.32; ICD-9 Codes 203.00-203.03, 238.6, 593.81, 593.82, 593.89, V16.7</w:t>
            </w:r>
          </w:p>
        </w:tc>
      </w:tr>
      <w:tr w:rsidR="00181442" w:rsidRPr="0066479C" w14:paraId="29D6777C" w14:textId="77777777" w:rsidTr="00957B91"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single" w:sz="4" w:space="0" w:color="6EC3B9"/>
            </w:tcBorders>
            <w:shd w:val="clear" w:color="auto" w:fill="6EC3B9"/>
          </w:tcPr>
          <w:p w14:paraId="73DE14F2" w14:textId="77777777" w:rsidR="00181442" w:rsidRPr="00173BFC" w:rsidRDefault="00181442" w:rsidP="00957B91">
            <w:pPr>
              <w:rPr>
                <w:rFonts w:ascii="Helvetica" w:hAnsi="Helvetica"/>
                <w:bCs/>
                <w:sz w:val="16"/>
                <w:szCs w:val="16"/>
              </w:rPr>
            </w:pPr>
            <w:r w:rsidRPr="00173BFC">
              <w:rPr>
                <w:rFonts w:ascii="Helvetica" w:hAnsi="Helvetica"/>
                <w:bCs/>
                <w:sz w:val="16"/>
                <w:szCs w:val="16"/>
              </w:rPr>
              <w:t>Autoimmune disorders</w:t>
            </w:r>
          </w:p>
        </w:tc>
      </w:tr>
      <w:tr w:rsidR="00181442" w:rsidRPr="0066479C" w14:paraId="6C88310F" w14:textId="77777777" w:rsidTr="00957B91"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23B2955C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Rheumatoid arthritis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15189E93" w14:textId="77777777" w:rsidR="00181442" w:rsidRPr="00173BFC" w:rsidRDefault="00181442" w:rsidP="00957B91">
            <w:pPr>
              <w:rPr>
                <w:rFonts w:ascii="Helvetica" w:hAnsi="Helvetica"/>
                <w:sz w:val="16"/>
                <w:szCs w:val="16"/>
              </w:rPr>
            </w:pPr>
            <w:r w:rsidRPr="00173BFC">
              <w:rPr>
                <w:rFonts w:ascii="Helvetica" w:hAnsi="Helvetica"/>
                <w:sz w:val="16"/>
                <w:szCs w:val="16"/>
              </w:rPr>
              <w:t>ICD10 codes M05, M06; ICD9 codes 714.xx</w:t>
            </w:r>
          </w:p>
        </w:tc>
      </w:tr>
      <w:tr w:rsidR="00181442" w:rsidRPr="0066479C" w14:paraId="3C621389" w14:textId="77777777" w:rsidTr="00957B91"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3FCF0D7A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Other connective tissue diseases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0544D312" w14:textId="77777777" w:rsidR="00181442" w:rsidRPr="00173BFC" w:rsidRDefault="00181442" w:rsidP="00957B91">
            <w:pPr>
              <w:rPr>
                <w:rFonts w:ascii="Helvetica" w:hAnsi="Helvetica"/>
                <w:sz w:val="16"/>
                <w:szCs w:val="16"/>
              </w:rPr>
            </w:pPr>
            <w:r w:rsidRPr="00173BFC">
              <w:rPr>
                <w:rFonts w:ascii="Helvetica" w:hAnsi="Helvetica"/>
                <w:sz w:val="16"/>
                <w:szCs w:val="16"/>
              </w:rPr>
              <w:t>ICD10 codes M36; ICD9 codes 710.xx (except where otherwise specified)</w:t>
            </w:r>
          </w:p>
        </w:tc>
      </w:tr>
      <w:tr w:rsidR="00181442" w:rsidRPr="0066479C" w14:paraId="277DDE52" w14:textId="77777777" w:rsidTr="00957B91"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199438E0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Systemic lupus erythematosus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6656B580" w14:textId="77777777" w:rsidR="00181442" w:rsidRPr="00173BFC" w:rsidRDefault="00181442" w:rsidP="00957B91">
            <w:pPr>
              <w:rPr>
                <w:rFonts w:ascii="Helvetica" w:hAnsi="Helvetica"/>
                <w:sz w:val="16"/>
                <w:szCs w:val="16"/>
              </w:rPr>
            </w:pPr>
            <w:r w:rsidRPr="00173BFC">
              <w:rPr>
                <w:rFonts w:ascii="Helvetica" w:hAnsi="Helvetica"/>
                <w:sz w:val="16"/>
                <w:szCs w:val="16"/>
              </w:rPr>
              <w:t>ICD10 codes M32; ICD9 codes 710.0</w:t>
            </w:r>
          </w:p>
        </w:tc>
      </w:tr>
      <w:tr w:rsidR="00181442" w:rsidRPr="0066479C" w14:paraId="031ADB14" w14:textId="77777777" w:rsidTr="00957B91"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22C6BC11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Autoimmune thyroiditis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3D29AE92" w14:textId="77777777" w:rsidR="00181442" w:rsidRPr="00173BFC" w:rsidRDefault="00181442" w:rsidP="00957B91">
            <w:pPr>
              <w:rPr>
                <w:rFonts w:ascii="Helvetica" w:hAnsi="Helvetica"/>
                <w:sz w:val="16"/>
                <w:szCs w:val="16"/>
                <w:lang w:val="de-DE"/>
              </w:rPr>
            </w:pPr>
            <w:r w:rsidRPr="00173BFC">
              <w:rPr>
                <w:rFonts w:ascii="Helvetica" w:hAnsi="Helvetica"/>
                <w:sz w:val="16"/>
                <w:szCs w:val="16"/>
                <w:lang w:val="de-DE"/>
              </w:rPr>
              <w:t>ICD10 codes E06.3; ICD9 codes 245.2</w:t>
            </w:r>
          </w:p>
        </w:tc>
      </w:tr>
      <w:tr w:rsidR="00181442" w:rsidRPr="0066479C" w14:paraId="4797A3FE" w14:textId="77777777" w:rsidTr="00957B91"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38533F0B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Sicca (</w:t>
            </w:r>
            <w:proofErr w:type="spellStart"/>
            <w:r w:rsidRPr="00173BFC">
              <w:rPr>
                <w:color w:val="auto"/>
                <w:sz w:val="16"/>
                <w:szCs w:val="16"/>
              </w:rPr>
              <w:t>Sjögren</w:t>
            </w:r>
            <w:proofErr w:type="spellEnd"/>
            <w:r w:rsidRPr="00173BFC">
              <w:rPr>
                <w:color w:val="auto"/>
                <w:sz w:val="16"/>
                <w:szCs w:val="16"/>
              </w:rPr>
              <w:t>) syndrome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6CA66C5A" w14:textId="77777777" w:rsidR="00181442" w:rsidRPr="00173BFC" w:rsidRDefault="00181442" w:rsidP="00957B91">
            <w:pPr>
              <w:rPr>
                <w:rFonts w:ascii="Helvetica" w:hAnsi="Helvetica"/>
                <w:sz w:val="16"/>
                <w:szCs w:val="16"/>
              </w:rPr>
            </w:pPr>
            <w:r w:rsidRPr="00173BFC">
              <w:rPr>
                <w:rFonts w:ascii="Helvetica" w:hAnsi="Helvetica"/>
                <w:sz w:val="16"/>
                <w:szCs w:val="16"/>
              </w:rPr>
              <w:t>ICD10 codes M35; ICD9 codes 710.2</w:t>
            </w:r>
          </w:p>
        </w:tc>
      </w:tr>
      <w:tr w:rsidR="00181442" w:rsidRPr="0066479C" w14:paraId="59FE1F85" w14:textId="77777777" w:rsidTr="00957B91"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1F7B2550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Antiphospholipid syndrome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52531FF7" w14:textId="77777777" w:rsidR="00181442" w:rsidRPr="00173BFC" w:rsidRDefault="00181442" w:rsidP="00957B91">
            <w:pPr>
              <w:rPr>
                <w:rFonts w:ascii="Helvetica" w:hAnsi="Helvetica"/>
                <w:sz w:val="16"/>
                <w:szCs w:val="16"/>
              </w:rPr>
            </w:pPr>
            <w:r w:rsidRPr="00173BFC">
              <w:rPr>
                <w:rFonts w:ascii="Helvetica" w:hAnsi="Helvetica"/>
                <w:sz w:val="16"/>
                <w:szCs w:val="16"/>
              </w:rPr>
              <w:t>ICD10 codes 68.61; ICD9 codes 289.81</w:t>
            </w:r>
          </w:p>
        </w:tc>
      </w:tr>
      <w:tr w:rsidR="00181442" w:rsidRPr="0066479C" w14:paraId="23BF8B9D" w14:textId="77777777" w:rsidTr="00957B91"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050C1486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lastRenderedPageBreak/>
              <w:t>Diseases of the blood and blood-forming organs and certain disorders involving the immune mechanism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3B7C1F0A" w14:textId="77777777" w:rsidR="00181442" w:rsidRPr="00173BFC" w:rsidRDefault="00181442" w:rsidP="00957B91">
            <w:pPr>
              <w:rPr>
                <w:rFonts w:ascii="Helvetica" w:hAnsi="Helvetica"/>
                <w:sz w:val="16"/>
                <w:szCs w:val="16"/>
              </w:rPr>
            </w:pPr>
            <w:r w:rsidRPr="00173BFC">
              <w:rPr>
                <w:rFonts w:ascii="Helvetica" w:hAnsi="Helvetica"/>
                <w:sz w:val="16"/>
                <w:szCs w:val="16"/>
              </w:rPr>
              <w:t>ICD10 codes D50-D89</w:t>
            </w:r>
          </w:p>
        </w:tc>
      </w:tr>
      <w:tr w:rsidR="00181442" w:rsidRPr="0066479C" w14:paraId="78D25456" w14:textId="77777777" w:rsidTr="00957B91"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065BDCBB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Certain disorders involving the immune mechanism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0D2FAB7B" w14:textId="77777777" w:rsidR="00181442" w:rsidRPr="00173BFC" w:rsidRDefault="00181442" w:rsidP="00957B91">
            <w:pPr>
              <w:rPr>
                <w:rFonts w:ascii="Helvetica" w:hAnsi="Helvetica"/>
                <w:sz w:val="16"/>
                <w:szCs w:val="16"/>
              </w:rPr>
            </w:pPr>
            <w:r w:rsidRPr="00173BFC">
              <w:rPr>
                <w:rFonts w:ascii="Helvetica" w:hAnsi="Helvetica"/>
                <w:sz w:val="16"/>
                <w:szCs w:val="16"/>
              </w:rPr>
              <w:t>ICD10 codes D80-D89</w:t>
            </w:r>
          </w:p>
        </w:tc>
      </w:tr>
      <w:tr w:rsidR="00181442" w:rsidRPr="0066479C" w14:paraId="62517D0C" w14:textId="77777777" w:rsidTr="00957B91">
        <w:tc>
          <w:tcPr>
            <w:tcW w:w="1729" w:type="pct"/>
            <w:tcBorders>
              <w:top w:val="single" w:sz="4" w:space="0" w:color="6EC3B9"/>
              <w:left w:val="single" w:sz="4" w:space="0" w:color="6EC3B9"/>
              <w:bottom w:val="single" w:sz="4" w:space="0" w:color="6EC3B9"/>
              <w:right w:val="nil"/>
            </w:tcBorders>
          </w:tcPr>
          <w:p w14:paraId="37FA7276" w14:textId="77777777" w:rsidR="00181442" w:rsidRPr="00173BFC" w:rsidRDefault="00181442" w:rsidP="00957B91">
            <w:pPr>
              <w:pStyle w:val="BodyTextHEOR"/>
              <w:spacing w:after="0" w:line="240" w:lineRule="auto"/>
              <w:ind w:left="162"/>
              <w:rPr>
                <w:color w:val="auto"/>
                <w:sz w:val="16"/>
                <w:szCs w:val="16"/>
              </w:rPr>
            </w:pPr>
            <w:r w:rsidRPr="00173BFC">
              <w:rPr>
                <w:color w:val="auto"/>
                <w:sz w:val="16"/>
                <w:szCs w:val="16"/>
              </w:rPr>
              <w:t>Other disorders involving the immune mechanism, not elsewhere classified</w:t>
            </w:r>
          </w:p>
        </w:tc>
        <w:tc>
          <w:tcPr>
            <w:tcW w:w="3271" w:type="pct"/>
            <w:tcBorders>
              <w:top w:val="single" w:sz="4" w:space="0" w:color="6EC3B9"/>
              <w:left w:val="nil"/>
              <w:bottom w:val="single" w:sz="4" w:space="0" w:color="6EC3B9"/>
              <w:right w:val="single" w:sz="4" w:space="0" w:color="6EC3B9"/>
            </w:tcBorders>
          </w:tcPr>
          <w:p w14:paraId="1E05DF3A" w14:textId="77777777" w:rsidR="00181442" w:rsidRPr="00173BFC" w:rsidRDefault="00181442" w:rsidP="00957B91">
            <w:pPr>
              <w:rPr>
                <w:rFonts w:ascii="Helvetica" w:hAnsi="Helvetica"/>
                <w:sz w:val="16"/>
                <w:szCs w:val="16"/>
              </w:rPr>
            </w:pPr>
            <w:r w:rsidRPr="00173BFC">
              <w:rPr>
                <w:rFonts w:ascii="Helvetica" w:hAnsi="Helvetica"/>
                <w:sz w:val="16"/>
                <w:szCs w:val="16"/>
              </w:rPr>
              <w:t>ICD10 codes D89</w:t>
            </w:r>
          </w:p>
        </w:tc>
      </w:tr>
    </w:tbl>
    <w:p w14:paraId="6B37326A" w14:textId="77777777" w:rsidR="00181442" w:rsidRPr="00173BFC" w:rsidRDefault="00181442" w:rsidP="00181442">
      <w:pPr>
        <w:pStyle w:val="BodyTextHEOR"/>
        <w:spacing w:after="0"/>
        <w:rPr>
          <w:sz w:val="14"/>
          <w:szCs w:val="18"/>
        </w:rPr>
      </w:pPr>
      <w:r w:rsidRPr="00173BFC">
        <w:rPr>
          <w:color w:val="auto"/>
          <w:sz w:val="16"/>
          <w:szCs w:val="20"/>
          <w:vertAlign w:val="superscript"/>
        </w:rPr>
        <w:t>†</w:t>
      </w:r>
      <w:r w:rsidRPr="00173BFC">
        <w:rPr>
          <w:bCs/>
          <w:color w:val="auto"/>
          <w:kern w:val="32"/>
          <w:sz w:val="16"/>
          <w:szCs w:val="20"/>
        </w:rPr>
        <w:t xml:space="preserve">Non-Hodgkin’s lymphoma </w:t>
      </w:r>
      <w:proofErr w:type="gramStart"/>
      <w:r w:rsidRPr="00173BFC">
        <w:rPr>
          <w:bCs/>
          <w:color w:val="auto"/>
          <w:kern w:val="32"/>
          <w:sz w:val="16"/>
          <w:szCs w:val="20"/>
        </w:rPr>
        <w:t>includes:</w:t>
      </w:r>
      <w:proofErr w:type="gramEnd"/>
      <w:r w:rsidRPr="00173BFC">
        <w:rPr>
          <w:bCs/>
          <w:color w:val="auto"/>
          <w:kern w:val="32"/>
          <w:sz w:val="16"/>
          <w:szCs w:val="20"/>
        </w:rPr>
        <w:t xml:space="preserve"> follicular lymphoma, hairy cell lymphoma, and T-cell lymphoma</w:t>
      </w:r>
    </w:p>
    <w:p w14:paraId="3F95EC6B" w14:textId="77777777" w:rsidR="00181442" w:rsidRPr="0066479C" w:rsidRDefault="00181442" w:rsidP="00181442">
      <w:pPr>
        <w:pStyle w:val="PXNormal"/>
        <w:rPr>
          <w:rFonts w:ascii="Helvetica" w:hAnsi="Helvetica"/>
        </w:rPr>
      </w:pPr>
    </w:p>
    <w:p w14:paraId="759B8B87" w14:textId="77777777" w:rsidR="00181442" w:rsidRPr="0066479C" w:rsidRDefault="00181442" w:rsidP="00181442">
      <w:pPr>
        <w:rPr>
          <w:rFonts w:ascii="Helvetica" w:hAnsi="Helvetica" w:cs="Times New Roman"/>
        </w:rPr>
      </w:pPr>
    </w:p>
    <w:p w14:paraId="50701362" w14:textId="77777777" w:rsidR="008B6AB1" w:rsidRDefault="008B6AB1"/>
    <w:sectPr w:rsidR="008B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42"/>
    <w:rsid w:val="000072A6"/>
    <w:rsid w:val="00181442"/>
    <w:rsid w:val="006125F2"/>
    <w:rsid w:val="008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CF1A"/>
  <w15:chartTrackingRefBased/>
  <w15:docId w15:val="{7C46BB6A-CB0D-4BB5-B3D7-771496F7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4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ORNormal">
    <w:name w:val="HEOR Normal"/>
    <w:basedOn w:val="Normal"/>
    <w:link w:val="HEORNormalChar"/>
    <w:qFormat/>
    <w:rsid w:val="00181442"/>
    <w:pPr>
      <w:spacing w:after="120"/>
      <w:jc w:val="both"/>
    </w:pPr>
    <w:rPr>
      <w:rFonts w:ascii="Arial" w:eastAsia="Times New Roman" w:hAnsi="Arial" w:cs="Times New Roman"/>
      <w:color w:val="425563"/>
      <w:sz w:val="22"/>
    </w:rPr>
  </w:style>
  <w:style w:type="character" w:customStyle="1" w:styleId="HEORNormalChar">
    <w:name w:val="HEOR Normal Char"/>
    <w:link w:val="HEORNormal"/>
    <w:qFormat/>
    <w:rsid w:val="00181442"/>
    <w:rPr>
      <w:rFonts w:ascii="Arial" w:eastAsia="Times New Roman" w:hAnsi="Arial" w:cs="Times New Roman"/>
      <w:color w:val="425563"/>
      <w:szCs w:val="24"/>
      <w:lang w:val="en-US"/>
    </w:rPr>
  </w:style>
  <w:style w:type="paragraph" w:customStyle="1" w:styleId="BodyTextHEOR">
    <w:name w:val="Body Text_HEOR"/>
    <w:basedOn w:val="Normal"/>
    <w:link w:val="BodyTextHEORChar"/>
    <w:qFormat/>
    <w:rsid w:val="00181442"/>
    <w:pPr>
      <w:spacing w:after="120" w:line="276" w:lineRule="auto"/>
    </w:pPr>
    <w:rPr>
      <w:rFonts w:ascii="Helvetica" w:eastAsia="MS Mincho" w:hAnsi="Helvetica" w:cs="Times New Roman"/>
      <w:color w:val="425563"/>
    </w:rPr>
  </w:style>
  <w:style w:type="character" w:customStyle="1" w:styleId="BodyTextHEORChar">
    <w:name w:val="Body Text_HEOR Char"/>
    <w:link w:val="BodyTextHEOR"/>
    <w:rsid w:val="00181442"/>
    <w:rPr>
      <w:rFonts w:ascii="Helvetica" w:eastAsia="MS Mincho" w:hAnsi="Helvetica" w:cs="Times New Roman"/>
      <w:color w:val="425563"/>
      <w:sz w:val="24"/>
      <w:szCs w:val="24"/>
      <w:lang w:val="en-US"/>
    </w:rPr>
  </w:style>
  <w:style w:type="table" w:customStyle="1" w:styleId="PHETable">
    <w:name w:val="PHE Table"/>
    <w:basedOn w:val="TableNormal"/>
    <w:link w:val="PHETablePara"/>
    <w:uiPriority w:val="99"/>
    <w:rsid w:val="00181442"/>
    <w:pPr>
      <w:spacing w:after="120" w:line="276" w:lineRule="auto"/>
    </w:pPr>
    <w:rPr>
      <w:rFonts w:ascii="Helvetica" w:eastAsia="MS Mincho" w:hAnsi="Helvetica" w:cs="Times New Roman"/>
      <w:sz w:val="20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color w:val="FFFFFF"/>
        <w:sz w:val="22"/>
      </w:rPr>
      <w:tblPr/>
      <w:tcPr>
        <w:shd w:val="clear" w:color="auto" w:fill="14467C"/>
      </w:tcPr>
    </w:tblStylePr>
  </w:style>
  <w:style w:type="paragraph" w:customStyle="1" w:styleId="PHETablePara">
    <w:name w:val="PHE Table Para"/>
    <w:basedOn w:val="Normal"/>
    <w:link w:val="PHETable"/>
    <w:uiPriority w:val="99"/>
    <w:rsid w:val="00181442"/>
    <w:pPr>
      <w:spacing w:after="120" w:line="276" w:lineRule="auto"/>
    </w:pPr>
    <w:rPr>
      <w:rFonts w:ascii="Times New Roman" w:eastAsia="Times New Roman" w:hAnsi="Times New Roman" w:cs="Times New Roman"/>
      <w:sz w:val="22"/>
    </w:rPr>
  </w:style>
  <w:style w:type="paragraph" w:customStyle="1" w:styleId="PXNormal">
    <w:name w:val="PX Normal"/>
    <w:basedOn w:val="Normal"/>
    <w:link w:val="PXNormalChar"/>
    <w:rsid w:val="00181442"/>
    <w:pPr>
      <w:spacing w:after="120"/>
      <w:jc w:val="both"/>
    </w:pPr>
    <w:rPr>
      <w:rFonts w:ascii="Arial" w:eastAsia="Times New Roman" w:hAnsi="Arial" w:cs="Times New Roman"/>
      <w:color w:val="000000" w:themeColor="text1"/>
      <w:sz w:val="22"/>
    </w:rPr>
  </w:style>
  <w:style w:type="character" w:customStyle="1" w:styleId="PXNormalChar">
    <w:name w:val="PX Normal Char"/>
    <w:link w:val="PXNormal"/>
    <w:rsid w:val="00181442"/>
    <w:rPr>
      <w:rFonts w:ascii="Arial" w:eastAsia="Times New Roman" w:hAnsi="Arial" w:cs="Times New Roman"/>
      <w:color w:val="000000" w:themeColor="text1"/>
      <w:szCs w:val="24"/>
      <w:lang w:val="en-US"/>
    </w:rPr>
  </w:style>
  <w:style w:type="table" w:styleId="TableGrid">
    <w:name w:val="Table Grid"/>
    <w:basedOn w:val="TableNormal"/>
    <w:uiPriority w:val="39"/>
    <w:rsid w:val="00181442"/>
    <w:pPr>
      <w:spacing w:after="120" w:line="240" w:lineRule="auto"/>
    </w:pPr>
    <w:rPr>
      <w:rFonts w:ascii="Cambria" w:eastAsia="Times New Roman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2022-04-19T14:12:00Z</dcterms:created>
  <dcterms:modified xsi:type="dcterms:W3CDTF">2022-04-19T14:12:00Z</dcterms:modified>
</cp:coreProperties>
</file>