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4E26" w14:textId="639AC14F" w:rsidR="00DD184E" w:rsidRPr="00677D9F" w:rsidRDefault="00804FC1" w:rsidP="00DD184E">
      <w:pPr>
        <w:pStyle w:val="Heading1"/>
      </w:pPr>
      <w:r>
        <w:t>Supplementary material</w:t>
      </w:r>
      <w:r w:rsidR="00DD184E" w:rsidRPr="00677D9F">
        <w:t>. Parameter Values</w:t>
      </w:r>
    </w:p>
    <w:p w14:paraId="68954E27" w14:textId="37EE46B6" w:rsidR="00DD184E" w:rsidRPr="003F7450" w:rsidRDefault="00DD184E" w:rsidP="00DD184E">
      <w:pPr>
        <w:pStyle w:val="TableTitle-IPR"/>
      </w:pPr>
      <w:r w:rsidRPr="00CF0E91">
        <w:t>Table</w:t>
      </w:r>
      <w:r>
        <w:t xml:space="preserve"> 1</w:t>
      </w:r>
      <w:r w:rsidRPr="00CF0E91">
        <w:t>. Parameters Used in the Model</w:t>
      </w:r>
      <w:r>
        <w:t xml:space="preserve"> of </w:t>
      </w:r>
      <w:r w:rsidRPr="003F7450">
        <w:t xml:space="preserve">Education Bundle for Patients </w:t>
      </w:r>
      <w:r>
        <w:t>a</w:t>
      </w:r>
      <w:r w:rsidRPr="003F7450">
        <w:t>t</w:t>
      </w:r>
      <w:r>
        <w:t xml:space="preserve"> </w:t>
      </w:r>
      <w:r w:rsidRPr="003F7450">
        <w:t xml:space="preserve">Risk of Developing </w:t>
      </w:r>
      <w:bookmarkStart w:id="0" w:name="_Hlk63929102"/>
      <w:r>
        <w:t>VTE</w:t>
      </w:r>
      <w:bookmarkEnd w:id="0"/>
    </w:p>
    <w:tbl>
      <w:tblPr>
        <w:tblStyle w:val="InsightTable1"/>
        <w:tblW w:w="5096" w:type="pct"/>
        <w:tblInd w:w="0" w:type="dxa"/>
        <w:tblLayout w:type="fixed"/>
        <w:tblCellMar>
          <w:left w:w="58" w:type="dxa"/>
          <w:right w:w="58" w:type="dxa"/>
        </w:tblCellMar>
        <w:tblLook w:val="04A0" w:firstRow="1" w:lastRow="0" w:firstColumn="1" w:lastColumn="0" w:noHBand="0" w:noVBand="1"/>
      </w:tblPr>
      <w:tblGrid>
        <w:gridCol w:w="5310"/>
        <w:gridCol w:w="2114"/>
        <w:gridCol w:w="2116"/>
      </w:tblGrid>
      <w:tr w:rsidR="00DD184E" w:rsidRPr="00CF0E91" w14:paraId="68954E2B" w14:textId="77777777" w:rsidTr="00DA31D9">
        <w:trPr>
          <w:cnfStyle w:val="100000000000" w:firstRow="1" w:lastRow="0" w:firstColumn="0" w:lastColumn="0" w:oddVBand="0" w:evenVBand="0" w:oddHBand="0" w:evenHBand="0" w:firstRowFirstColumn="0" w:firstRowLastColumn="0" w:lastRowFirstColumn="0" w:lastRowLastColumn="0"/>
          <w:trHeight w:val="360"/>
          <w:tblHeader/>
        </w:trPr>
        <w:tc>
          <w:tcPr>
            <w:tcW w:w="2783" w:type="pct"/>
          </w:tcPr>
          <w:p w14:paraId="68954E28" w14:textId="77777777" w:rsidR="00DD184E" w:rsidRPr="00CF0E91" w:rsidRDefault="00DD184E" w:rsidP="00DA31D9">
            <w:pPr>
              <w:spacing w:line="240" w:lineRule="auto"/>
              <w:rPr>
                <w:rFonts w:ascii="Lucida Sans" w:eastAsia="Times New Roman" w:hAnsi="Lucida Sans" w:cs="Lucida Sans Unicode"/>
                <w:b/>
                <w:bCs/>
                <w:sz w:val="18"/>
                <w:szCs w:val="24"/>
              </w:rPr>
            </w:pPr>
            <w:r w:rsidRPr="00CF0E91">
              <w:rPr>
                <w:rFonts w:ascii="Lucida Sans" w:eastAsia="Times New Roman" w:hAnsi="Lucida Sans" w:cs="Lucida Sans Unicode"/>
                <w:b/>
                <w:bCs/>
                <w:sz w:val="18"/>
                <w:szCs w:val="24"/>
              </w:rPr>
              <w:t>Parameter Description</w:t>
            </w:r>
          </w:p>
        </w:tc>
        <w:tc>
          <w:tcPr>
            <w:tcW w:w="1108" w:type="pct"/>
          </w:tcPr>
          <w:p w14:paraId="68954E29" w14:textId="77777777" w:rsidR="00DD184E" w:rsidRPr="00CF0E91" w:rsidRDefault="00DD184E" w:rsidP="00DA31D9">
            <w:pPr>
              <w:spacing w:line="240" w:lineRule="auto"/>
              <w:rPr>
                <w:rFonts w:ascii="Lucida Sans" w:eastAsia="Times New Roman" w:hAnsi="Lucida Sans" w:cs="Lucida Sans Unicode"/>
                <w:b/>
                <w:bCs/>
                <w:sz w:val="18"/>
                <w:szCs w:val="24"/>
              </w:rPr>
            </w:pPr>
            <w:r w:rsidRPr="00CF0E91">
              <w:rPr>
                <w:rFonts w:ascii="Lucida Sans" w:eastAsia="Times New Roman" w:hAnsi="Lucida Sans" w:cs="Lucida Sans Unicode"/>
                <w:b/>
                <w:bCs/>
                <w:sz w:val="18"/>
                <w:szCs w:val="24"/>
              </w:rPr>
              <w:t>Parameter</w:t>
            </w:r>
          </w:p>
        </w:tc>
        <w:tc>
          <w:tcPr>
            <w:tcW w:w="1108" w:type="pct"/>
          </w:tcPr>
          <w:p w14:paraId="68954E2A" w14:textId="77777777" w:rsidR="00DD184E" w:rsidRPr="00CF0E91" w:rsidRDefault="00DD184E" w:rsidP="00DA31D9">
            <w:pPr>
              <w:spacing w:line="240" w:lineRule="auto"/>
              <w:rPr>
                <w:rFonts w:ascii="Lucida Sans" w:eastAsia="Times New Roman" w:hAnsi="Lucida Sans" w:cs="Lucida Sans Unicode"/>
                <w:b/>
                <w:bCs/>
                <w:sz w:val="18"/>
                <w:szCs w:val="24"/>
              </w:rPr>
            </w:pPr>
            <w:r w:rsidRPr="00CF0E91">
              <w:rPr>
                <w:rFonts w:ascii="Lucida Sans" w:eastAsia="Times New Roman" w:hAnsi="Lucida Sans" w:cs="Lucida Sans Unicode"/>
                <w:b/>
                <w:bCs/>
                <w:sz w:val="18"/>
                <w:szCs w:val="24"/>
              </w:rPr>
              <w:t>Source</w:t>
            </w:r>
          </w:p>
        </w:tc>
      </w:tr>
      <w:tr w:rsidR="00DD184E" w:rsidRPr="00CF0E91" w14:paraId="68954E2D" w14:textId="77777777" w:rsidTr="00DA31D9">
        <w:trPr>
          <w:trHeight w:val="288"/>
        </w:trPr>
        <w:tc>
          <w:tcPr>
            <w:tcW w:w="5000" w:type="pct"/>
            <w:gridSpan w:val="3"/>
            <w:shd w:val="clear" w:color="auto" w:fill="F2F2F2" w:themeFill="background1" w:themeFillShade="F2"/>
          </w:tcPr>
          <w:p w14:paraId="68954E2C" w14:textId="77777777" w:rsidR="00DD184E" w:rsidRPr="00C73146" w:rsidRDefault="00DD184E" w:rsidP="00DA31D9">
            <w:pPr>
              <w:spacing w:line="240" w:lineRule="auto"/>
              <w:jc w:val="center"/>
              <w:rPr>
                <w:rFonts w:eastAsiaTheme="minorEastAsia"/>
                <w:b/>
                <w:bCs/>
              </w:rPr>
            </w:pPr>
            <w:r w:rsidRPr="00C73146">
              <w:rPr>
                <w:rFonts w:eastAsiaTheme="minorEastAsia"/>
                <w:b/>
                <w:bCs/>
              </w:rPr>
              <w:t>Population Parameters</w:t>
            </w:r>
          </w:p>
        </w:tc>
      </w:tr>
      <w:tr w:rsidR="00DD184E" w:rsidRPr="00CF0E91" w14:paraId="68954E31" w14:textId="77777777" w:rsidTr="00DA31D9">
        <w:trPr>
          <w:trHeight w:val="288"/>
        </w:trPr>
        <w:tc>
          <w:tcPr>
            <w:tcW w:w="2783" w:type="pct"/>
          </w:tcPr>
          <w:p w14:paraId="68954E2E" w14:textId="77777777" w:rsidR="00DD184E" w:rsidRPr="00CF0E91" w:rsidRDefault="00DD184E" w:rsidP="00DA31D9">
            <w:pPr>
              <w:spacing w:line="240" w:lineRule="auto"/>
              <w:rPr>
                <w:rFonts w:asciiTheme="minorHAnsi" w:eastAsiaTheme="minorEastAsia" w:hAnsiTheme="minorHAnsi" w:cstheme="minorHAnsi"/>
                <w:szCs w:val="20"/>
              </w:rPr>
            </w:pPr>
            <w:r w:rsidRPr="003F7450">
              <w:rPr>
                <w:rFonts w:asciiTheme="minorHAnsi" w:eastAsiaTheme="minorEastAsia" w:hAnsiTheme="minorHAnsi" w:cstheme="minorHAnsi"/>
                <w:szCs w:val="20"/>
              </w:rPr>
              <w:t>Age entering model</w:t>
            </w:r>
          </w:p>
        </w:tc>
        <w:tc>
          <w:tcPr>
            <w:tcW w:w="1108" w:type="pct"/>
          </w:tcPr>
          <w:p w14:paraId="68954E2F" w14:textId="77777777" w:rsidR="00DD184E" w:rsidRPr="00CF0E91" w:rsidRDefault="00DD184E" w:rsidP="00DA31D9">
            <w:pPr>
              <w:spacing w:line="240" w:lineRule="auto"/>
              <w:jc w:val="center"/>
              <w:rPr>
                <w:rFonts w:asciiTheme="minorHAnsi" w:eastAsiaTheme="minorEastAsia" w:hAnsiTheme="minorHAnsi" w:cstheme="minorHAnsi"/>
                <w:szCs w:val="20"/>
              </w:rPr>
            </w:pPr>
            <w:r>
              <w:rPr>
                <w:rFonts w:asciiTheme="minorHAnsi" w:eastAsiaTheme="minorEastAsia" w:hAnsiTheme="minorHAnsi" w:cstheme="minorHAnsi"/>
                <w:szCs w:val="20"/>
              </w:rPr>
              <w:t>55</w:t>
            </w:r>
          </w:p>
        </w:tc>
        <w:tc>
          <w:tcPr>
            <w:tcW w:w="1108" w:type="pct"/>
          </w:tcPr>
          <w:p w14:paraId="68954E30"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10</w:t>
            </w:r>
          </w:p>
        </w:tc>
      </w:tr>
      <w:tr w:rsidR="00DD184E" w:rsidRPr="00CF0E91" w14:paraId="68954E35" w14:textId="77777777" w:rsidTr="00DA31D9">
        <w:trPr>
          <w:trHeight w:val="288"/>
        </w:trPr>
        <w:tc>
          <w:tcPr>
            <w:tcW w:w="2783" w:type="pct"/>
          </w:tcPr>
          <w:p w14:paraId="68954E32" w14:textId="77777777" w:rsidR="00DD184E" w:rsidRPr="00E84FD2" w:rsidRDefault="00DD184E" w:rsidP="00DA31D9">
            <w:pPr>
              <w:spacing w:line="240" w:lineRule="auto"/>
              <w:rPr>
                <w:rFonts w:asciiTheme="minorHAnsi" w:eastAsiaTheme="minorEastAsia" w:hAnsiTheme="minorHAnsi" w:cstheme="minorHAnsi"/>
                <w:szCs w:val="20"/>
              </w:rPr>
            </w:pPr>
            <w:r w:rsidRPr="003F7450">
              <w:rPr>
                <w:rFonts w:asciiTheme="minorHAnsi" w:eastAsiaTheme="minorEastAsia" w:hAnsiTheme="minorHAnsi" w:cstheme="minorHAnsi"/>
                <w:szCs w:val="20"/>
              </w:rPr>
              <w:t>U</w:t>
            </w:r>
            <w:r>
              <w:rPr>
                <w:rFonts w:asciiTheme="minorHAnsi" w:eastAsiaTheme="minorEastAsia" w:hAnsiTheme="minorHAnsi" w:cstheme="minorHAnsi"/>
                <w:szCs w:val="20"/>
              </w:rPr>
              <w:t>.</w:t>
            </w:r>
            <w:r w:rsidRPr="003F7450">
              <w:rPr>
                <w:rFonts w:asciiTheme="minorHAnsi" w:eastAsiaTheme="minorEastAsia" w:hAnsiTheme="minorHAnsi" w:cstheme="minorHAnsi"/>
                <w:szCs w:val="20"/>
              </w:rPr>
              <w:t>S</w:t>
            </w:r>
            <w:r>
              <w:rPr>
                <w:rFonts w:asciiTheme="minorHAnsi" w:eastAsiaTheme="minorEastAsia" w:hAnsiTheme="minorHAnsi" w:cstheme="minorHAnsi"/>
                <w:szCs w:val="20"/>
              </w:rPr>
              <w:t>.</w:t>
            </w:r>
            <w:r w:rsidRPr="003F7450">
              <w:rPr>
                <w:rFonts w:asciiTheme="minorHAnsi" w:eastAsiaTheme="minorEastAsia" w:hAnsiTheme="minorHAnsi" w:cstheme="minorHAnsi"/>
                <w:szCs w:val="20"/>
              </w:rPr>
              <w:t xml:space="preserve"> </w:t>
            </w:r>
            <w:r>
              <w:rPr>
                <w:rFonts w:asciiTheme="minorHAnsi" w:eastAsiaTheme="minorEastAsia" w:hAnsiTheme="minorHAnsi" w:cstheme="minorHAnsi"/>
                <w:szCs w:val="20"/>
              </w:rPr>
              <w:t>h</w:t>
            </w:r>
            <w:r w:rsidRPr="003F7450">
              <w:rPr>
                <w:rFonts w:asciiTheme="minorHAnsi" w:eastAsiaTheme="minorEastAsia" w:hAnsiTheme="minorHAnsi" w:cstheme="minorHAnsi"/>
                <w:szCs w:val="20"/>
              </w:rPr>
              <w:t>ospitalized at</w:t>
            </w:r>
            <w:r>
              <w:rPr>
                <w:rFonts w:asciiTheme="minorHAnsi" w:eastAsiaTheme="minorEastAsia" w:hAnsiTheme="minorHAnsi" w:cstheme="minorHAnsi"/>
                <w:szCs w:val="20"/>
              </w:rPr>
              <w:t>-r</w:t>
            </w:r>
            <w:r w:rsidRPr="003F7450">
              <w:rPr>
                <w:rFonts w:asciiTheme="minorHAnsi" w:eastAsiaTheme="minorEastAsia" w:hAnsiTheme="minorHAnsi" w:cstheme="minorHAnsi"/>
                <w:szCs w:val="20"/>
              </w:rPr>
              <w:t>isk population</w:t>
            </w:r>
          </w:p>
        </w:tc>
        <w:tc>
          <w:tcPr>
            <w:tcW w:w="1108" w:type="pct"/>
          </w:tcPr>
          <w:p w14:paraId="68954E33" w14:textId="77777777" w:rsidR="00DD184E" w:rsidRPr="00E84FD2" w:rsidRDefault="00DD184E" w:rsidP="00DA31D9">
            <w:pPr>
              <w:spacing w:line="240" w:lineRule="auto"/>
              <w:jc w:val="center"/>
              <w:rPr>
                <w:rFonts w:asciiTheme="minorHAnsi" w:eastAsiaTheme="minorEastAsia" w:hAnsiTheme="minorHAnsi" w:cstheme="minorHAnsi"/>
                <w:szCs w:val="20"/>
              </w:rPr>
            </w:pPr>
            <w:r w:rsidRPr="003F7450">
              <w:rPr>
                <w:rFonts w:asciiTheme="minorHAnsi" w:eastAsiaTheme="minorEastAsia" w:hAnsiTheme="minorHAnsi" w:cstheme="minorHAnsi"/>
                <w:szCs w:val="20"/>
              </w:rPr>
              <w:t>12</w:t>
            </w:r>
            <w:r>
              <w:rPr>
                <w:rFonts w:asciiTheme="minorHAnsi" w:eastAsiaTheme="minorEastAsia" w:hAnsiTheme="minorHAnsi" w:cstheme="minorHAnsi"/>
                <w:szCs w:val="20"/>
              </w:rPr>
              <w:t>,</w:t>
            </w:r>
            <w:r w:rsidRPr="003F7450">
              <w:rPr>
                <w:rFonts w:asciiTheme="minorHAnsi" w:eastAsiaTheme="minorEastAsia" w:hAnsiTheme="minorHAnsi" w:cstheme="minorHAnsi"/>
                <w:szCs w:val="20"/>
              </w:rPr>
              <w:t>091</w:t>
            </w:r>
            <w:r>
              <w:rPr>
                <w:rFonts w:asciiTheme="minorHAnsi" w:eastAsiaTheme="minorEastAsia" w:hAnsiTheme="minorHAnsi" w:cstheme="minorHAnsi"/>
                <w:szCs w:val="20"/>
              </w:rPr>
              <w:t>,</w:t>
            </w:r>
            <w:r w:rsidRPr="003F7450">
              <w:rPr>
                <w:rFonts w:asciiTheme="minorHAnsi" w:eastAsiaTheme="minorEastAsia" w:hAnsiTheme="minorHAnsi" w:cstheme="minorHAnsi"/>
                <w:szCs w:val="20"/>
              </w:rPr>
              <w:t>153</w:t>
            </w:r>
          </w:p>
        </w:tc>
        <w:tc>
          <w:tcPr>
            <w:tcW w:w="1108" w:type="pct"/>
          </w:tcPr>
          <w:p w14:paraId="68954E34"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15</w:t>
            </w:r>
          </w:p>
        </w:tc>
      </w:tr>
      <w:tr w:rsidR="00DD184E" w14:paraId="68954E39" w14:textId="77777777" w:rsidTr="00DA31D9">
        <w:trPr>
          <w:trHeight w:val="288"/>
        </w:trPr>
        <w:tc>
          <w:tcPr>
            <w:tcW w:w="2783" w:type="pct"/>
          </w:tcPr>
          <w:p w14:paraId="68954E36" w14:textId="77777777" w:rsidR="00DD184E" w:rsidRDefault="00DD184E" w:rsidP="00DA31D9">
            <w:pPr>
              <w:spacing w:line="240" w:lineRule="auto"/>
              <w:rPr>
                <w:rFonts w:asciiTheme="minorHAnsi" w:eastAsiaTheme="minorEastAsia" w:hAnsiTheme="minorHAnsi" w:cstheme="minorBidi"/>
              </w:rPr>
            </w:pPr>
            <w:r w:rsidRPr="2979F22D">
              <w:rPr>
                <w:rFonts w:asciiTheme="minorHAnsi" w:eastAsiaTheme="minorEastAsia" w:hAnsiTheme="minorHAnsi" w:cstheme="minorBidi"/>
              </w:rPr>
              <w:t xml:space="preserve">Proportion of U.S. hospitalized at-risk population in </w:t>
            </w:r>
            <w:r w:rsidRPr="73CCEC83">
              <w:rPr>
                <w:rFonts w:asciiTheme="minorHAnsi" w:eastAsiaTheme="minorEastAsia" w:hAnsiTheme="minorHAnsi" w:cstheme="minorBidi"/>
              </w:rPr>
              <w:t>surgical/trauma</w:t>
            </w:r>
            <w:r w:rsidRPr="2979F22D">
              <w:rPr>
                <w:rFonts w:asciiTheme="minorHAnsi" w:eastAsiaTheme="minorEastAsia" w:hAnsiTheme="minorHAnsi" w:cstheme="minorBidi"/>
              </w:rPr>
              <w:t xml:space="preserve"> group</w:t>
            </w:r>
          </w:p>
        </w:tc>
        <w:tc>
          <w:tcPr>
            <w:tcW w:w="1108" w:type="pct"/>
          </w:tcPr>
          <w:p w14:paraId="68954E37" w14:textId="77777777" w:rsidR="00DD184E" w:rsidRDefault="00DD184E" w:rsidP="00DA31D9">
            <w:pPr>
              <w:spacing w:line="240" w:lineRule="auto"/>
              <w:jc w:val="center"/>
              <w:rPr>
                <w:rFonts w:asciiTheme="minorHAnsi" w:eastAsiaTheme="minorEastAsia" w:hAnsiTheme="minorHAnsi" w:cstheme="minorBidi"/>
              </w:rPr>
            </w:pPr>
            <w:r w:rsidRPr="2979F22D">
              <w:rPr>
                <w:rFonts w:asciiTheme="minorHAnsi" w:eastAsiaTheme="minorEastAsia" w:hAnsiTheme="minorHAnsi" w:cstheme="minorBidi"/>
              </w:rPr>
              <w:t>61%</w:t>
            </w:r>
          </w:p>
        </w:tc>
        <w:tc>
          <w:tcPr>
            <w:tcW w:w="1108" w:type="pct"/>
          </w:tcPr>
          <w:p w14:paraId="68954E38" w14:textId="77777777" w:rsidR="00DD184E" w:rsidRDefault="00DD184E" w:rsidP="00DA31D9">
            <w:pPr>
              <w:spacing w:line="240" w:lineRule="auto"/>
              <w:jc w:val="center"/>
              <w:rPr>
                <w:rFonts w:cs="Calibri"/>
              </w:rPr>
            </w:pPr>
            <w:r>
              <w:rPr>
                <w:rFonts w:cs="Calibri"/>
              </w:rPr>
              <w:t>15</w:t>
            </w:r>
          </w:p>
        </w:tc>
      </w:tr>
      <w:tr w:rsidR="00DD184E" w14:paraId="68954E3D" w14:textId="77777777" w:rsidTr="00DA31D9">
        <w:trPr>
          <w:trHeight w:val="288"/>
        </w:trPr>
        <w:tc>
          <w:tcPr>
            <w:tcW w:w="2783" w:type="pct"/>
          </w:tcPr>
          <w:p w14:paraId="68954E3A" w14:textId="77777777" w:rsidR="00DD184E" w:rsidRDefault="00DD184E" w:rsidP="00DA31D9">
            <w:pPr>
              <w:spacing w:line="240" w:lineRule="auto"/>
              <w:rPr>
                <w:rFonts w:asciiTheme="minorHAnsi" w:eastAsiaTheme="minorEastAsia" w:hAnsiTheme="minorHAnsi" w:cstheme="minorBidi"/>
              </w:rPr>
            </w:pPr>
            <w:r w:rsidRPr="2979F22D">
              <w:rPr>
                <w:rFonts w:asciiTheme="minorHAnsi" w:eastAsiaTheme="minorEastAsia" w:hAnsiTheme="minorHAnsi" w:cstheme="minorBidi"/>
              </w:rPr>
              <w:t xml:space="preserve">Proportion of U.S. hospitalized at-risk population in </w:t>
            </w:r>
            <w:r w:rsidRPr="73CCEC83">
              <w:rPr>
                <w:rFonts w:asciiTheme="minorHAnsi" w:eastAsiaTheme="minorEastAsia" w:hAnsiTheme="minorHAnsi" w:cstheme="minorBidi"/>
              </w:rPr>
              <w:t>medical</w:t>
            </w:r>
            <w:r w:rsidRPr="2979F22D">
              <w:rPr>
                <w:rFonts w:asciiTheme="minorHAnsi" w:eastAsiaTheme="minorEastAsia" w:hAnsiTheme="minorHAnsi" w:cstheme="minorBidi"/>
              </w:rPr>
              <w:t xml:space="preserve"> group</w:t>
            </w:r>
          </w:p>
        </w:tc>
        <w:tc>
          <w:tcPr>
            <w:tcW w:w="1108" w:type="pct"/>
          </w:tcPr>
          <w:p w14:paraId="68954E3B" w14:textId="77777777" w:rsidR="00DD184E" w:rsidRDefault="00DD184E" w:rsidP="00DA31D9">
            <w:pPr>
              <w:spacing w:line="240" w:lineRule="auto"/>
              <w:jc w:val="center"/>
              <w:rPr>
                <w:rFonts w:asciiTheme="minorHAnsi" w:eastAsiaTheme="minorEastAsia" w:hAnsiTheme="minorHAnsi" w:cstheme="minorBidi"/>
              </w:rPr>
            </w:pPr>
            <w:r w:rsidRPr="2979F22D">
              <w:rPr>
                <w:rFonts w:asciiTheme="minorHAnsi" w:eastAsiaTheme="minorEastAsia" w:hAnsiTheme="minorHAnsi" w:cstheme="minorBidi"/>
              </w:rPr>
              <w:t>39%</w:t>
            </w:r>
          </w:p>
        </w:tc>
        <w:tc>
          <w:tcPr>
            <w:tcW w:w="1108" w:type="pct"/>
          </w:tcPr>
          <w:p w14:paraId="68954E3C" w14:textId="77777777" w:rsidR="00DD184E" w:rsidRDefault="00DD184E" w:rsidP="00DA31D9">
            <w:pPr>
              <w:spacing w:line="240" w:lineRule="auto"/>
              <w:jc w:val="center"/>
              <w:rPr>
                <w:rFonts w:cs="Calibri"/>
              </w:rPr>
            </w:pPr>
            <w:r>
              <w:rPr>
                <w:rFonts w:cs="Calibri"/>
              </w:rPr>
              <w:t>15</w:t>
            </w:r>
          </w:p>
        </w:tc>
      </w:tr>
      <w:tr w:rsidR="00DD184E" w:rsidRPr="00CF0E91" w14:paraId="68954E3F" w14:textId="77777777" w:rsidTr="00DA31D9">
        <w:trPr>
          <w:trHeight w:val="288"/>
        </w:trPr>
        <w:tc>
          <w:tcPr>
            <w:tcW w:w="5000" w:type="pct"/>
            <w:gridSpan w:val="3"/>
            <w:shd w:val="clear" w:color="auto" w:fill="F2F2F2" w:themeFill="background1" w:themeFillShade="F2"/>
          </w:tcPr>
          <w:p w14:paraId="68954E3E" w14:textId="77777777" w:rsidR="00DD184E" w:rsidRPr="000E291D" w:rsidRDefault="00DD184E" w:rsidP="00DA31D9">
            <w:pPr>
              <w:spacing w:line="240" w:lineRule="auto"/>
              <w:jc w:val="center"/>
              <w:rPr>
                <w:rFonts w:asciiTheme="minorHAnsi" w:eastAsiaTheme="minorEastAsia" w:hAnsiTheme="minorHAnsi" w:cstheme="minorHAnsi"/>
                <w:b/>
                <w:bCs/>
                <w:szCs w:val="20"/>
              </w:rPr>
            </w:pPr>
            <w:r w:rsidRPr="000E291D">
              <w:rPr>
                <w:rFonts w:asciiTheme="minorHAnsi" w:eastAsiaTheme="minorEastAsia" w:hAnsiTheme="minorHAnsi" w:cstheme="minorHAnsi"/>
                <w:b/>
                <w:bCs/>
                <w:szCs w:val="20"/>
              </w:rPr>
              <w:t>VTE Transition Probabilities</w:t>
            </w:r>
          </w:p>
        </w:tc>
      </w:tr>
      <w:tr w:rsidR="00DD184E" w:rsidRPr="00CF0E91" w14:paraId="68954E43" w14:textId="77777777" w:rsidTr="00DA31D9">
        <w:trPr>
          <w:trHeight w:val="288"/>
        </w:trPr>
        <w:tc>
          <w:tcPr>
            <w:tcW w:w="2783" w:type="pct"/>
          </w:tcPr>
          <w:p w14:paraId="68954E40" w14:textId="77777777" w:rsidR="00DD184E" w:rsidRPr="00CF0E91" w:rsidRDefault="00DD184E" w:rsidP="00DA31D9">
            <w:pPr>
              <w:spacing w:line="240" w:lineRule="auto"/>
              <w:rPr>
                <w:rFonts w:asciiTheme="minorHAnsi" w:eastAsiaTheme="minorEastAsia" w:hAnsiTheme="minorHAnsi" w:cstheme="minorBidi"/>
                <w:highlight w:val="yellow"/>
              </w:rPr>
            </w:pPr>
            <w:r w:rsidRPr="2979F22D">
              <w:rPr>
                <w:rFonts w:asciiTheme="minorHAnsi" w:eastAsiaTheme="minorEastAsia" w:hAnsiTheme="minorHAnsi" w:cstheme="minorBidi"/>
              </w:rPr>
              <w:t xml:space="preserve">Probability of VTE predischarge, </w:t>
            </w:r>
            <w:r w:rsidRPr="73CCEC83">
              <w:rPr>
                <w:rFonts w:asciiTheme="minorHAnsi" w:eastAsiaTheme="minorEastAsia" w:hAnsiTheme="minorHAnsi" w:cstheme="minorBidi"/>
              </w:rPr>
              <w:t>medical</w:t>
            </w:r>
            <w:r w:rsidRPr="2979F22D">
              <w:rPr>
                <w:rFonts w:asciiTheme="minorHAnsi" w:eastAsiaTheme="minorEastAsia" w:hAnsiTheme="minorHAnsi" w:cstheme="minorBidi"/>
              </w:rPr>
              <w:t xml:space="preserve"> (</w:t>
            </w:r>
            <w:r>
              <w:rPr>
                <w:rFonts w:asciiTheme="minorHAnsi" w:eastAsiaTheme="minorEastAsia" w:hAnsiTheme="minorHAnsi" w:cstheme="minorBidi"/>
              </w:rPr>
              <w:t>control</w:t>
            </w:r>
            <w:r w:rsidRPr="2979F22D">
              <w:rPr>
                <w:rFonts w:asciiTheme="minorHAnsi" w:eastAsiaTheme="minorEastAsia" w:hAnsiTheme="minorHAnsi" w:cstheme="minorBidi"/>
              </w:rPr>
              <w:t>)</w:t>
            </w:r>
          </w:p>
        </w:tc>
        <w:tc>
          <w:tcPr>
            <w:tcW w:w="1108" w:type="pct"/>
          </w:tcPr>
          <w:p w14:paraId="68954E41" w14:textId="77777777" w:rsidR="00DD184E" w:rsidRPr="000E291D" w:rsidRDefault="00DD184E" w:rsidP="00DA31D9">
            <w:pPr>
              <w:spacing w:line="240" w:lineRule="auto"/>
              <w:jc w:val="center"/>
              <w:rPr>
                <w:rFonts w:eastAsiaTheme="minorEastAsia" w:cstheme="minorHAnsi"/>
                <w:szCs w:val="20"/>
                <w:highlight w:val="yellow"/>
              </w:rPr>
            </w:pPr>
            <w:r w:rsidRPr="000E291D">
              <w:rPr>
                <w:rFonts w:eastAsiaTheme="minorEastAsia" w:cstheme="minorHAnsi"/>
                <w:szCs w:val="20"/>
              </w:rPr>
              <w:t>0.134%</w:t>
            </w:r>
          </w:p>
        </w:tc>
        <w:tc>
          <w:tcPr>
            <w:tcW w:w="1108" w:type="pct"/>
          </w:tcPr>
          <w:p w14:paraId="68954E42"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w:t>
            </w:r>
          </w:p>
        </w:tc>
      </w:tr>
      <w:tr w:rsidR="00DD184E" w:rsidRPr="00CF0E91" w14:paraId="68954E47" w14:textId="77777777" w:rsidTr="00DA31D9">
        <w:trPr>
          <w:trHeight w:val="288"/>
        </w:trPr>
        <w:tc>
          <w:tcPr>
            <w:tcW w:w="2783" w:type="pct"/>
          </w:tcPr>
          <w:p w14:paraId="68954E44" w14:textId="77777777" w:rsidR="00DD184E" w:rsidRPr="00E84FD2" w:rsidRDefault="00DD184E" w:rsidP="00DA31D9">
            <w:pPr>
              <w:spacing w:line="240" w:lineRule="auto"/>
              <w:rPr>
                <w:rFonts w:asciiTheme="minorHAnsi" w:hAnsiTheme="minorHAnsi" w:cstheme="minorBidi"/>
              </w:rPr>
            </w:pPr>
            <w:r w:rsidRPr="2979F22D">
              <w:rPr>
                <w:rFonts w:asciiTheme="minorHAnsi" w:hAnsiTheme="minorHAnsi" w:cstheme="minorBidi"/>
              </w:rPr>
              <w:t xml:space="preserve">Probability of VTE predischarge, </w:t>
            </w:r>
            <w:r w:rsidRPr="73CCEC83">
              <w:rPr>
                <w:rFonts w:asciiTheme="minorHAnsi" w:eastAsiaTheme="minorEastAsia" w:hAnsiTheme="minorHAnsi" w:cstheme="minorBidi"/>
              </w:rPr>
              <w:t>medical</w:t>
            </w:r>
            <w:r w:rsidRPr="2979F22D">
              <w:rPr>
                <w:rFonts w:asciiTheme="minorHAnsi" w:hAnsiTheme="minorHAnsi" w:cstheme="minorBidi"/>
              </w:rPr>
              <w:t xml:space="preserve"> (intervention)</w:t>
            </w:r>
          </w:p>
        </w:tc>
        <w:tc>
          <w:tcPr>
            <w:tcW w:w="1108" w:type="pct"/>
          </w:tcPr>
          <w:p w14:paraId="68954E45" w14:textId="77777777" w:rsidR="00DD184E" w:rsidRPr="000E291D" w:rsidRDefault="00DD184E" w:rsidP="00DA31D9">
            <w:pPr>
              <w:spacing w:line="240" w:lineRule="auto"/>
              <w:jc w:val="center"/>
              <w:rPr>
                <w:rFonts w:cs="Calibri"/>
                <w:szCs w:val="20"/>
              </w:rPr>
            </w:pPr>
            <w:r w:rsidRPr="000E291D">
              <w:rPr>
                <w:rFonts w:cs="Calibri"/>
                <w:szCs w:val="20"/>
              </w:rPr>
              <w:t>0.114%</w:t>
            </w:r>
          </w:p>
        </w:tc>
        <w:tc>
          <w:tcPr>
            <w:tcW w:w="1108" w:type="pct"/>
          </w:tcPr>
          <w:p w14:paraId="68954E46"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10, 1</w:t>
            </w:r>
          </w:p>
        </w:tc>
      </w:tr>
      <w:tr w:rsidR="00DD184E" w14:paraId="68954E4B" w14:textId="77777777" w:rsidTr="00DA31D9">
        <w:trPr>
          <w:trHeight w:val="288"/>
        </w:trPr>
        <w:tc>
          <w:tcPr>
            <w:tcW w:w="2783" w:type="pct"/>
          </w:tcPr>
          <w:p w14:paraId="68954E48" w14:textId="77777777" w:rsidR="00DD184E" w:rsidRDefault="00DD184E" w:rsidP="00DA31D9">
            <w:pPr>
              <w:spacing w:line="240" w:lineRule="auto"/>
              <w:rPr>
                <w:rFonts w:asciiTheme="minorHAnsi" w:hAnsiTheme="minorHAnsi" w:cstheme="minorBidi"/>
              </w:rPr>
            </w:pPr>
            <w:r w:rsidRPr="2979F22D">
              <w:rPr>
                <w:rFonts w:asciiTheme="minorHAnsi" w:hAnsiTheme="minorHAnsi" w:cstheme="minorBidi"/>
              </w:rPr>
              <w:t xml:space="preserve">Probability of VTE predischarge, </w:t>
            </w:r>
            <w:r w:rsidRPr="73CCEC83">
              <w:rPr>
                <w:rFonts w:asciiTheme="minorHAnsi" w:hAnsiTheme="minorHAnsi" w:cstheme="minorBidi"/>
              </w:rPr>
              <w:t>surgical/trauma</w:t>
            </w:r>
            <w:r w:rsidRPr="2979F22D">
              <w:rPr>
                <w:rFonts w:asciiTheme="minorHAnsi" w:hAnsiTheme="minorHAnsi" w:cstheme="minorBidi"/>
              </w:rPr>
              <w:t xml:space="preserve"> </w:t>
            </w:r>
            <w:r>
              <w:rPr>
                <w:rFonts w:asciiTheme="minorHAnsi" w:hAnsiTheme="minorHAnsi" w:cstheme="minorBidi"/>
              </w:rPr>
              <w:t>(control</w:t>
            </w:r>
            <w:r w:rsidRPr="2979F22D">
              <w:rPr>
                <w:rFonts w:asciiTheme="minorHAnsi" w:hAnsiTheme="minorHAnsi" w:cstheme="minorBidi"/>
              </w:rPr>
              <w:t>)</w:t>
            </w:r>
          </w:p>
        </w:tc>
        <w:tc>
          <w:tcPr>
            <w:tcW w:w="1108" w:type="pct"/>
          </w:tcPr>
          <w:p w14:paraId="68954E49" w14:textId="77777777" w:rsidR="00DD184E" w:rsidRDefault="00DD184E" w:rsidP="00DA31D9">
            <w:pPr>
              <w:spacing w:line="240" w:lineRule="auto"/>
              <w:jc w:val="center"/>
              <w:rPr>
                <w:rFonts w:cs="Calibri"/>
              </w:rPr>
            </w:pPr>
            <w:r w:rsidRPr="2979F22D">
              <w:rPr>
                <w:rFonts w:cs="Calibri"/>
              </w:rPr>
              <w:t>3.439%</w:t>
            </w:r>
          </w:p>
        </w:tc>
        <w:tc>
          <w:tcPr>
            <w:tcW w:w="1108" w:type="pct"/>
          </w:tcPr>
          <w:p w14:paraId="68954E4A" w14:textId="77777777" w:rsidR="00DD184E" w:rsidRDefault="00DD184E" w:rsidP="00DA31D9">
            <w:pPr>
              <w:spacing w:line="240" w:lineRule="auto"/>
              <w:jc w:val="center"/>
              <w:rPr>
                <w:rFonts w:cs="Calibri"/>
              </w:rPr>
            </w:pPr>
            <w:r>
              <w:rPr>
                <w:rFonts w:cs="Calibri"/>
              </w:rPr>
              <w:t>6</w:t>
            </w:r>
          </w:p>
        </w:tc>
      </w:tr>
      <w:tr w:rsidR="00DD184E" w14:paraId="68954E4F" w14:textId="77777777" w:rsidTr="00DA31D9">
        <w:trPr>
          <w:trHeight w:val="288"/>
        </w:trPr>
        <w:tc>
          <w:tcPr>
            <w:tcW w:w="2783" w:type="pct"/>
          </w:tcPr>
          <w:p w14:paraId="68954E4C" w14:textId="77777777" w:rsidR="00DD184E" w:rsidRDefault="00DD184E" w:rsidP="00DA31D9">
            <w:pPr>
              <w:spacing w:line="240" w:lineRule="auto"/>
              <w:rPr>
                <w:rFonts w:asciiTheme="minorHAnsi" w:hAnsiTheme="minorHAnsi" w:cstheme="minorBidi"/>
              </w:rPr>
            </w:pPr>
            <w:r w:rsidRPr="2979F22D">
              <w:rPr>
                <w:rFonts w:asciiTheme="minorHAnsi" w:hAnsiTheme="minorHAnsi" w:cstheme="minorBidi"/>
              </w:rPr>
              <w:t xml:space="preserve">Probability of VTE predischarge, </w:t>
            </w:r>
            <w:r w:rsidRPr="73CCEC83">
              <w:rPr>
                <w:rFonts w:asciiTheme="minorHAnsi" w:hAnsiTheme="minorHAnsi" w:cstheme="minorBidi"/>
              </w:rPr>
              <w:t>surgical/trauma</w:t>
            </w:r>
            <w:r w:rsidRPr="2979F22D">
              <w:rPr>
                <w:rFonts w:asciiTheme="minorHAnsi" w:hAnsiTheme="minorHAnsi" w:cstheme="minorBidi"/>
              </w:rPr>
              <w:t xml:space="preserve"> (intervention)</w:t>
            </w:r>
          </w:p>
        </w:tc>
        <w:tc>
          <w:tcPr>
            <w:tcW w:w="1108" w:type="pct"/>
          </w:tcPr>
          <w:p w14:paraId="68954E4D" w14:textId="77777777" w:rsidR="00DD184E" w:rsidRDefault="00DD184E" w:rsidP="00DA31D9">
            <w:pPr>
              <w:spacing w:line="240" w:lineRule="auto"/>
              <w:jc w:val="center"/>
              <w:rPr>
                <w:rFonts w:cs="Calibri"/>
              </w:rPr>
            </w:pPr>
            <w:r w:rsidRPr="2979F22D">
              <w:rPr>
                <w:rFonts w:cs="Calibri"/>
              </w:rPr>
              <w:t>1.193%</w:t>
            </w:r>
          </w:p>
        </w:tc>
        <w:tc>
          <w:tcPr>
            <w:tcW w:w="1108" w:type="pct"/>
          </w:tcPr>
          <w:p w14:paraId="68954E4E" w14:textId="77777777" w:rsidR="00DD184E" w:rsidRDefault="00DD184E" w:rsidP="00DA31D9">
            <w:pPr>
              <w:spacing w:line="240" w:lineRule="auto"/>
              <w:jc w:val="center"/>
              <w:rPr>
                <w:rFonts w:cs="Calibri"/>
              </w:rPr>
            </w:pPr>
            <w:r>
              <w:rPr>
                <w:rFonts w:cs="Calibri"/>
              </w:rPr>
              <w:t>6</w:t>
            </w:r>
          </w:p>
        </w:tc>
      </w:tr>
      <w:tr w:rsidR="00DD184E" w:rsidRPr="00CF0E91" w14:paraId="68954E53" w14:textId="77777777" w:rsidTr="00DA31D9">
        <w:trPr>
          <w:trHeight w:val="288"/>
        </w:trPr>
        <w:tc>
          <w:tcPr>
            <w:tcW w:w="2783" w:type="pct"/>
          </w:tcPr>
          <w:p w14:paraId="68954E50" w14:textId="77777777" w:rsidR="00DD184E" w:rsidRPr="00CF0E91"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Probability of </w:t>
            </w:r>
            <w:r>
              <w:rPr>
                <w:rFonts w:asciiTheme="minorHAnsi" w:eastAsiaTheme="minorEastAsia" w:hAnsiTheme="minorHAnsi" w:cstheme="minorHAnsi"/>
                <w:szCs w:val="20"/>
              </w:rPr>
              <w:t>h</w:t>
            </w:r>
            <w:r w:rsidRPr="000E291D">
              <w:rPr>
                <w:rFonts w:asciiTheme="minorHAnsi" w:eastAsiaTheme="minorEastAsia" w:hAnsiTheme="minorHAnsi" w:cstheme="minorHAnsi"/>
                <w:szCs w:val="20"/>
              </w:rPr>
              <w:t>ospital-related VTE</w:t>
            </w:r>
          </w:p>
        </w:tc>
        <w:tc>
          <w:tcPr>
            <w:tcW w:w="1108" w:type="pct"/>
          </w:tcPr>
          <w:p w14:paraId="68954E51" w14:textId="77777777" w:rsidR="00DD184E" w:rsidRPr="000E291D" w:rsidRDefault="00DD184E" w:rsidP="00DA31D9">
            <w:pPr>
              <w:spacing w:line="240" w:lineRule="auto"/>
              <w:jc w:val="center"/>
              <w:rPr>
                <w:rFonts w:cs="Calibri"/>
                <w:color w:val="7030A0"/>
                <w:szCs w:val="20"/>
              </w:rPr>
            </w:pPr>
            <w:r w:rsidRPr="000E291D">
              <w:rPr>
                <w:rFonts w:cs="Calibri"/>
                <w:szCs w:val="20"/>
              </w:rPr>
              <w:t>0.528%</w:t>
            </w:r>
          </w:p>
        </w:tc>
        <w:tc>
          <w:tcPr>
            <w:tcW w:w="1108" w:type="pct"/>
          </w:tcPr>
          <w:p w14:paraId="68954E52"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w:t>
            </w:r>
          </w:p>
        </w:tc>
      </w:tr>
      <w:tr w:rsidR="00DD184E" w:rsidRPr="00CF0E91" w14:paraId="68954E57" w14:textId="77777777" w:rsidTr="00DA31D9">
        <w:trPr>
          <w:trHeight w:val="288"/>
        </w:trPr>
        <w:tc>
          <w:tcPr>
            <w:tcW w:w="2783" w:type="pct"/>
          </w:tcPr>
          <w:p w14:paraId="68954E54" w14:textId="77777777" w:rsidR="00DD184E" w:rsidRPr="00CF0E91"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Probability of </w:t>
            </w:r>
            <w:r>
              <w:rPr>
                <w:rFonts w:asciiTheme="minorHAnsi" w:eastAsiaTheme="minorEastAsia" w:hAnsiTheme="minorHAnsi" w:cstheme="minorHAnsi"/>
                <w:szCs w:val="20"/>
              </w:rPr>
              <w:t>r</w:t>
            </w:r>
            <w:r w:rsidRPr="000E291D">
              <w:rPr>
                <w:rFonts w:asciiTheme="minorHAnsi" w:eastAsiaTheme="minorEastAsia" w:hAnsiTheme="minorHAnsi" w:cstheme="minorHAnsi"/>
                <w:szCs w:val="20"/>
              </w:rPr>
              <w:t>ecurrence</w:t>
            </w:r>
          </w:p>
        </w:tc>
        <w:tc>
          <w:tcPr>
            <w:tcW w:w="1108" w:type="pct"/>
          </w:tcPr>
          <w:p w14:paraId="68954E55" w14:textId="77777777" w:rsidR="00DD184E" w:rsidRPr="000E291D" w:rsidRDefault="00DD184E" w:rsidP="00DA31D9">
            <w:pPr>
              <w:spacing w:line="240" w:lineRule="auto"/>
              <w:jc w:val="center"/>
              <w:rPr>
                <w:rFonts w:cs="Calibri"/>
                <w:color w:val="7030A0"/>
                <w:szCs w:val="20"/>
              </w:rPr>
            </w:pPr>
            <w:r w:rsidRPr="000E291D">
              <w:rPr>
                <w:rFonts w:cs="Calibri"/>
                <w:szCs w:val="20"/>
              </w:rPr>
              <w:t>2.761%</w:t>
            </w:r>
          </w:p>
        </w:tc>
        <w:tc>
          <w:tcPr>
            <w:tcW w:w="1108" w:type="pct"/>
          </w:tcPr>
          <w:p w14:paraId="68954E56"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27</w:t>
            </w:r>
          </w:p>
        </w:tc>
      </w:tr>
      <w:tr w:rsidR="00DD184E" w:rsidRPr="000E291D" w14:paraId="68954E59" w14:textId="77777777" w:rsidTr="00DA31D9">
        <w:trPr>
          <w:trHeight w:val="288"/>
        </w:trPr>
        <w:tc>
          <w:tcPr>
            <w:tcW w:w="5000" w:type="pct"/>
            <w:gridSpan w:val="3"/>
            <w:shd w:val="clear" w:color="auto" w:fill="F2F2F2" w:themeFill="background1" w:themeFillShade="F2"/>
          </w:tcPr>
          <w:p w14:paraId="68954E58" w14:textId="77777777" w:rsidR="00DD184E" w:rsidRPr="000E291D" w:rsidRDefault="00DD184E" w:rsidP="00DA31D9">
            <w:pPr>
              <w:spacing w:line="240" w:lineRule="auto"/>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Mortality</w:t>
            </w:r>
            <w:r w:rsidRPr="000E291D">
              <w:rPr>
                <w:rFonts w:asciiTheme="minorHAnsi" w:eastAsiaTheme="minorEastAsia" w:hAnsiTheme="minorHAnsi" w:cstheme="minorHAnsi"/>
                <w:b/>
                <w:bCs/>
                <w:szCs w:val="20"/>
              </w:rPr>
              <w:t xml:space="preserve"> Transition Probabilities</w:t>
            </w:r>
          </w:p>
        </w:tc>
      </w:tr>
      <w:tr w:rsidR="00DD184E" w:rsidRPr="00CF0E91" w14:paraId="68954E5D" w14:textId="77777777" w:rsidTr="00DA31D9">
        <w:trPr>
          <w:trHeight w:val="288"/>
        </w:trPr>
        <w:tc>
          <w:tcPr>
            <w:tcW w:w="2783" w:type="pct"/>
          </w:tcPr>
          <w:p w14:paraId="68954E5A" w14:textId="77777777" w:rsidR="00DD184E" w:rsidRPr="00E84FD2"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Mortality </w:t>
            </w:r>
            <w:r>
              <w:rPr>
                <w:rFonts w:asciiTheme="minorHAnsi" w:eastAsiaTheme="minorEastAsia" w:hAnsiTheme="minorHAnsi" w:cstheme="minorHAnsi"/>
                <w:szCs w:val="20"/>
              </w:rPr>
              <w:t>r</w:t>
            </w:r>
            <w:r w:rsidRPr="000E291D">
              <w:rPr>
                <w:rFonts w:asciiTheme="minorHAnsi" w:eastAsiaTheme="minorEastAsia" w:hAnsiTheme="minorHAnsi" w:cstheme="minorHAnsi"/>
                <w:szCs w:val="20"/>
              </w:rPr>
              <w:t xml:space="preserve">ate </w:t>
            </w:r>
            <w:r>
              <w:rPr>
                <w:rFonts w:asciiTheme="minorHAnsi" w:eastAsiaTheme="minorEastAsia" w:hAnsiTheme="minorHAnsi" w:cstheme="minorHAnsi"/>
                <w:szCs w:val="20"/>
              </w:rPr>
              <w:t>a</w:t>
            </w:r>
            <w:r w:rsidRPr="000E291D">
              <w:rPr>
                <w:rFonts w:asciiTheme="minorHAnsi" w:eastAsiaTheme="minorEastAsia" w:hAnsiTheme="minorHAnsi" w:cstheme="minorHAnsi"/>
                <w:szCs w:val="20"/>
              </w:rPr>
              <w:t>mong U</w:t>
            </w:r>
            <w:r>
              <w:rPr>
                <w:rFonts w:asciiTheme="minorHAnsi" w:eastAsiaTheme="minorEastAsia" w:hAnsiTheme="minorHAnsi" w:cstheme="minorHAnsi"/>
                <w:szCs w:val="20"/>
              </w:rPr>
              <w:t>.</w:t>
            </w:r>
            <w:r w:rsidRPr="000E291D">
              <w:rPr>
                <w:rFonts w:asciiTheme="minorHAnsi" w:eastAsiaTheme="minorEastAsia" w:hAnsiTheme="minorHAnsi" w:cstheme="minorHAnsi"/>
                <w:szCs w:val="20"/>
              </w:rPr>
              <w:t>S</w:t>
            </w:r>
            <w:r>
              <w:rPr>
                <w:rFonts w:asciiTheme="minorHAnsi" w:eastAsiaTheme="minorEastAsia" w:hAnsiTheme="minorHAnsi" w:cstheme="minorHAnsi"/>
                <w:szCs w:val="20"/>
              </w:rPr>
              <w:t>.</w:t>
            </w:r>
            <w:r w:rsidRPr="000E291D">
              <w:rPr>
                <w:rFonts w:asciiTheme="minorHAnsi" w:eastAsiaTheme="minorEastAsia" w:hAnsiTheme="minorHAnsi" w:cstheme="minorHAnsi"/>
                <w:szCs w:val="20"/>
              </w:rPr>
              <w:t xml:space="preserve"> </w:t>
            </w:r>
            <w:r>
              <w:rPr>
                <w:rFonts w:asciiTheme="minorHAnsi" w:eastAsiaTheme="minorEastAsia" w:hAnsiTheme="minorHAnsi" w:cstheme="minorHAnsi"/>
                <w:szCs w:val="20"/>
              </w:rPr>
              <w:t>h</w:t>
            </w:r>
            <w:r w:rsidRPr="000E291D">
              <w:rPr>
                <w:rFonts w:asciiTheme="minorHAnsi" w:eastAsiaTheme="minorEastAsia" w:hAnsiTheme="minorHAnsi" w:cstheme="minorHAnsi"/>
                <w:szCs w:val="20"/>
              </w:rPr>
              <w:t xml:space="preserve">ospitalized </w:t>
            </w:r>
            <w:r>
              <w:rPr>
                <w:rFonts w:asciiTheme="minorHAnsi" w:eastAsiaTheme="minorEastAsia" w:hAnsiTheme="minorHAnsi" w:cstheme="minorHAnsi"/>
                <w:szCs w:val="20"/>
              </w:rPr>
              <w:t>a</w:t>
            </w:r>
            <w:r w:rsidRPr="000E291D">
              <w:rPr>
                <w:rFonts w:asciiTheme="minorHAnsi" w:eastAsiaTheme="minorEastAsia" w:hAnsiTheme="minorHAnsi" w:cstheme="minorHAnsi"/>
                <w:szCs w:val="20"/>
              </w:rPr>
              <w:t>dults</w:t>
            </w:r>
            <w:r>
              <w:rPr>
                <w:rFonts w:asciiTheme="minorHAnsi" w:eastAsiaTheme="minorEastAsia" w:hAnsiTheme="minorHAnsi" w:cstheme="minorHAnsi"/>
                <w:szCs w:val="20"/>
              </w:rPr>
              <w:t xml:space="preserve"> (at risk of VTE)</w:t>
            </w:r>
          </w:p>
        </w:tc>
        <w:tc>
          <w:tcPr>
            <w:tcW w:w="1108" w:type="pct"/>
          </w:tcPr>
          <w:p w14:paraId="68954E5B" w14:textId="77777777" w:rsidR="00DD184E" w:rsidRPr="000E291D" w:rsidRDefault="00DD184E" w:rsidP="00DA31D9">
            <w:pPr>
              <w:spacing w:line="240" w:lineRule="auto"/>
              <w:jc w:val="center"/>
              <w:rPr>
                <w:rFonts w:cs="Calibri"/>
                <w:szCs w:val="20"/>
              </w:rPr>
            </w:pPr>
            <w:r w:rsidRPr="000E291D">
              <w:rPr>
                <w:rFonts w:cs="Calibri"/>
                <w:szCs w:val="20"/>
              </w:rPr>
              <w:t>1.436%</w:t>
            </w:r>
          </w:p>
        </w:tc>
        <w:tc>
          <w:tcPr>
            <w:tcW w:w="1108" w:type="pct"/>
          </w:tcPr>
          <w:p w14:paraId="68954E5C"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28</w:t>
            </w:r>
          </w:p>
        </w:tc>
      </w:tr>
      <w:tr w:rsidR="00DD184E" w:rsidRPr="00CF0E91" w14:paraId="68954E61" w14:textId="77777777" w:rsidTr="00DA31D9">
        <w:trPr>
          <w:trHeight w:val="288"/>
        </w:trPr>
        <w:tc>
          <w:tcPr>
            <w:tcW w:w="2783" w:type="pct"/>
          </w:tcPr>
          <w:p w14:paraId="68954E5E" w14:textId="77777777" w:rsidR="00DD184E" w:rsidRPr="00E84FD2"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Mortality </w:t>
            </w:r>
            <w:r>
              <w:rPr>
                <w:rFonts w:asciiTheme="minorHAnsi" w:eastAsiaTheme="minorEastAsia" w:hAnsiTheme="minorHAnsi" w:cstheme="minorHAnsi"/>
                <w:szCs w:val="20"/>
              </w:rPr>
              <w:t>r</w:t>
            </w:r>
            <w:r w:rsidRPr="000E291D">
              <w:rPr>
                <w:rFonts w:asciiTheme="minorHAnsi" w:eastAsiaTheme="minorEastAsia" w:hAnsiTheme="minorHAnsi" w:cstheme="minorHAnsi"/>
                <w:szCs w:val="20"/>
              </w:rPr>
              <w:t xml:space="preserve">ate </w:t>
            </w:r>
            <w:r>
              <w:rPr>
                <w:rFonts w:asciiTheme="minorHAnsi" w:eastAsiaTheme="minorEastAsia" w:hAnsiTheme="minorHAnsi" w:cstheme="minorHAnsi"/>
                <w:szCs w:val="20"/>
              </w:rPr>
              <w:t>a</w:t>
            </w:r>
            <w:r w:rsidRPr="000E291D">
              <w:rPr>
                <w:rFonts w:asciiTheme="minorHAnsi" w:eastAsiaTheme="minorEastAsia" w:hAnsiTheme="minorHAnsi" w:cstheme="minorHAnsi"/>
                <w:szCs w:val="20"/>
              </w:rPr>
              <w:t xml:space="preserve">mong </w:t>
            </w:r>
            <w:r>
              <w:rPr>
                <w:rFonts w:asciiTheme="minorHAnsi" w:eastAsiaTheme="minorEastAsia" w:hAnsiTheme="minorHAnsi" w:cstheme="minorHAnsi"/>
                <w:szCs w:val="20"/>
              </w:rPr>
              <w:t>a</w:t>
            </w:r>
            <w:r w:rsidRPr="000E291D">
              <w:rPr>
                <w:rFonts w:asciiTheme="minorHAnsi" w:eastAsiaTheme="minorEastAsia" w:hAnsiTheme="minorHAnsi" w:cstheme="minorHAnsi"/>
                <w:szCs w:val="20"/>
              </w:rPr>
              <w:t>dults with VTE (in-hospital)</w:t>
            </w:r>
          </w:p>
        </w:tc>
        <w:tc>
          <w:tcPr>
            <w:tcW w:w="1108" w:type="pct"/>
          </w:tcPr>
          <w:p w14:paraId="68954E5F" w14:textId="77777777" w:rsidR="00DD184E" w:rsidRPr="000E291D" w:rsidRDefault="00DD184E" w:rsidP="00DA31D9">
            <w:pPr>
              <w:spacing w:line="240" w:lineRule="auto"/>
              <w:jc w:val="center"/>
              <w:rPr>
                <w:rFonts w:cs="Calibri"/>
                <w:szCs w:val="20"/>
              </w:rPr>
            </w:pPr>
            <w:r w:rsidRPr="000E291D">
              <w:rPr>
                <w:rFonts w:cs="Calibri"/>
                <w:szCs w:val="20"/>
              </w:rPr>
              <w:t>5.400%</w:t>
            </w:r>
          </w:p>
        </w:tc>
        <w:tc>
          <w:tcPr>
            <w:tcW w:w="1108" w:type="pct"/>
          </w:tcPr>
          <w:p w14:paraId="68954E60"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29</w:t>
            </w:r>
          </w:p>
        </w:tc>
      </w:tr>
      <w:tr w:rsidR="00DD184E" w:rsidRPr="00CF0E91" w14:paraId="68954E65" w14:textId="77777777" w:rsidTr="00DA31D9">
        <w:trPr>
          <w:trHeight w:val="288"/>
        </w:trPr>
        <w:tc>
          <w:tcPr>
            <w:tcW w:w="2783" w:type="pct"/>
          </w:tcPr>
          <w:p w14:paraId="68954E62" w14:textId="77777777" w:rsidR="00DD184E" w:rsidRPr="00E84FD2"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Probability of </w:t>
            </w:r>
            <w:r>
              <w:rPr>
                <w:rFonts w:asciiTheme="minorHAnsi" w:eastAsiaTheme="minorEastAsia" w:hAnsiTheme="minorHAnsi" w:cstheme="minorHAnsi"/>
                <w:szCs w:val="20"/>
              </w:rPr>
              <w:t>m</w:t>
            </w:r>
            <w:r w:rsidRPr="000E291D">
              <w:rPr>
                <w:rFonts w:asciiTheme="minorHAnsi" w:eastAsiaTheme="minorEastAsia" w:hAnsiTheme="minorHAnsi" w:cstheme="minorHAnsi"/>
                <w:szCs w:val="20"/>
              </w:rPr>
              <w:t xml:space="preserve">ortality in </w:t>
            </w:r>
            <w:r>
              <w:rPr>
                <w:rFonts w:asciiTheme="minorHAnsi" w:eastAsiaTheme="minorEastAsia" w:hAnsiTheme="minorHAnsi" w:cstheme="minorHAnsi"/>
                <w:szCs w:val="20"/>
              </w:rPr>
              <w:t>p</w:t>
            </w:r>
            <w:r w:rsidRPr="000E291D">
              <w:rPr>
                <w:rFonts w:asciiTheme="minorHAnsi" w:eastAsiaTheme="minorEastAsia" w:hAnsiTheme="minorHAnsi" w:cstheme="minorHAnsi"/>
                <w:szCs w:val="20"/>
              </w:rPr>
              <w:t>ost-VTE state</w:t>
            </w:r>
          </w:p>
        </w:tc>
        <w:tc>
          <w:tcPr>
            <w:tcW w:w="1108" w:type="pct"/>
          </w:tcPr>
          <w:p w14:paraId="68954E63" w14:textId="77777777" w:rsidR="00DD184E" w:rsidRPr="000E291D" w:rsidRDefault="00DD184E" w:rsidP="00DA31D9">
            <w:pPr>
              <w:spacing w:line="240" w:lineRule="auto"/>
              <w:jc w:val="center"/>
              <w:rPr>
                <w:rFonts w:cs="Calibri"/>
                <w:color w:val="7030A0"/>
                <w:szCs w:val="20"/>
              </w:rPr>
            </w:pPr>
            <w:r w:rsidRPr="000E291D">
              <w:rPr>
                <w:rFonts w:cs="Calibri"/>
                <w:szCs w:val="20"/>
              </w:rPr>
              <w:t>0.946%</w:t>
            </w:r>
          </w:p>
        </w:tc>
        <w:tc>
          <w:tcPr>
            <w:tcW w:w="1108" w:type="pct"/>
          </w:tcPr>
          <w:p w14:paraId="68954E64"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3</w:t>
            </w:r>
          </w:p>
        </w:tc>
      </w:tr>
      <w:tr w:rsidR="00DD184E" w:rsidRPr="000E291D" w14:paraId="68954E67" w14:textId="77777777" w:rsidTr="00DA31D9">
        <w:trPr>
          <w:trHeight w:val="288"/>
        </w:trPr>
        <w:tc>
          <w:tcPr>
            <w:tcW w:w="5000" w:type="pct"/>
            <w:gridSpan w:val="3"/>
            <w:shd w:val="clear" w:color="auto" w:fill="F2F2F2" w:themeFill="background1" w:themeFillShade="F2"/>
          </w:tcPr>
          <w:p w14:paraId="68954E66" w14:textId="77777777" w:rsidR="00DD184E" w:rsidRPr="000E291D" w:rsidRDefault="00DD184E" w:rsidP="00DA31D9">
            <w:pPr>
              <w:spacing w:line="240" w:lineRule="auto"/>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PCORI Study Findings</w:t>
            </w:r>
          </w:p>
        </w:tc>
      </w:tr>
      <w:tr w:rsidR="00DD184E" w:rsidRPr="00CF0E91" w14:paraId="68954E6B" w14:textId="77777777" w:rsidTr="00DA31D9">
        <w:trPr>
          <w:trHeight w:val="288"/>
        </w:trPr>
        <w:tc>
          <w:tcPr>
            <w:tcW w:w="2783" w:type="pct"/>
          </w:tcPr>
          <w:p w14:paraId="68954E68" w14:textId="77777777" w:rsidR="00DD184E" w:rsidRPr="000E291D"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Increase in VTE dose administration </w:t>
            </w:r>
            <w:r>
              <w:rPr>
                <w:rFonts w:asciiTheme="minorHAnsi" w:eastAsiaTheme="minorEastAsia" w:hAnsiTheme="minorHAnsi" w:cstheme="minorHAnsi"/>
                <w:szCs w:val="20"/>
              </w:rPr>
              <w:t>as a result of e</w:t>
            </w:r>
            <w:r w:rsidRPr="000E291D">
              <w:rPr>
                <w:rFonts w:asciiTheme="minorHAnsi" w:eastAsiaTheme="minorEastAsia" w:hAnsiTheme="minorHAnsi" w:cstheme="minorHAnsi"/>
                <w:szCs w:val="20"/>
              </w:rPr>
              <w:t xml:space="preserve">ducation </w:t>
            </w:r>
            <w:r>
              <w:rPr>
                <w:rFonts w:asciiTheme="minorHAnsi" w:eastAsiaTheme="minorEastAsia" w:hAnsiTheme="minorHAnsi" w:cstheme="minorHAnsi"/>
                <w:szCs w:val="20"/>
              </w:rPr>
              <w:t>b</w:t>
            </w:r>
            <w:r w:rsidRPr="000E291D">
              <w:rPr>
                <w:rFonts w:asciiTheme="minorHAnsi" w:eastAsiaTheme="minorEastAsia" w:hAnsiTheme="minorHAnsi" w:cstheme="minorHAnsi"/>
                <w:szCs w:val="20"/>
              </w:rPr>
              <w:t>undle</w:t>
            </w:r>
          </w:p>
        </w:tc>
        <w:tc>
          <w:tcPr>
            <w:tcW w:w="1108" w:type="pct"/>
          </w:tcPr>
          <w:p w14:paraId="68954E69" w14:textId="77777777" w:rsidR="00DD184E" w:rsidRPr="000E291D" w:rsidRDefault="00DD184E" w:rsidP="00DA31D9">
            <w:pPr>
              <w:spacing w:line="240" w:lineRule="auto"/>
              <w:jc w:val="center"/>
              <w:rPr>
                <w:rFonts w:cs="Calibri"/>
                <w:szCs w:val="20"/>
              </w:rPr>
            </w:pPr>
            <w:r>
              <w:rPr>
                <w:rFonts w:cs="Calibri"/>
                <w:szCs w:val="20"/>
              </w:rPr>
              <w:t>0.632</w:t>
            </w:r>
          </w:p>
        </w:tc>
        <w:tc>
          <w:tcPr>
            <w:tcW w:w="1108" w:type="pct"/>
          </w:tcPr>
          <w:p w14:paraId="68954E6A"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10</w:t>
            </w:r>
          </w:p>
        </w:tc>
      </w:tr>
      <w:tr w:rsidR="00DD184E" w:rsidRPr="00CF0E91" w14:paraId="68954E6F" w14:textId="77777777" w:rsidTr="00DA31D9">
        <w:trPr>
          <w:trHeight w:val="288"/>
        </w:trPr>
        <w:tc>
          <w:tcPr>
            <w:tcW w:w="2783" w:type="pct"/>
          </w:tcPr>
          <w:p w14:paraId="68954E6C" w14:textId="77777777" w:rsidR="00DD184E" w:rsidRPr="000E291D" w:rsidRDefault="00DD184E" w:rsidP="00DA31D9">
            <w:pPr>
              <w:spacing w:line="240" w:lineRule="auto"/>
              <w:rPr>
                <w:rFonts w:eastAsiaTheme="minorEastAsia" w:cstheme="minorHAnsi"/>
                <w:szCs w:val="20"/>
              </w:rPr>
            </w:pPr>
            <w:r w:rsidRPr="009606AD">
              <w:t>Decrease in any missed dose as a result of education bundle</w:t>
            </w:r>
          </w:p>
        </w:tc>
        <w:tc>
          <w:tcPr>
            <w:tcW w:w="1108" w:type="pct"/>
          </w:tcPr>
          <w:p w14:paraId="68954E6D" w14:textId="77777777" w:rsidR="00DD184E" w:rsidRPr="000E291D" w:rsidRDefault="00DD184E" w:rsidP="00DA31D9">
            <w:pPr>
              <w:spacing w:line="240" w:lineRule="auto"/>
              <w:jc w:val="center"/>
              <w:rPr>
                <w:rFonts w:cs="Calibri"/>
                <w:szCs w:val="20"/>
              </w:rPr>
            </w:pPr>
            <w:r w:rsidRPr="00956B62">
              <w:t>3.500%</w:t>
            </w:r>
          </w:p>
        </w:tc>
        <w:tc>
          <w:tcPr>
            <w:tcW w:w="1108" w:type="pct"/>
          </w:tcPr>
          <w:p w14:paraId="68954E6E" w14:textId="77777777" w:rsidR="00DD184E" w:rsidRPr="003F7450" w:rsidRDefault="00DD184E" w:rsidP="00DA31D9">
            <w:pPr>
              <w:spacing w:line="240" w:lineRule="auto"/>
              <w:jc w:val="center"/>
              <w:rPr>
                <w:rFonts w:eastAsiaTheme="minorEastAsia" w:cstheme="minorHAnsi"/>
                <w:szCs w:val="20"/>
              </w:rPr>
            </w:pPr>
            <w:r>
              <w:rPr>
                <w:rFonts w:cs="Calibri"/>
              </w:rPr>
              <w:t>10</w:t>
            </w:r>
          </w:p>
        </w:tc>
      </w:tr>
      <w:tr w:rsidR="00DD184E" w:rsidRPr="00CF0E91" w14:paraId="68954E73" w14:textId="77777777" w:rsidTr="00DA31D9">
        <w:trPr>
          <w:trHeight w:val="288"/>
        </w:trPr>
        <w:tc>
          <w:tcPr>
            <w:tcW w:w="2783" w:type="pct"/>
          </w:tcPr>
          <w:p w14:paraId="68954E70" w14:textId="77777777" w:rsidR="00DD184E" w:rsidRPr="000E291D" w:rsidRDefault="00DD184E" w:rsidP="00DA31D9">
            <w:pPr>
              <w:spacing w:line="240" w:lineRule="auto"/>
              <w:rPr>
                <w:rFonts w:eastAsiaTheme="minorEastAsia" w:cstheme="minorHAnsi"/>
                <w:szCs w:val="20"/>
              </w:rPr>
            </w:pPr>
            <w:r w:rsidRPr="009606AD">
              <w:t>Percentage of at-risk population who miss a dose and receive the intervention</w:t>
            </w:r>
          </w:p>
        </w:tc>
        <w:tc>
          <w:tcPr>
            <w:tcW w:w="1108" w:type="pct"/>
          </w:tcPr>
          <w:p w14:paraId="68954E71" w14:textId="77777777" w:rsidR="00DD184E" w:rsidRPr="000E291D" w:rsidRDefault="00DD184E" w:rsidP="00DA31D9">
            <w:pPr>
              <w:spacing w:line="240" w:lineRule="auto"/>
              <w:jc w:val="center"/>
              <w:rPr>
                <w:rFonts w:cs="Calibri"/>
                <w:szCs w:val="20"/>
              </w:rPr>
            </w:pPr>
            <w:r w:rsidRPr="00956B62">
              <w:t>8.743%</w:t>
            </w:r>
          </w:p>
        </w:tc>
        <w:tc>
          <w:tcPr>
            <w:tcW w:w="1108" w:type="pct"/>
          </w:tcPr>
          <w:p w14:paraId="68954E72" w14:textId="77777777" w:rsidR="00DD184E" w:rsidRPr="003F7450" w:rsidRDefault="00DD184E" w:rsidP="00DA31D9">
            <w:pPr>
              <w:spacing w:line="240" w:lineRule="auto"/>
              <w:jc w:val="center"/>
              <w:rPr>
                <w:rFonts w:eastAsiaTheme="minorEastAsia" w:cstheme="minorHAnsi"/>
                <w:szCs w:val="20"/>
              </w:rPr>
            </w:pPr>
            <w:r>
              <w:rPr>
                <w:rFonts w:cs="Calibri"/>
              </w:rPr>
              <w:t>10</w:t>
            </w:r>
          </w:p>
        </w:tc>
      </w:tr>
      <w:tr w:rsidR="00DD184E" w:rsidRPr="00CF0E91" w14:paraId="68954E77" w14:textId="77777777" w:rsidTr="00DA31D9">
        <w:trPr>
          <w:trHeight w:val="288"/>
        </w:trPr>
        <w:tc>
          <w:tcPr>
            <w:tcW w:w="2783" w:type="pct"/>
          </w:tcPr>
          <w:p w14:paraId="68954E74" w14:textId="77777777" w:rsidR="00DD184E" w:rsidRPr="000E291D"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Decrease in VTE event rate </w:t>
            </w:r>
          </w:p>
        </w:tc>
        <w:tc>
          <w:tcPr>
            <w:tcW w:w="1108" w:type="pct"/>
          </w:tcPr>
          <w:p w14:paraId="68954E75" w14:textId="77777777" w:rsidR="00DD184E" w:rsidRPr="000E291D" w:rsidRDefault="00DD184E" w:rsidP="00DA31D9">
            <w:pPr>
              <w:spacing w:line="240" w:lineRule="auto"/>
              <w:jc w:val="center"/>
              <w:rPr>
                <w:rFonts w:cs="Calibri"/>
                <w:color w:val="7030A0"/>
                <w:szCs w:val="20"/>
              </w:rPr>
            </w:pPr>
            <w:r w:rsidRPr="000E291D">
              <w:rPr>
                <w:rFonts w:cs="Calibri"/>
                <w:szCs w:val="20"/>
              </w:rPr>
              <w:t>0.08</w:t>
            </w:r>
            <w:r>
              <w:rPr>
                <w:rFonts w:cs="Calibri"/>
                <w:szCs w:val="20"/>
              </w:rPr>
              <w:t>%</w:t>
            </w:r>
          </w:p>
        </w:tc>
        <w:tc>
          <w:tcPr>
            <w:tcW w:w="1108" w:type="pct"/>
          </w:tcPr>
          <w:p w14:paraId="68954E76"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10</w:t>
            </w:r>
          </w:p>
        </w:tc>
      </w:tr>
      <w:tr w:rsidR="00DD184E" w:rsidRPr="00CF0E91" w14:paraId="68954E79" w14:textId="77777777" w:rsidTr="00DA31D9">
        <w:trPr>
          <w:trHeight w:val="288"/>
        </w:trPr>
        <w:tc>
          <w:tcPr>
            <w:tcW w:w="5000" w:type="pct"/>
            <w:gridSpan w:val="3"/>
            <w:shd w:val="clear" w:color="auto" w:fill="F2F2F2" w:themeFill="background1" w:themeFillShade="F2"/>
          </w:tcPr>
          <w:p w14:paraId="68954E78" w14:textId="77777777" w:rsidR="00DD184E" w:rsidRPr="00C73146" w:rsidRDefault="00DD184E" w:rsidP="00DA31D9">
            <w:pPr>
              <w:keepNext/>
              <w:keepLines/>
              <w:spacing w:line="240" w:lineRule="auto"/>
              <w:jc w:val="center"/>
              <w:rPr>
                <w:rFonts w:asciiTheme="minorHAnsi" w:hAnsiTheme="minorHAnsi" w:cstheme="minorHAnsi"/>
                <w:b/>
                <w:bCs/>
                <w:szCs w:val="20"/>
              </w:rPr>
            </w:pPr>
            <w:r w:rsidRPr="00C73146">
              <w:rPr>
                <w:rFonts w:asciiTheme="minorHAnsi" w:hAnsiTheme="minorHAnsi" w:cstheme="minorHAnsi"/>
                <w:b/>
                <w:bCs/>
                <w:szCs w:val="20"/>
              </w:rPr>
              <w:t xml:space="preserve">Direct </w:t>
            </w:r>
            <w:r>
              <w:rPr>
                <w:rFonts w:asciiTheme="minorHAnsi" w:hAnsiTheme="minorHAnsi" w:cstheme="minorHAnsi"/>
                <w:b/>
                <w:bCs/>
                <w:szCs w:val="20"/>
              </w:rPr>
              <w:t xml:space="preserve">Medical </w:t>
            </w:r>
            <w:r w:rsidRPr="00C73146">
              <w:rPr>
                <w:rFonts w:asciiTheme="minorHAnsi" w:hAnsiTheme="minorHAnsi" w:cstheme="minorHAnsi"/>
                <w:b/>
                <w:bCs/>
                <w:szCs w:val="20"/>
              </w:rPr>
              <w:t>Costs</w:t>
            </w:r>
          </w:p>
        </w:tc>
      </w:tr>
      <w:tr w:rsidR="00DD184E" w:rsidRPr="00CF0E91" w14:paraId="68954E7D" w14:textId="77777777" w:rsidTr="00DA31D9">
        <w:trPr>
          <w:trHeight w:val="288"/>
        </w:trPr>
        <w:tc>
          <w:tcPr>
            <w:tcW w:w="2783" w:type="pct"/>
          </w:tcPr>
          <w:p w14:paraId="68954E7A" w14:textId="77777777" w:rsidR="00DD184E" w:rsidRPr="000E291D" w:rsidRDefault="00DD184E" w:rsidP="00DA31D9">
            <w:pPr>
              <w:spacing w:line="240" w:lineRule="auto"/>
              <w:rPr>
                <w:rFonts w:asciiTheme="minorHAnsi" w:hAnsiTheme="minorHAnsi" w:cstheme="minorHAnsi"/>
                <w:szCs w:val="20"/>
              </w:rPr>
            </w:pPr>
            <w:r>
              <w:rPr>
                <w:rFonts w:asciiTheme="minorHAnsi" w:hAnsiTheme="minorHAnsi" w:cstheme="minorHAnsi"/>
                <w:szCs w:val="20"/>
              </w:rPr>
              <w:t>Pharmacologic</w:t>
            </w:r>
            <w:r w:rsidRPr="000E291D">
              <w:rPr>
                <w:rFonts w:asciiTheme="minorHAnsi" w:hAnsiTheme="minorHAnsi" w:cstheme="minorHAnsi"/>
                <w:szCs w:val="20"/>
              </w:rPr>
              <w:t xml:space="preserve"> </w:t>
            </w:r>
            <w:r>
              <w:rPr>
                <w:rFonts w:asciiTheme="minorHAnsi" w:hAnsiTheme="minorHAnsi" w:cstheme="minorHAnsi"/>
                <w:szCs w:val="20"/>
              </w:rPr>
              <w:t>prophylaxis</w:t>
            </w:r>
            <w:r w:rsidRPr="000E291D">
              <w:rPr>
                <w:rFonts w:asciiTheme="minorHAnsi" w:hAnsiTheme="minorHAnsi" w:cstheme="minorHAnsi"/>
                <w:szCs w:val="20"/>
              </w:rPr>
              <w:t xml:space="preserve"> </w:t>
            </w:r>
            <w:r>
              <w:rPr>
                <w:rFonts w:asciiTheme="minorHAnsi" w:hAnsiTheme="minorHAnsi" w:cstheme="minorHAnsi"/>
                <w:szCs w:val="20"/>
              </w:rPr>
              <w:t>c</w:t>
            </w:r>
            <w:r w:rsidRPr="000E291D">
              <w:rPr>
                <w:rFonts w:asciiTheme="minorHAnsi" w:hAnsiTheme="minorHAnsi" w:cstheme="minorHAnsi"/>
                <w:szCs w:val="20"/>
              </w:rPr>
              <w:t xml:space="preserve">ost per </w:t>
            </w:r>
            <w:r>
              <w:rPr>
                <w:rFonts w:asciiTheme="minorHAnsi" w:hAnsiTheme="minorHAnsi" w:cstheme="minorHAnsi"/>
                <w:szCs w:val="20"/>
              </w:rPr>
              <w:t>d</w:t>
            </w:r>
            <w:r w:rsidRPr="000E291D">
              <w:rPr>
                <w:rFonts w:asciiTheme="minorHAnsi" w:hAnsiTheme="minorHAnsi" w:cstheme="minorHAnsi"/>
                <w:szCs w:val="20"/>
              </w:rPr>
              <w:t>ose</w:t>
            </w:r>
          </w:p>
        </w:tc>
        <w:tc>
          <w:tcPr>
            <w:tcW w:w="1108" w:type="pct"/>
          </w:tcPr>
          <w:p w14:paraId="68954E7B" w14:textId="77777777" w:rsidR="00DD184E" w:rsidRPr="003A18BA" w:rsidRDefault="00DD184E" w:rsidP="00DA31D9">
            <w:pPr>
              <w:spacing w:line="240" w:lineRule="auto"/>
              <w:jc w:val="center"/>
              <w:rPr>
                <w:rFonts w:cs="Calibri"/>
                <w:szCs w:val="20"/>
              </w:rPr>
            </w:pPr>
            <w:r w:rsidRPr="003A18BA">
              <w:rPr>
                <w:rFonts w:cs="Calibri"/>
                <w:szCs w:val="20"/>
              </w:rPr>
              <w:t>$4</w:t>
            </w:r>
            <w:r>
              <w:rPr>
                <w:rFonts w:cs="Calibri"/>
                <w:szCs w:val="20"/>
              </w:rPr>
              <w:t>4.85</w:t>
            </w:r>
          </w:p>
        </w:tc>
        <w:tc>
          <w:tcPr>
            <w:tcW w:w="1108" w:type="pct"/>
          </w:tcPr>
          <w:p w14:paraId="68954E7C"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30</w:t>
            </w:r>
          </w:p>
        </w:tc>
      </w:tr>
      <w:tr w:rsidR="00DD184E" w:rsidRPr="00CF0E91" w14:paraId="68954E81" w14:textId="77777777" w:rsidTr="00DA31D9">
        <w:trPr>
          <w:trHeight w:val="288"/>
        </w:trPr>
        <w:tc>
          <w:tcPr>
            <w:tcW w:w="2783" w:type="pct"/>
          </w:tcPr>
          <w:p w14:paraId="68954E7E" w14:textId="77777777" w:rsidR="00DD184E" w:rsidRPr="000E291D"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Hospitalization </w:t>
            </w:r>
            <w:r>
              <w:rPr>
                <w:rFonts w:asciiTheme="minorHAnsi" w:eastAsiaTheme="minorEastAsia" w:hAnsiTheme="minorHAnsi" w:cstheme="minorHAnsi"/>
                <w:szCs w:val="20"/>
              </w:rPr>
              <w:t>c</w:t>
            </w:r>
            <w:r w:rsidRPr="000E291D">
              <w:rPr>
                <w:rFonts w:asciiTheme="minorHAnsi" w:eastAsiaTheme="minorEastAsia" w:hAnsiTheme="minorHAnsi" w:cstheme="minorHAnsi"/>
                <w:szCs w:val="20"/>
              </w:rPr>
              <w:t xml:space="preserve">ost </w:t>
            </w:r>
            <w:r>
              <w:rPr>
                <w:rFonts w:asciiTheme="minorHAnsi" w:eastAsiaTheme="minorEastAsia" w:hAnsiTheme="minorHAnsi" w:cstheme="minorHAnsi"/>
                <w:szCs w:val="20"/>
              </w:rPr>
              <w:t>without</w:t>
            </w:r>
            <w:r w:rsidRPr="000E291D">
              <w:rPr>
                <w:rFonts w:asciiTheme="minorHAnsi" w:eastAsiaTheme="minorEastAsia" w:hAnsiTheme="minorHAnsi" w:cstheme="minorHAnsi"/>
                <w:szCs w:val="20"/>
              </w:rPr>
              <w:t xml:space="preserve"> VTE</w:t>
            </w:r>
          </w:p>
        </w:tc>
        <w:tc>
          <w:tcPr>
            <w:tcW w:w="1108" w:type="pct"/>
          </w:tcPr>
          <w:p w14:paraId="68954E7F" w14:textId="77777777" w:rsidR="00DD184E" w:rsidRPr="003A18BA" w:rsidRDefault="00DD184E" w:rsidP="00DA31D9">
            <w:pPr>
              <w:spacing w:line="240" w:lineRule="auto"/>
              <w:jc w:val="center"/>
              <w:rPr>
                <w:rFonts w:cs="Calibri"/>
                <w:szCs w:val="20"/>
              </w:rPr>
            </w:pPr>
            <w:r w:rsidRPr="003A18BA">
              <w:rPr>
                <w:rFonts w:cs="Calibri"/>
                <w:szCs w:val="20"/>
              </w:rPr>
              <w:t>$</w:t>
            </w:r>
            <w:r>
              <w:rPr>
                <w:rFonts w:cs="Calibri"/>
                <w:szCs w:val="20"/>
              </w:rPr>
              <w:t>10,198.90</w:t>
            </w:r>
          </w:p>
        </w:tc>
        <w:tc>
          <w:tcPr>
            <w:tcW w:w="1108" w:type="pct"/>
          </w:tcPr>
          <w:p w14:paraId="68954E80"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17</w:t>
            </w:r>
          </w:p>
        </w:tc>
      </w:tr>
      <w:tr w:rsidR="00DD184E" w:rsidRPr="00CF0E91" w14:paraId="68954E85" w14:textId="77777777" w:rsidTr="00DA31D9">
        <w:trPr>
          <w:trHeight w:val="288"/>
        </w:trPr>
        <w:tc>
          <w:tcPr>
            <w:tcW w:w="2783" w:type="pct"/>
          </w:tcPr>
          <w:p w14:paraId="68954E82" w14:textId="77777777" w:rsidR="00DD184E" w:rsidRPr="000E291D"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t xml:space="preserve">Hospitalization </w:t>
            </w:r>
            <w:r>
              <w:rPr>
                <w:rFonts w:asciiTheme="minorHAnsi" w:eastAsiaTheme="minorEastAsia" w:hAnsiTheme="minorHAnsi" w:cstheme="minorHAnsi"/>
                <w:szCs w:val="20"/>
              </w:rPr>
              <w:t>c</w:t>
            </w:r>
            <w:r w:rsidRPr="000E291D">
              <w:rPr>
                <w:rFonts w:asciiTheme="minorHAnsi" w:eastAsiaTheme="minorEastAsia" w:hAnsiTheme="minorHAnsi" w:cstheme="minorHAnsi"/>
                <w:szCs w:val="20"/>
              </w:rPr>
              <w:t>ost with VTE</w:t>
            </w:r>
          </w:p>
        </w:tc>
        <w:tc>
          <w:tcPr>
            <w:tcW w:w="1108" w:type="pct"/>
          </w:tcPr>
          <w:p w14:paraId="68954E83" w14:textId="77777777" w:rsidR="00DD184E" w:rsidRPr="003A18BA" w:rsidRDefault="00DD184E" w:rsidP="00DA31D9">
            <w:pPr>
              <w:spacing w:line="240" w:lineRule="auto"/>
              <w:jc w:val="center"/>
              <w:rPr>
                <w:rFonts w:cs="Calibri"/>
                <w:szCs w:val="20"/>
              </w:rPr>
            </w:pPr>
            <w:r w:rsidRPr="003A18BA">
              <w:rPr>
                <w:rFonts w:cs="Calibri"/>
                <w:szCs w:val="20"/>
              </w:rPr>
              <w:t>$</w:t>
            </w:r>
            <w:r>
              <w:rPr>
                <w:rFonts w:cs="Calibri"/>
                <w:szCs w:val="20"/>
              </w:rPr>
              <w:t>24,458.93</w:t>
            </w:r>
          </w:p>
        </w:tc>
        <w:tc>
          <w:tcPr>
            <w:tcW w:w="1108" w:type="pct"/>
          </w:tcPr>
          <w:p w14:paraId="68954E84"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17</w:t>
            </w:r>
          </w:p>
        </w:tc>
      </w:tr>
      <w:tr w:rsidR="00DD184E" w:rsidRPr="00CF0E91" w14:paraId="68954E89" w14:textId="77777777" w:rsidTr="00DA31D9">
        <w:trPr>
          <w:trHeight w:val="288"/>
        </w:trPr>
        <w:tc>
          <w:tcPr>
            <w:tcW w:w="2783" w:type="pct"/>
          </w:tcPr>
          <w:p w14:paraId="68954E86" w14:textId="77777777" w:rsidR="00DD184E" w:rsidRPr="000E291D" w:rsidRDefault="00DD184E" w:rsidP="00DA31D9">
            <w:pPr>
              <w:spacing w:line="240" w:lineRule="auto"/>
              <w:rPr>
                <w:rFonts w:asciiTheme="minorHAnsi" w:eastAsiaTheme="minorEastAsia" w:hAnsiTheme="minorHAnsi" w:cstheme="minorHAnsi"/>
                <w:szCs w:val="20"/>
                <w:highlight w:val="yellow"/>
              </w:rPr>
            </w:pPr>
            <w:r w:rsidRPr="000E291D">
              <w:rPr>
                <w:rFonts w:asciiTheme="minorHAnsi" w:eastAsiaTheme="minorEastAsia" w:hAnsiTheme="minorHAnsi" w:cstheme="minorHAnsi"/>
                <w:szCs w:val="20"/>
              </w:rPr>
              <w:lastRenderedPageBreak/>
              <w:t>Post</w:t>
            </w:r>
            <w:r>
              <w:rPr>
                <w:rFonts w:asciiTheme="minorHAnsi" w:eastAsiaTheme="minorEastAsia" w:hAnsiTheme="minorHAnsi" w:cstheme="minorHAnsi"/>
                <w:szCs w:val="20"/>
              </w:rPr>
              <w:t>-</w:t>
            </w:r>
            <w:r w:rsidRPr="000E291D">
              <w:rPr>
                <w:rFonts w:asciiTheme="minorHAnsi" w:eastAsiaTheme="minorEastAsia" w:hAnsiTheme="minorHAnsi" w:cstheme="minorHAnsi"/>
                <w:szCs w:val="20"/>
              </w:rPr>
              <w:t xml:space="preserve">VTE </w:t>
            </w:r>
            <w:r>
              <w:rPr>
                <w:rFonts w:asciiTheme="minorHAnsi" w:eastAsiaTheme="minorEastAsia" w:hAnsiTheme="minorHAnsi" w:cstheme="minorHAnsi"/>
                <w:szCs w:val="20"/>
              </w:rPr>
              <w:t>m</w:t>
            </w:r>
            <w:r w:rsidRPr="000E291D">
              <w:rPr>
                <w:rFonts w:asciiTheme="minorHAnsi" w:eastAsiaTheme="minorEastAsia" w:hAnsiTheme="minorHAnsi" w:cstheme="minorHAnsi"/>
                <w:szCs w:val="20"/>
              </w:rPr>
              <w:t xml:space="preserve">edical </w:t>
            </w:r>
            <w:r>
              <w:rPr>
                <w:rFonts w:asciiTheme="minorHAnsi" w:eastAsiaTheme="minorEastAsia" w:hAnsiTheme="minorHAnsi" w:cstheme="minorHAnsi"/>
                <w:szCs w:val="20"/>
              </w:rPr>
              <w:t>c</w:t>
            </w:r>
            <w:r w:rsidRPr="000E291D">
              <w:rPr>
                <w:rFonts w:asciiTheme="minorHAnsi" w:eastAsiaTheme="minorEastAsia" w:hAnsiTheme="minorHAnsi" w:cstheme="minorHAnsi"/>
                <w:szCs w:val="20"/>
              </w:rPr>
              <w:t>osts</w:t>
            </w:r>
          </w:p>
        </w:tc>
        <w:tc>
          <w:tcPr>
            <w:tcW w:w="1108" w:type="pct"/>
          </w:tcPr>
          <w:p w14:paraId="68954E87" w14:textId="77777777" w:rsidR="00DD184E" w:rsidRPr="003A18BA" w:rsidRDefault="00DD184E" w:rsidP="00DA31D9">
            <w:pPr>
              <w:spacing w:line="240" w:lineRule="auto"/>
              <w:jc w:val="center"/>
              <w:rPr>
                <w:rFonts w:cs="Calibri"/>
                <w:szCs w:val="20"/>
              </w:rPr>
            </w:pPr>
            <w:r w:rsidRPr="003A18BA">
              <w:rPr>
                <w:rFonts w:cs="Calibri"/>
                <w:szCs w:val="20"/>
              </w:rPr>
              <w:t>$</w:t>
            </w:r>
            <w:r>
              <w:rPr>
                <w:rFonts w:cs="Calibri"/>
                <w:szCs w:val="20"/>
              </w:rPr>
              <w:t>657.66</w:t>
            </w:r>
          </w:p>
        </w:tc>
        <w:tc>
          <w:tcPr>
            <w:tcW w:w="1108" w:type="pct"/>
          </w:tcPr>
          <w:p w14:paraId="68954E88"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17</w:t>
            </w:r>
          </w:p>
        </w:tc>
      </w:tr>
      <w:tr w:rsidR="00DD184E" w:rsidRPr="00CF0E91" w14:paraId="68954E8D" w14:textId="77777777" w:rsidTr="00DA31D9">
        <w:trPr>
          <w:trHeight w:val="288"/>
        </w:trPr>
        <w:tc>
          <w:tcPr>
            <w:tcW w:w="2783" w:type="pct"/>
          </w:tcPr>
          <w:p w14:paraId="68954E8A" w14:textId="77777777" w:rsidR="00DD184E" w:rsidRPr="000E291D" w:rsidRDefault="00DD184E" w:rsidP="00DA31D9">
            <w:pPr>
              <w:spacing w:line="240" w:lineRule="auto"/>
              <w:rPr>
                <w:rFonts w:asciiTheme="minorHAnsi" w:hAnsiTheme="minorHAnsi" w:cstheme="minorHAnsi"/>
                <w:szCs w:val="20"/>
              </w:rPr>
            </w:pPr>
            <w:r w:rsidRPr="000E291D">
              <w:rPr>
                <w:rFonts w:asciiTheme="minorHAnsi" w:hAnsiTheme="minorHAnsi" w:cstheme="minorHAnsi"/>
                <w:szCs w:val="20"/>
              </w:rPr>
              <w:t xml:space="preserve">Length of </w:t>
            </w:r>
            <w:r>
              <w:rPr>
                <w:rFonts w:asciiTheme="minorHAnsi" w:hAnsiTheme="minorHAnsi" w:cstheme="minorHAnsi"/>
                <w:szCs w:val="20"/>
              </w:rPr>
              <w:t>s</w:t>
            </w:r>
            <w:r w:rsidRPr="000E291D">
              <w:rPr>
                <w:rFonts w:asciiTheme="minorHAnsi" w:hAnsiTheme="minorHAnsi" w:cstheme="minorHAnsi"/>
                <w:szCs w:val="20"/>
              </w:rPr>
              <w:t>tay for non-VTE hospitalization</w:t>
            </w:r>
            <w:r>
              <w:rPr>
                <w:rFonts w:asciiTheme="minorHAnsi" w:hAnsiTheme="minorHAnsi" w:cstheme="minorHAnsi"/>
                <w:szCs w:val="20"/>
              </w:rPr>
              <w:t xml:space="preserve"> (days)</w:t>
            </w:r>
          </w:p>
        </w:tc>
        <w:tc>
          <w:tcPr>
            <w:tcW w:w="1108" w:type="pct"/>
          </w:tcPr>
          <w:p w14:paraId="68954E8B" w14:textId="77777777" w:rsidR="00DD184E" w:rsidRPr="003A18BA" w:rsidRDefault="00DD184E" w:rsidP="00DA31D9">
            <w:pPr>
              <w:spacing w:line="240" w:lineRule="auto"/>
              <w:jc w:val="center"/>
              <w:rPr>
                <w:rFonts w:cs="Calibri"/>
                <w:szCs w:val="20"/>
              </w:rPr>
            </w:pPr>
            <w:r w:rsidRPr="003A18BA">
              <w:rPr>
                <w:rFonts w:cs="Calibri"/>
                <w:szCs w:val="20"/>
              </w:rPr>
              <w:t>3.05</w:t>
            </w:r>
          </w:p>
        </w:tc>
        <w:tc>
          <w:tcPr>
            <w:tcW w:w="1108" w:type="pct"/>
          </w:tcPr>
          <w:p w14:paraId="68954E8C"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31</w:t>
            </w:r>
          </w:p>
        </w:tc>
      </w:tr>
      <w:tr w:rsidR="00DD184E" w:rsidRPr="00CF0E91" w14:paraId="68954E91" w14:textId="77777777" w:rsidTr="00DA31D9">
        <w:trPr>
          <w:trHeight w:val="288"/>
        </w:trPr>
        <w:tc>
          <w:tcPr>
            <w:tcW w:w="2783" w:type="pct"/>
          </w:tcPr>
          <w:p w14:paraId="68954E8E" w14:textId="77777777" w:rsidR="00DD184E" w:rsidRPr="000E291D" w:rsidRDefault="00DD184E" w:rsidP="00DA31D9">
            <w:pPr>
              <w:spacing w:line="240" w:lineRule="auto"/>
              <w:rPr>
                <w:rFonts w:asciiTheme="minorHAnsi" w:hAnsiTheme="minorHAnsi" w:cstheme="minorHAnsi"/>
                <w:szCs w:val="20"/>
              </w:rPr>
            </w:pPr>
            <w:bookmarkStart w:id="1" w:name="_Hlk63934178"/>
            <w:r w:rsidRPr="000E291D">
              <w:rPr>
                <w:rFonts w:asciiTheme="minorHAnsi" w:hAnsiTheme="minorHAnsi" w:cstheme="minorHAnsi"/>
                <w:szCs w:val="20"/>
              </w:rPr>
              <w:t xml:space="preserve">Length of </w:t>
            </w:r>
            <w:r>
              <w:rPr>
                <w:rFonts w:asciiTheme="minorHAnsi" w:hAnsiTheme="minorHAnsi" w:cstheme="minorHAnsi"/>
                <w:szCs w:val="20"/>
              </w:rPr>
              <w:t>s</w:t>
            </w:r>
            <w:r w:rsidRPr="000E291D">
              <w:rPr>
                <w:rFonts w:asciiTheme="minorHAnsi" w:hAnsiTheme="minorHAnsi" w:cstheme="minorHAnsi"/>
                <w:szCs w:val="20"/>
              </w:rPr>
              <w:t>tay for VTE hospitalization</w:t>
            </w:r>
            <w:r>
              <w:rPr>
                <w:rFonts w:asciiTheme="minorHAnsi" w:hAnsiTheme="minorHAnsi" w:cstheme="minorHAnsi"/>
                <w:szCs w:val="20"/>
              </w:rPr>
              <w:t xml:space="preserve"> (days)</w:t>
            </w:r>
          </w:p>
        </w:tc>
        <w:tc>
          <w:tcPr>
            <w:tcW w:w="1108" w:type="pct"/>
          </w:tcPr>
          <w:p w14:paraId="68954E8F" w14:textId="77777777" w:rsidR="00DD184E" w:rsidRPr="003A18BA" w:rsidRDefault="00DD184E" w:rsidP="00DA31D9">
            <w:pPr>
              <w:spacing w:line="240" w:lineRule="auto"/>
              <w:jc w:val="center"/>
              <w:rPr>
                <w:rFonts w:cs="Calibri"/>
                <w:szCs w:val="20"/>
              </w:rPr>
            </w:pPr>
            <w:r w:rsidRPr="003A18BA">
              <w:rPr>
                <w:rFonts w:cs="Calibri"/>
                <w:szCs w:val="20"/>
              </w:rPr>
              <w:t>6.48</w:t>
            </w:r>
          </w:p>
        </w:tc>
        <w:tc>
          <w:tcPr>
            <w:tcW w:w="1108" w:type="pct"/>
          </w:tcPr>
          <w:p w14:paraId="68954E90"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31</w:t>
            </w:r>
          </w:p>
        </w:tc>
      </w:tr>
      <w:bookmarkEnd w:id="1"/>
      <w:tr w:rsidR="00DD184E" w:rsidRPr="00CF0E91" w14:paraId="68954E95" w14:textId="77777777" w:rsidTr="00DA31D9">
        <w:trPr>
          <w:trHeight w:val="288"/>
        </w:trPr>
        <w:tc>
          <w:tcPr>
            <w:tcW w:w="2783" w:type="pct"/>
          </w:tcPr>
          <w:p w14:paraId="68954E92" w14:textId="77777777" w:rsidR="00DD184E" w:rsidRPr="00F069E3" w:rsidRDefault="00DD184E" w:rsidP="00DA31D9">
            <w:pPr>
              <w:spacing w:line="240" w:lineRule="auto"/>
              <w:rPr>
                <w:rFonts w:asciiTheme="minorHAnsi" w:eastAsiaTheme="minorEastAsia" w:hAnsiTheme="minorHAnsi" w:cstheme="minorHAnsi"/>
                <w:szCs w:val="20"/>
                <w:highlight w:val="yellow"/>
              </w:rPr>
            </w:pPr>
            <w:r w:rsidRPr="00F069E3">
              <w:rPr>
                <w:rFonts w:cs="Calibri"/>
                <w:szCs w:val="20"/>
              </w:rPr>
              <w:t>O</w:t>
            </w:r>
            <w:r>
              <w:rPr>
                <w:rFonts w:cs="Calibri"/>
                <w:szCs w:val="20"/>
              </w:rPr>
              <w:t>ut-of-pocket</w:t>
            </w:r>
            <w:r w:rsidRPr="00F069E3">
              <w:rPr>
                <w:rFonts w:cs="Calibri"/>
                <w:szCs w:val="20"/>
              </w:rPr>
              <w:t xml:space="preserve"> </w:t>
            </w:r>
            <w:r>
              <w:rPr>
                <w:rFonts w:cs="Calibri"/>
                <w:szCs w:val="20"/>
              </w:rPr>
              <w:t>c</w:t>
            </w:r>
            <w:r w:rsidRPr="00F069E3">
              <w:rPr>
                <w:rFonts w:cs="Calibri"/>
                <w:szCs w:val="20"/>
              </w:rPr>
              <w:t xml:space="preserve">ost </w:t>
            </w:r>
            <w:r>
              <w:rPr>
                <w:rFonts w:cs="Calibri"/>
                <w:szCs w:val="20"/>
              </w:rPr>
              <w:t>m</w:t>
            </w:r>
            <w:r w:rsidRPr="00F069E3">
              <w:rPr>
                <w:rFonts w:cs="Calibri"/>
                <w:szCs w:val="20"/>
              </w:rPr>
              <w:t>ultiplier</w:t>
            </w:r>
          </w:p>
        </w:tc>
        <w:tc>
          <w:tcPr>
            <w:tcW w:w="1108" w:type="pct"/>
          </w:tcPr>
          <w:p w14:paraId="68954E93" w14:textId="77777777" w:rsidR="00DD184E" w:rsidRPr="00F069E3" w:rsidRDefault="00DD184E" w:rsidP="00DA31D9">
            <w:pPr>
              <w:spacing w:line="240" w:lineRule="auto"/>
              <w:jc w:val="center"/>
              <w:rPr>
                <w:rFonts w:cs="Calibri"/>
                <w:szCs w:val="20"/>
              </w:rPr>
            </w:pPr>
            <w:r w:rsidRPr="00F069E3">
              <w:rPr>
                <w:rFonts w:cs="Calibri"/>
                <w:szCs w:val="20"/>
              </w:rPr>
              <w:t>8.58%</w:t>
            </w:r>
          </w:p>
        </w:tc>
        <w:tc>
          <w:tcPr>
            <w:tcW w:w="1108" w:type="pct"/>
          </w:tcPr>
          <w:p w14:paraId="68954E94"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32</w:t>
            </w:r>
          </w:p>
        </w:tc>
      </w:tr>
      <w:tr w:rsidR="00DD184E" w:rsidRPr="00CF0E91" w14:paraId="68954E99" w14:textId="77777777" w:rsidTr="00DA31D9">
        <w:trPr>
          <w:trHeight w:val="288"/>
        </w:trPr>
        <w:tc>
          <w:tcPr>
            <w:tcW w:w="2783" w:type="pct"/>
          </w:tcPr>
          <w:p w14:paraId="68954E96" w14:textId="77777777" w:rsidR="00DD184E" w:rsidRPr="00F069E3" w:rsidRDefault="00DD184E" w:rsidP="00DA31D9">
            <w:pPr>
              <w:spacing w:line="240" w:lineRule="auto"/>
              <w:rPr>
                <w:rFonts w:asciiTheme="minorHAnsi" w:eastAsiaTheme="minorEastAsia" w:hAnsiTheme="minorHAnsi" w:cstheme="minorHAnsi"/>
                <w:szCs w:val="20"/>
                <w:highlight w:val="yellow"/>
              </w:rPr>
            </w:pPr>
            <w:r w:rsidRPr="00F069E3">
              <w:rPr>
                <w:rFonts w:cs="Calibri"/>
                <w:szCs w:val="20"/>
              </w:rPr>
              <w:t>O</w:t>
            </w:r>
            <w:r>
              <w:rPr>
                <w:rFonts w:cs="Calibri"/>
                <w:szCs w:val="20"/>
              </w:rPr>
              <w:t xml:space="preserve">ut-of-pocket </w:t>
            </w:r>
            <w:r>
              <w:rPr>
                <w:rFonts w:cs="Calibri"/>
                <w:color w:val="000000"/>
                <w:szCs w:val="20"/>
              </w:rPr>
              <w:t>c</w:t>
            </w:r>
            <w:r w:rsidRPr="00F069E3">
              <w:rPr>
                <w:rFonts w:cs="Calibri"/>
                <w:color w:val="000000"/>
                <w:szCs w:val="20"/>
              </w:rPr>
              <w:t xml:space="preserve">ost of </w:t>
            </w:r>
            <w:r>
              <w:rPr>
                <w:rFonts w:cs="Calibri"/>
                <w:color w:val="000000"/>
                <w:szCs w:val="20"/>
              </w:rPr>
              <w:t>p</w:t>
            </w:r>
            <w:r w:rsidRPr="00F069E3">
              <w:rPr>
                <w:rFonts w:cs="Calibri"/>
                <w:color w:val="000000"/>
                <w:szCs w:val="20"/>
              </w:rPr>
              <w:t xml:space="preserve">rophylaxis </w:t>
            </w:r>
            <w:r>
              <w:rPr>
                <w:rFonts w:cs="Calibri"/>
                <w:color w:val="000000"/>
                <w:szCs w:val="20"/>
              </w:rPr>
              <w:t>do</w:t>
            </w:r>
            <w:r w:rsidRPr="00F069E3">
              <w:rPr>
                <w:rFonts w:cs="Calibri"/>
                <w:color w:val="000000"/>
                <w:szCs w:val="20"/>
              </w:rPr>
              <w:t>se</w:t>
            </w:r>
          </w:p>
        </w:tc>
        <w:tc>
          <w:tcPr>
            <w:tcW w:w="1108" w:type="pct"/>
          </w:tcPr>
          <w:p w14:paraId="68954E97" w14:textId="77777777" w:rsidR="00DD184E" w:rsidRPr="00F069E3" w:rsidRDefault="00DD184E" w:rsidP="00DA31D9">
            <w:pPr>
              <w:spacing w:line="240" w:lineRule="auto"/>
              <w:jc w:val="center"/>
              <w:rPr>
                <w:rFonts w:asciiTheme="minorHAnsi" w:eastAsiaTheme="minorEastAsia" w:hAnsiTheme="minorHAnsi" w:cstheme="minorHAnsi"/>
                <w:szCs w:val="20"/>
                <w:highlight w:val="yellow"/>
              </w:rPr>
            </w:pPr>
            <w:bookmarkStart w:id="2" w:name="RANGE!G37"/>
            <w:r w:rsidRPr="00F069E3">
              <w:rPr>
                <w:rFonts w:cs="Calibri"/>
                <w:szCs w:val="20"/>
              </w:rPr>
              <w:t>$3.</w:t>
            </w:r>
            <w:r>
              <w:rPr>
                <w:rFonts w:cs="Calibri"/>
                <w:szCs w:val="20"/>
              </w:rPr>
              <w:t>85</w:t>
            </w:r>
            <w:bookmarkEnd w:id="2"/>
          </w:p>
        </w:tc>
        <w:tc>
          <w:tcPr>
            <w:tcW w:w="1108" w:type="pct"/>
          </w:tcPr>
          <w:p w14:paraId="68954E98"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32</w:t>
            </w:r>
          </w:p>
        </w:tc>
      </w:tr>
      <w:tr w:rsidR="00DD184E" w:rsidRPr="00CF0E91" w14:paraId="68954E9D" w14:textId="77777777" w:rsidTr="00DA31D9">
        <w:trPr>
          <w:trHeight w:val="288"/>
        </w:trPr>
        <w:tc>
          <w:tcPr>
            <w:tcW w:w="2783" w:type="pct"/>
          </w:tcPr>
          <w:p w14:paraId="68954E9A" w14:textId="77777777" w:rsidR="00DD184E" w:rsidRPr="00F069E3" w:rsidRDefault="00DD184E" w:rsidP="00DA31D9">
            <w:pPr>
              <w:spacing w:line="240" w:lineRule="auto"/>
              <w:rPr>
                <w:rFonts w:asciiTheme="minorHAnsi" w:eastAsiaTheme="minorEastAsia" w:hAnsiTheme="minorHAnsi" w:cstheme="minorHAnsi"/>
                <w:szCs w:val="20"/>
                <w:highlight w:val="yellow"/>
              </w:rPr>
            </w:pPr>
            <w:r w:rsidRPr="00F069E3">
              <w:rPr>
                <w:rFonts w:cs="Calibri"/>
                <w:szCs w:val="20"/>
              </w:rPr>
              <w:t>O</w:t>
            </w:r>
            <w:r>
              <w:rPr>
                <w:rFonts w:cs="Calibri"/>
                <w:szCs w:val="20"/>
              </w:rPr>
              <w:t>ut-of-pocket c</w:t>
            </w:r>
            <w:r w:rsidRPr="00F069E3">
              <w:rPr>
                <w:rFonts w:cs="Calibri"/>
                <w:color w:val="000000"/>
                <w:szCs w:val="20"/>
              </w:rPr>
              <w:t xml:space="preserve">osts of </w:t>
            </w:r>
            <w:r>
              <w:rPr>
                <w:rFonts w:cs="Calibri"/>
                <w:color w:val="000000"/>
                <w:szCs w:val="20"/>
              </w:rPr>
              <w:t>h</w:t>
            </w:r>
            <w:r w:rsidRPr="00F069E3">
              <w:rPr>
                <w:rFonts w:cs="Calibri"/>
                <w:color w:val="000000"/>
                <w:szCs w:val="20"/>
              </w:rPr>
              <w:t xml:space="preserve">ospitalization </w:t>
            </w:r>
            <w:r>
              <w:rPr>
                <w:rFonts w:cs="Calibri"/>
                <w:color w:val="000000"/>
                <w:szCs w:val="20"/>
              </w:rPr>
              <w:t>without</w:t>
            </w:r>
            <w:r w:rsidRPr="00F069E3">
              <w:rPr>
                <w:rFonts w:cs="Calibri"/>
                <w:color w:val="000000"/>
                <w:szCs w:val="20"/>
              </w:rPr>
              <w:t xml:space="preserve"> VTE</w:t>
            </w:r>
          </w:p>
        </w:tc>
        <w:tc>
          <w:tcPr>
            <w:tcW w:w="1108" w:type="pct"/>
          </w:tcPr>
          <w:p w14:paraId="68954E9B" w14:textId="77777777" w:rsidR="00DD184E" w:rsidRPr="00F069E3" w:rsidRDefault="00DD184E" w:rsidP="00DA31D9">
            <w:pPr>
              <w:spacing w:line="240" w:lineRule="auto"/>
              <w:jc w:val="center"/>
              <w:rPr>
                <w:rFonts w:asciiTheme="minorHAnsi" w:eastAsiaTheme="minorEastAsia" w:hAnsiTheme="minorHAnsi" w:cstheme="minorHAnsi"/>
                <w:szCs w:val="20"/>
                <w:highlight w:val="yellow"/>
              </w:rPr>
            </w:pPr>
            <w:bookmarkStart w:id="3" w:name="RANGE!G38"/>
            <w:r w:rsidRPr="00F069E3">
              <w:rPr>
                <w:rFonts w:cs="Calibri"/>
                <w:szCs w:val="20"/>
              </w:rPr>
              <w:t>$</w:t>
            </w:r>
            <w:bookmarkEnd w:id="3"/>
            <w:r>
              <w:rPr>
                <w:rFonts w:cs="Calibri"/>
                <w:szCs w:val="20"/>
              </w:rPr>
              <w:t>875.12</w:t>
            </w:r>
          </w:p>
        </w:tc>
        <w:tc>
          <w:tcPr>
            <w:tcW w:w="1108" w:type="pct"/>
          </w:tcPr>
          <w:p w14:paraId="68954E9C"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32</w:t>
            </w:r>
          </w:p>
        </w:tc>
      </w:tr>
      <w:tr w:rsidR="00DD184E" w:rsidRPr="00CF0E91" w14:paraId="68954EA1" w14:textId="77777777" w:rsidTr="00DA31D9">
        <w:trPr>
          <w:trHeight w:val="288"/>
        </w:trPr>
        <w:tc>
          <w:tcPr>
            <w:tcW w:w="2783" w:type="pct"/>
          </w:tcPr>
          <w:p w14:paraId="68954E9E" w14:textId="77777777" w:rsidR="00DD184E" w:rsidRPr="00F069E3" w:rsidRDefault="00DD184E" w:rsidP="00DA31D9">
            <w:pPr>
              <w:spacing w:line="240" w:lineRule="auto"/>
              <w:rPr>
                <w:rFonts w:eastAsiaTheme="minorEastAsia" w:cstheme="minorHAnsi"/>
                <w:szCs w:val="20"/>
                <w:highlight w:val="yellow"/>
              </w:rPr>
            </w:pPr>
            <w:r w:rsidRPr="00F069E3">
              <w:rPr>
                <w:rFonts w:cs="Calibri"/>
                <w:szCs w:val="20"/>
              </w:rPr>
              <w:t>O</w:t>
            </w:r>
            <w:r>
              <w:rPr>
                <w:rFonts w:cs="Calibri"/>
                <w:szCs w:val="20"/>
              </w:rPr>
              <w:t xml:space="preserve">ut-of-pocket </w:t>
            </w:r>
            <w:r>
              <w:rPr>
                <w:rFonts w:cs="Calibri"/>
                <w:color w:val="000000"/>
                <w:szCs w:val="20"/>
              </w:rPr>
              <w:t>c</w:t>
            </w:r>
            <w:r w:rsidRPr="00F069E3">
              <w:rPr>
                <w:rFonts w:cs="Calibri"/>
                <w:color w:val="000000"/>
                <w:szCs w:val="20"/>
              </w:rPr>
              <w:t xml:space="preserve">osts </w:t>
            </w:r>
            <w:r>
              <w:rPr>
                <w:rFonts w:cs="Calibri"/>
                <w:color w:val="000000"/>
                <w:szCs w:val="20"/>
              </w:rPr>
              <w:t>as a result of h</w:t>
            </w:r>
            <w:r w:rsidRPr="00F069E3">
              <w:rPr>
                <w:rFonts w:cs="Calibri"/>
                <w:color w:val="000000"/>
                <w:szCs w:val="20"/>
              </w:rPr>
              <w:t>ospital</w:t>
            </w:r>
            <w:r>
              <w:rPr>
                <w:rFonts w:cs="Calibri"/>
                <w:color w:val="000000"/>
                <w:szCs w:val="20"/>
              </w:rPr>
              <w:t>-a</w:t>
            </w:r>
            <w:r w:rsidRPr="00F069E3">
              <w:rPr>
                <w:rFonts w:cs="Calibri"/>
                <w:color w:val="000000"/>
                <w:szCs w:val="20"/>
              </w:rPr>
              <w:t>cquired VTE</w:t>
            </w:r>
          </w:p>
        </w:tc>
        <w:tc>
          <w:tcPr>
            <w:tcW w:w="1108" w:type="pct"/>
          </w:tcPr>
          <w:p w14:paraId="68954E9F" w14:textId="77777777" w:rsidR="00DD184E" w:rsidRPr="00F069E3" w:rsidRDefault="00DD184E" w:rsidP="00DA31D9">
            <w:pPr>
              <w:spacing w:line="240" w:lineRule="auto"/>
              <w:jc w:val="center"/>
              <w:rPr>
                <w:rFonts w:eastAsiaTheme="minorEastAsia" w:cstheme="minorHAnsi"/>
                <w:szCs w:val="20"/>
                <w:highlight w:val="yellow"/>
              </w:rPr>
            </w:pPr>
            <w:bookmarkStart w:id="4" w:name="RANGE!G39"/>
            <w:r w:rsidRPr="00F069E3">
              <w:rPr>
                <w:rFonts w:cs="Calibri"/>
                <w:szCs w:val="20"/>
              </w:rPr>
              <w:t>$</w:t>
            </w:r>
            <w:r>
              <w:rPr>
                <w:rFonts w:cs="Calibri"/>
                <w:szCs w:val="20"/>
              </w:rPr>
              <w:t>2,098.</w:t>
            </w:r>
            <w:bookmarkEnd w:id="4"/>
            <w:r>
              <w:rPr>
                <w:rFonts w:cs="Calibri"/>
                <w:szCs w:val="20"/>
              </w:rPr>
              <w:t>71</w:t>
            </w:r>
          </w:p>
        </w:tc>
        <w:tc>
          <w:tcPr>
            <w:tcW w:w="1108" w:type="pct"/>
          </w:tcPr>
          <w:p w14:paraId="68954EA0" w14:textId="77777777" w:rsidR="00DD184E" w:rsidRPr="00A058F4" w:rsidRDefault="00DD184E" w:rsidP="00DA31D9">
            <w:pPr>
              <w:spacing w:line="240" w:lineRule="auto"/>
              <w:jc w:val="center"/>
              <w:rPr>
                <w:rFonts w:eastAsiaTheme="minorEastAsia" w:cstheme="minorHAnsi"/>
                <w:szCs w:val="20"/>
              </w:rPr>
            </w:pPr>
            <w:r>
              <w:rPr>
                <w:rFonts w:cs="Calibri"/>
              </w:rPr>
              <w:t>32</w:t>
            </w:r>
          </w:p>
        </w:tc>
      </w:tr>
      <w:tr w:rsidR="00DD184E" w:rsidRPr="00CF0E91" w14:paraId="68954EA5" w14:textId="77777777" w:rsidTr="00DA31D9">
        <w:trPr>
          <w:trHeight w:val="288"/>
        </w:trPr>
        <w:tc>
          <w:tcPr>
            <w:tcW w:w="2783" w:type="pct"/>
          </w:tcPr>
          <w:p w14:paraId="68954EA2" w14:textId="77777777" w:rsidR="00DD184E" w:rsidRPr="00F069E3" w:rsidRDefault="00DD184E" w:rsidP="00DA31D9">
            <w:pPr>
              <w:spacing w:line="240" w:lineRule="auto"/>
              <w:rPr>
                <w:rFonts w:eastAsiaTheme="minorEastAsia" w:cstheme="minorHAnsi"/>
                <w:szCs w:val="20"/>
                <w:highlight w:val="yellow"/>
              </w:rPr>
            </w:pPr>
            <w:r w:rsidRPr="00F069E3">
              <w:rPr>
                <w:rFonts w:cs="Calibri"/>
                <w:szCs w:val="20"/>
              </w:rPr>
              <w:t>O</w:t>
            </w:r>
            <w:r>
              <w:rPr>
                <w:rFonts w:cs="Calibri"/>
                <w:szCs w:val="20"/>
              </w:rPr>
              <w:t>ut-of-pocket c</w:t>
            </w:r>
            <w:r w:rsidRPr="00F069E3">
              <w:rPr>
                <w:rFonts w:cs="Calibri"/>
                <w:szCs w:val="20"/>
              </w:rPr>
              <w:t xml:space="preserve">ost </w:t>
            </w:r>
            <w:r>
              <w:rPr>
                <w:rFonts w:cs="Calibri"/>
                <w:szCs w:val="20"/>
              </w:rPr>
              <w:t>p</w:t>
            </w:r>
            <w:r w:rsidRPr="00F069E3">
              <w:rPr>
                <w:rFonts w:cs="Calibri"/>
                <w:szCs w:val="20"/>
              </w:rPr>
              <w:t>ost</w:t>
            </w:r>
            <w:r>
              <w:rPr>
                <w:rFonts w:cs="Calibri"/>
                <w:szCs w:val="20"/>
              </w:rPr>
              <w:t xml:space="preserve"> </w:t>
            </w:r>
            <w:r w:rsidRPr="00F069E3">
              <w:rPr>
                <w:rFonts w:cs="Calibri"/>
                <w:szCs w:val="20"/>
              </w:rPr>
              <w:t>VTE</w:t>
            </w:r>
          </w:p>
        </w:tc>
        <w:tc>
          <w:tcPr>
            <w:tcW w:w="1108" w:type="pct"/>
          </w:tcPr>
          <w:p w14:paraId="68954EA3" w14:textId="77777777" w:rsidR="00DD184E" w:rsidRPr="00F069E3" w:rsidRDefault="00DD184E" w:rsidP="00DA31D9">
            <w:pPr>
              <w:spacing w:line="240" w:lineRule="auto"/>
              <w:jc w:val="center"/>
              <w:rPr>
                <w:rFonts w:eastAsiaTheme="minorEastAsia" w:cstheme="minorHAnsi"/>
                <w:szCs w:val="20"/>
                <w:highlight w:val="yellow"/>
              </w:rPr>
            </w:pPr>
            <w:bookmarkStart w:id="5" w:name="RANGE!G40"/>
            <w:r w:rsidRPr="00F069E3">
              <w:rPr>
                <w:rFonts w:cs="Calibri"/>
                <w:szCs w:val="20"/>
              </w:rPr>
              <w:t>$</w:t>
            </w:r>
            <w:r>
              <w:rPr>
                <w:rFonts w:cs="Calibri"/>
                <w:szCs w:val="20"/>
              </w:rPr>
              <w:t>5</w:t>
            </w:r>
            <w:bookmarkEnd w:id="5"/>
            <w:r>
              <w:rPr>
                <w:rFonts w:cs="Calibri"/>
                <w:szCs w:val="20"/>
              </w:rPr>
              <w:t>6.43</w:t>
            </w:r>
          </w:p>
        </w:tc>
        <w:tc>
          <w:tcPr>
            <w:tcW w:w="1108" w:type="pct"/>
          </w:tcPr>
          <w:p w14:paraId="68954EA4" w14:textId="77777777" w:rsidR="00DD184E" w:rsidRPr="00A058F4" w:rsidRDefault="00DD184E" w:rsidP="00DA31D9">
            <w:pPr>
              <w:spacing w:line="240" w:lineRule="auto"/>
              <w:jc w:val="center"/>
              <w:rPr>
                <w:rFonts w:eastAsiaTheme="minorEastAsia" w:cstheme="minorHAnsi"/>
                <w:szCs w:val="20"/>
              </w:rPr>
            </w:pPr>
            <w:r>
              <w:rPr>
                <w:rFonts w:cs="Calibri"/>
              </w:rPr>
              <w:t>32</w:t>
            </w:r>
          </w:p>
        </w:tc>
      </w:tr>
      <w:tr w:rsidR="00DD184E" w:rsidRPr="00CF0E91" w14:paraId="68954EA7" w14:textId="77777777" w:rsidTr="00DA31D9">
        <w:trPr>
          <w:trHeight w:val="288"/>
        </w:trPr>
        <w:tc>
          <w:tcPr>
            <w:tcW w:w="5000" w:type="pct"/>
            <w:gridSpan w:val="3"/>
            <w:shd w:val="clear" w:color="auto" w:fill="F2F2F2" w:themeFill="background1" w:themeFillShade="F2"/>
          </w:tcPr>
          <w:p w14:paraId="68954EA6" w14:textId="77777777" w:rsidR="00DD184E" w:rsidRPr="00F3165C" w:rsidRDefault="00DD184E" w:rsidP="00DA31D9">
            <w:pPr>
              <w:pageBreakBefore/>
              <w:tabs>
                <w:tab w:val="left" w:pos="666"/>
              </w:tabs>
              <w:spacing w:line="240" w:lineRule="auto"/>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lastRenderedPageBreak/>
              <w:t>Indirect Medical Costs</w:t>
            </w:r>
          </w:p>
        </w:tc>
      </w:tr>
      <w:tr w:rsidR="00DD184E" w:rsidRPr="00CF0E91" w14:paraId="68954EAB" w14:textId="77777777" w:rsidTr="00DA31D9">
        <w:trPr>
          <w:trHeight w:val="288"/>
        </w:trPr>
        <w:tc>
          <w:tcPr>
            <w:tcW w:w="2783" w:type="pct"/>
          </w:tcPr>
          <w:p w14:paraId="68954EA8" w14:textId="77777777" w:rsidR="00DD184E" w:rsidRPr="00F069E3" w:rsidRDefault="00DD184E" w:rsidP="00DA31D9">
            <w:pPr>
              <w:spacing w:line="240" w:lineRule="auto"/>
              <w:rPr>
                <w:rFonts w:eastAsiaTheme="minorEastAsia" w:cstheme="minorHAnsi"/>
                <w:szCs w:val="20"/>
                <w:highlight w:val="yellow"/>
              </w:rPr>
            </w:pPr>
            <w:r w:rsidRPr="00F069E3">
              <w:rPr>
                <w:rFonts w:cs="Calibri"/>
                <w:szCs w:val="20"/>
              </w:rPr>
              <w:t>Travel cost per hospital visit</w:t>
            </w:r>
          </w:p>
        </w:tc>
        <w:tc>
          <w:tcPr>
            <w:tcW w:w="1108" w:type="pct"/>
          </w:tcPr>
          <w:p w14:paraId="68954EA9" w14:textId="77777777" w:rsidR="00DD184E" w:rsidRPr="00F069E3" w:rsidRDefault="00DD184E" w:rsidP="00DA31D9">
            <w:pPr>
              <w:spacing w:line="240" w:lineRule="auto"/>
              <w:jc w:val="center"/>
              <w:rPr>
                <w:rFonts w:eastAsiaTheme="minorEastAsia" w:cstheme="minorHAnsi"/>
                <w:szCs w:val="20"/>
                <w:highlight w:val="yellow"/>
              </w:rPr>
            </w:pPr>
            <w:bookmarkStart w:id="6" w:name="RANGE!G41"/>
            <w:r w:rsidRPr="00F069E3">
              <w:rPr>
                <w:rFonts w:cs="Calibri"/>
                <w:szCs w:val="20"/>
              </w:rPr>
              <w:t>$3.94</w:t>
            </w:r>
            <w:bookmarkEnd w:id="6"/>
          </w:p>
        </w:tc>
        <w:tc>
          <w:tcPr>
            <w:tcW w:w="1108" w:type="pct"/>
          </w:tcPr>
          <w:p w14:paraId="68954EAA" w14:textId="77777777" w:rsidR="00DD184E" w:rsidRPr="00A058F4" w:rsidRDefault="00DD184E" w:rsidP="00DA31D9">
            <w:pPr>
              <w:spacing w:line="240" w:lineRule="auto"/>
              <w:jc w:val="center"/>
              <w:rPr>
                <w:rFonts w:eastAsiaTheme="minorEastAsia" w:cstheme="minorHAnsi"/>
                <w:szCs w:val="20"/>
              </w:rPr>
            </w:pPr>
            <w:r>
              <w:rPr>
                <w:rFonts w:cs="Calibri"/>
              </w:rPr>
              <w:t>23</w:t>
            </w:r>
          </w:p>
        </w:tc>
      </w:tr>
      <w:tr w:rsidR="00DD184E" w:rsidRPr="00CF0E91" w14:paraId="68954EAF" w14:textId="77777777" w:rsidTr="00DA31D9">
        <w:trPr>
          <w:trHeight w:val="288"/>
        </w:trPr>
        <w:tc>
          <w:tcPr>
            <w:tcW w:w="2783" w:type="pct"/>
          </w:tcPr>
          <w:p w14:paraId="68954EAC" w14:textId="77777777" w:rsidR="00DD184E" w:rsidRPr="00F069E3" w:rsidRDefault="00DD184E" w:rsidP="00DA31D9">
            <w:pPr>
              <w:spacing w:line="240" w:lineRule="auto"/>
              <w:rPr>
                <w:rFonts w:eastAsiaTheme="minorEastAsia" w:cstheme="minorHAnsi"/>
                <w:szCs w:val="20"/>
                <w:highlight w:val="yellow"/>
              </w:rPr>
            </w:pPr>
            <w:r w:rsidRPr="00F069E3">
              <w:rPr>
                <w:rFonts w:cs="Calibri"/>
                <w:szCs w:val="20"/>
              </w:rPr>
              <w:t>Number of follow-up visits per VTE event</w:t>
            </w:r>
          </w:p>
        </w:tc>
        <w:tc>
          <w:tcPr>
            <w:tcW w:w="1108" w:type="pct"/>
          </w:tcPr>
          <w:p w14:paraId="68954EAD" w14:textId="77777777" w:rsidR="00DD184E" w:rsidRPr="00F069E3" w:rsidRDefault="00DD184E" w:rsidP="00DA31D9">
            <w:pPr>
              <w:spacing w:line="240" w:lineRule="auto"/>
              <w:jc w:val="center"/>
              <w:rPr>
                <w:rFonts w:eastAsiaTheme="minorEastAsia" w:cstheme="minorHAnsi"/>
                <w:szCs w:val="20"/>
                <w:highlight w:val="yellow"/>
              </w:rPr>
            </w:pPr>
            <w:bookmarkStart w:id="7" w:name="RANGE!G42"/>
            <w:r w:rsidRPr="00F069E3">
              <w:rPr>
                <w:rFonts w:cs="Calibri"/>
                <w:szCs w:val="20"/>
              </w:rPr>
              <w:t>2.89</w:t>
            </w:r>
            <w:bookmarkEnd w:id="7"/>
          </w:p>
        </w:tc>
        <w:tc>
          <w:tcPr>
            <w:tcW w:w="1108" w:type="pct"/>
          </w:tcPr>
          <w:p w14:paraId="68954EAE" w14:textId="77777777" w:rsidR="00DD184E" w:rsidRPr="00A058F4" w:rsidRDefault="00DD184E" w:rsidP="00DA31D9">
            <w:pPr>
              <w:spacing w:line="240" w:lineRule="auto"/>
              <w:jc w:val="center"/>
              <w:rPr>
                <w:rFonts w:eastAsiaTheme="minorEastAsia" w:cstheme="minorHAnsi"/>
                <w:szCs w:val="20"/>
              </w:rPr>
            </w:pPr>
            <w:r>
              <w:rPr>
                <w:rFonts w:cs="Calibri"/>
              </w:rPr>
              <w:t>16</w:t>
            </w:r>
          </w:p>
        </w:tc>
      </w:tr>
      <w:tr w:rsidR="00DD184E" w:rsidRPr="00CF0E91" w14:paraId="68954EB3" w14:textId="77777777" w:rsidTr="00DA31D9">
        <w:trPr>
          <w:trHeight w:val="288"/>
        </w:trPr>
        <w:tc>
          <w:tcPr>
            <w:tcW w:w="2783" w:type="pct"/>
          </w:tcPr>
          <w:p w14:paraId="68954EB0" w14:textId="77777777" w:rsidR="00DD184E" w:rsidRPr="00F069E3" w:rsidRDefault="00DD184E" w:rsidP="00DA31D9">
            <w:pPr>
              <w:spacing w:line="240" w:lineRule="auto"/>
              <w:rPr>
                <w:rFonts w:eastAsiaTheme="minorEastAsia" w:cstheme="minorHAnsi"/>
                <w:szCs w:val="20"/>
                <w:highlight w:val="yellow"/>
              </w:rPr>
            </w:pPr>
            <w:r w:rsidRPr="00F069E3">
              <w:rPr>
                <w:rFonts w:cs="Calibri"/>
                <w:szCs w:val="20"/>
              </w:rPr>
              <w:t>Total travel cost for follow</w:t>
            </w:r>
            <w:r>
              <w:rPr>
                <w:rFonts w:cs="Calibri"/>
                <w:szCs w:val="20"/>
              </w:rPr>
              <w:t>-</w:t>
            </w:r>
            <w:r w:rsidRPr="00F069E3">
              <w:rPr>
                <w:rFonts w:cs="Calibri"/>
                <w:szCs w:val="20"/>
              </w:rPr>
              <w:t xml:space="preserve">up visits </w:t>
            </w:r>
          </w:p>
        </w:tc>
        <w:tc>
          <w:tcPr>
            <w:tcW w:w="1108" w:type="pct"/>
          </w:tcPr>
          <w:p w14:paraId="68954EB1" w14:textId="77777777" w:rsidR="00DD184E" w:rsidRPr="00F069E3" w:rsidRDefault="00DD184E" w:rsidP="00DA31D9">
            <w:pPr>
              <w:spacing w:line="240" w:lineRule="auto"/>
              <w:jc w:val="center"/>
              <w:rPr>
                <w:rFonts w:eastAsiaTheme="minorEastAsia" w:cstheme="minorHAnsi"/>
                <w:szCs w:val="20"/>
                <w:highlight w:val="yellow"/>
              </w:rPr>
            </w:pPr>
            <w:r w:rsidRPr="00F069E3">
              <w:rPr>
                <w:rFonts w:cs="Calibri"/>
                <w:szCs w:val="20"/>
              </w:rPr>
              <w:t>$11.39</w:t>
            </w:r>
          </w:p>
        </w:tc>
        <w:tc>
          <w:tcPr>
            <w:tcW w:w="1108" w:type="pct"/>
          </w:tcPr>
          <w:p w14:paraId="68954EB2" w14:textId="77777777" w:rsidR="00DD184E" w:rsidRPr="00A058F4" w:rsidRDefault="00DD184E" w:rsidP="00DA31D9">
            <w:pPr>
              <w:spacing w:line="240" w:lineRule="auto"/>
              <w:jc w:val="center"/>
              <w:rPr>
                <w:rFonts w:eastAsiaTheme="minorEastAsia" w:cstheme="minorHAnsi"/>
                <w:szCs w:val="20"/>
              </w:rPr>
            </w:pPr>
            <w:r>
              <w:rPr>
                <w:rFonts w:cs="Calibri"/>
              </w:rPr>
              <w:t>23</w:t>
            </w:r>
          </w:p>
        </w:tc>
      </w:tr>
      <w:tr w:rsidR="00DD184E" w:rsidRPr="00C73146" w14:paraId="68954EB5" w14:textId="77777777" w:rsidTr="00DA31D9">
        <w:trPr>
          <w:trHeight w:val="288"/>
        </w:trPr>
        <w:tc>
          <w:tcPr>
            <w:tcW w:w="5000" w:type="pct"/>
            <w:gridSpan w:val="3"/>
            <w:shd w:val="clear" w:color="auto" w:fill="F2F2F2" w:themeFill="background1" w:themeFillShade="F2"/>
          </w:tcPr>
          <w:p w14:paraId="68954EB4" w14:textId="77777777" w:rsidR="00DD184E" w:rsidRPr="00C73146" w:rsidRDefault="00DD184E" w:rsidP="00DA31D9">
            <w:pPr>
              <w:keepNext/>
              <w:tabs>
                <w:tab w:val="left" w:pos="666"/>
              </w:tabs>
              <w:spacing w:line="240" w:lineRule="auto"/>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Provider Costs</w:t>
            </w:r>
          </w:p>
        </w:tc>
      </w:tr>
      <w:tr w:rsidR="00DD184E" w:rsidRPr="00CF0E91" w14:paraId="68954EB9" w14:textId="77777777" w:rsidTr="00DA31D9">
        <w:trPr>
          <w:trHeight w:val="288"/>
        </w:trPr>
        <w:tc>
          <w:tcPr>
            <w:tcW w:w="2783" w:type="pct"/>
          </w:tcPr>
          <w:p w14:paraId="68954EB6" w14:textId="77777777" w:rsidR="00DD184E" w:rsidRPr="00F069E3" w:rsidRDefault="00DD184E" w:rsidP="00DA31D9">
            <w:pPr>
              <w:spacing w:line="240" w:lineRule="auto"/>
              <w:rPr>
                <w:rFonts w:eastAsiaTheme="minorEastAsia" w:cstheme="minorHAnsi"/>
                <w:szCs w:val="20"/>
                <w:highlight w:val="yellow"/>
              </w:rPr>
            </w:pPr>
            <w:r w:rsidRPr="00F069E3">
              <w:rPr>
                <w:rFonts w:cs="Calibri"/>
                <w:color w:val="000000"/>
                <w:szCs w:val="20"/>
              </w:rPr>
              <w:t xml:space="preserve">Nurse </w:t>
            </w:r>
            <w:r>
              <w:rPr>
                <w:rFonts w:cs="Calibri"/>
                <w:color w:val="000000"/>
                <w:szCs w:val="20"/>
              </w:rPr>
              <w:t>h</w:t>
            </w:r>
            <w:r w:rsidRPr="00F069E3">
              <w:rPr>
                <w:rFonts w:cs="Calibri"/>
                <w:color w:val="000000"/>
                <w:szCs w:val="20"/>
              </w:rPr>
              <w:t xml:space="preserve">ourly </w:t>
            </w:r>
            <w:r>
              <w:rPr>
                <w:rFonts w:cs="Calibri"/>
                <w:color w:val="000000"/>
                <w:szCs w:val="20"/>
              </w:rPr>
              <w:t>w</w:t>
            </w:r>
            <w:r w:rsidRPr="00F069E3">
              <w:rPr>
                <w:rFonts w:cs="Calibri"/>
                <w:color w:val="000000"/>
                <w:szCs w:val="20"/>
              </w:rPr>
              <w:t>age</w:t>
            </w:r>
          </w:p>
        </w:tc>
        <w:tc>
          <w:tcPr>
            <w:tcW w:w="1108" w:type="pct"/>
          </w:tcPr>
          <w:p w14:paraId="68954EB7" w14:textId="77777777" w:rsidR="00DD184E" w:rsidRPr="00F069E3" w:rsidRDefault="00DD184E" w:rsidP="00DA31D9">
            <w:pPr>
              <w:spacing w:line="240" w:lineRule="auto"/>
              <w:jc w:val="center"/>
              <w:rPr>
                <w:rFonts w:eastAsiaTheme="minorEastAsia" w:cstheme="minorHAnsi"/>
                <w:szCs w:val="20"/>
                <w:highlight w:val="yellow"/>
              </w:rPr>
            </w:pPr>
            <w:bookmarkStart w:id="8" w:name="RANGE!G45"/>
            <w:r w:rsidRPr="00F069E3">
              <w:rPr>
                <w:rFonts w:cs="Calibri"/>
                <w:szCs w:val="20"/>
              </w:rPr>
              <w:t>$37.24</w:t>
            </w:r>
            <w:bookmarkEnd w:id="8"/>
          </w:p>
        </w:tc>
        <w:tc>
          <w:tcPr>
            <w:tcW w:w="1108" w:type="pct"/>
          </w:tcPr>
          <w:p w14:paraId="68954EB8" w14:textId="77777777" w:rsidR="00DD184E" w:rsidRPr="00A058F4" w:rsidRDefault="00DD184E" w:rsidP="00DA31D9">
            <w:pPr>
              <w:spacing w:line="240" w:lineRule="auto"/>
              <w:jc w:val="center"/>
              <w:rPr>
                <w:rFonts w:eastAsiaTheme="minorEastAsia" w:cstheme="minorHAnsi"/>
                <w:szCs w:val="20"/>
              </w:rPr>
            </w:pPr>
            <w:r>
              <w:rPr>
                <w:rFonts w:cs="Calibri"/>
              </w:rPr>
              <w:t>21</w:t>
            </w:r>
          </w:p>
        </w:tc>
      </w:tr>
      <w:tr w:rsidR="00DD184E" w:rsidRPr="00CF0E91" w14:paraId="68954EBD" w14:textId="77777777" w:rsidTr="00DA31D9">
        <w:trPr>
          <w:trHeight w:val="288"/>
        </w:trPr>
        <w:tc>
          <w:tcPr>
            <w:tcW w:w="2783" w:type="pct"/>
          </w:tcPr>
          <w:p w14:paraId="68954EBA" w14:textId="77777777" w:rsidR="00DD184E" w:rsidRPr="00F069E3" w:rsidRDefault="00DD184E" w:rsidP="00DA31D9">
            <w:pPr>
              <w:spacing w:line="240" w:lineRule="auto"/>
              <w:rPr>
                <w:rFonts w:eastAsiaTheme="minorEastAsia" w:cstheme="minorHAnsi"/>
                <w:szCs w:val="20"/>
                <w:highlight w:val="yellow"/>
              </w:rPr>
            </w:pPr>
            <w:r w:rsidRPr="00F069E3">
              <w:rPr>
                <w:rFonts w:cs="Calibri"/>
                <w:color w:val="000000"/>
                <w:szCs w:val="20"/>
              </w:rPr>
              <w:t xml:space="preserve">Nurse </w:t>
            </w:r>
            <w:r>
              <w:rPr>
                <w:rFonts w:cs="Calibri"/>
                <w:color w:val="000000"/>
                <w:szCs w:val="20"/>
              </w:rPr>
              <w:t>h</w:t>
            </w:r>
            <w:r w:rsidRPr="00F069E3">
              <w:rPr>
                <w:rFonts w:cs="Calibri"/>
                <w:color w:val="000000"/>
                <w:szCs w:val="20"/>
              </w:rPr>
              <w:t xml:space="preserve">ours </w:t>
            </w:r>
            <w:r>
              <w:rPr>
                <w:rFonts w:cs="Calibri"/>
                <w:color w:val="000000"/>
                <w:szCs w:val="20"/>
              </w:rPr>
              <w:t>s</w:t>
            </w:r>
            <w:r w:rsidRPr="00F069E3">
              <w:rPr>
                <w:rFonts w:cs="Calibri"/>
                <w:color w:val="000000"/>
                <w:szCs w:val="20"/>
              </w:rPr>
              <w:t xml:space="preserve">pent in </w:t>
            </w:r>
            <w:r>
              <w:rPr>
                <w:rFonts w:cs="Calibri"/>
                <w:color w:val="000000"/>
                <w:szCs w:val="20"/>
              </w:rPr>
              <w:t>t</w:t>
            </w:r>
            <w:r w:rsidRPr="00F069E3">
              <w:rPr>
                <w:rFonts w:cs="Calibri"/>
                <w:color w:val="000000"/>
                <w:szCs w:val="20"/>
              </w:rPr>
              <w:t>raining</w:t>
            </w:r>
          </w:p>
        </w:tc>
        <w:tc>
          <w:tcPr>
            <w:tcW w:w="1108" w:type="pct"/>
          </w:tcPr>
          <w:p w14:paraId="68954EBB" w14:textId="77777777" w:rsidR="00DD184E" w:rsidRPr="00F069E3" w:rsidRDefault="00DD184E" w:rsidP="00DA31D9">
            <w:pPr>
              <w:spacing w:line="240" w:lineRule="auto"/>
              <w:jc w:val="center"/>
              <w:rPr>
                <w:rFonts w:eastAsiaTheme="minorEastAsia" w:cstheme="minorHAnsi"/>
                <w:szCs w:val="20"/>
                <w:highlight w:val="yellow"/>
              </w:rPr>
            </w:pPr>
            <w:bookmarkStart w:id="9" w:name="RANGE!G46"/>
            <w:r w:rsidRPr="00F069E3">
              <w:rPr>
                <w:rFonts w:cs="Calibri"/>
                <w:szCs w:val="20"/>
              </w:rPr>
              <w:t>0.5</w:t>
            </w:r>
            <w:bookmarkEnd w:id="9"/>
          </w:p>
        </w:tc>
        <w:tc>
          <w:tcPr>
            <w:tcW w:w="1108" w:type="pct"/>
          </w:tcPr>
          <w:p w14:paraId="68954EBC" w14:textId="77777777" w:rsidR="00DD184E" w:rsidRPr="00A058F4" w:rsidRDefault="00DD184E" w:rsidP="00DA31D9">
            <w:pPr>
              <w:spacing w:line="240" w:lineRule="auto"/>
              <w:jc w:val="center"/>
              <w:rPr>
                <w:rFonts w:eastAsiaTheme="minorEastAsia" w:cstheme="minorHAnsi"/>
                <w:szCs w:val="20"/>
              </w:rPr>
            </w:pPr>
            <w:r>
              <w:rPr>
                <w:rFonts w:eastAsiaTheme="minorEastAsia" w:cstheme="minorHAnsi"/>
                <w:szCs w:val="20"/>
              </w:rPr>
              <w:t>Expert input</w:t>
            </w:r>
          </w:p>
        </w:tc>
      </w:tr>
      <w:tr w:rsidR="00DD184E" w:rsidRPr="00CF0E91" w14:paraId="68954EC1" w14:textId="77777777" w:rsidTr="00DA31D9">
        <w:trPr>
          <w:trHeight w:val="288"/>
        </w:trPr>
        <w:tc>
          <w:tcPr>
            <w:tcW w:w="2783" w:type="pct"/>
          </w:tcPr>
          <w:p w14:paraId="68954EBE" w14:textId="77777777" w:rsidR="00DD184E" w:rsidRPr="00F069E3" w:rsidRDefault="00DD184E" w:rsidP="00DA31D9">
            <w:pPr>
              <w:spacing w:line="240" w:lineRule="auto"/>
              <w:rPr>
                <w:rFonts w:eastAsiaTheme="minorEastAsia" w:cstheme="minorHAnsi"/>
                <w:szCs w:val="20"/>
                <w:highlight w:val="yellow"/>
              </w:rPr>
            </w:pPr>
            <w:r w:rsidRPr="00F069E3">
              <w:rPr>
                <w:rFonts w:cs="Calibri"/>
                <w:szCs w:val="20"/>
              </w:rPr>
              <w:t xml:space="preserve">Number of </w:t>
            </w:r>
            <w:r>
              <w:rPr>
                <w:rFonts w:cs="Calibri"/>
                <w:szCs w:val="20"/>
              </w:rPr>
              <w:t>n</w:t>
            </w:r>
            <w:r w:rsidRPr="00F069E3">
              <w:rPr>
                <w:rFonts w:cs="Calibri"/>
                <w:szCs w:val="20"/>
              </w:rPr>
              <w:t xml:space="preserve">urses undergoing training </w:t>
            </w:r>
          </w:p>
        </w:tc>
        <w:tc>
          <w:tcPr>
            <w:tcW w:w="1108" w:type="pct"/>
          </w:tcPr>
          <w:p w14:paraId="68954EBF" w14:textId="77777777" w:rsidR="00DD184E" w:rsidRPr="00F069E3" w:rsidRDefault="00DD184E" w:rsidP="00DA31D9">
            <w:pPr>
              <w:spacing w:line="240" w:lineRule="auto"/>
              <w:jc w:val="center"/>
              <w:rPr>
                <w:rFonts w:eastAsiaTheme="minorEastAsia" w:cstheme="minorHAnsi"/>
                <w:szCs w:val="20"/>
                <w:highlight w:val="yellow"/>
              </w:rPr>
            </w:pPr>
            <w:bookmarkStart w:id="10" w:name="RANGE!G47"/>
            <w:r w:rsidRPr="00F069E3">
              <w:rPr>
                <w:rFonts w:cs="Calibri"/>
                <w:szCs w:val="20"/>
              </w:rPr>
              <w:t>1,000,000</w:t>
            </w:r>
            <w:bookmarkEnd w:id="10"/>
          </w:p>
        </w:tc>
        <w:tc>
          <w:tcPr>
            <w:tcW w:w="1108" w:type="pct"/>
          </w:tcPr>
          <w:p w14:paraId="68954EC0" w14:textId="77777777" w:rsidR="00DD184E" w:rsidRPr="00A058F4" w:rsidRDefault="00DD184E" w:rsidP="00DA31D9">
            <w:pPr>
              <w:spacing w:line="240" w:lineRule="auto"/>
              <w:jc w:val="center"/>
              <w:rPr>
                <w:rFonts w:eastAsiaTheme="minorEastAsia" w:cstheme="minorHAnsi"/>
                <w:szCs w:val="20"/>
              </w:rPr>
            </w:pPr>
            <w:r>
              <w:rPr>
                <w:rFonts w:eastAsiaTheme="minorEastAsia" w:cstheme="minorHAnsi"/>
                <w:szCs w:val="20"/>
              </w:rPr>
              <w:t>Expert input</w:t>
            </w:r>
          </w:p>
        </w:tc>
      </w:tr>
      <w:tr w:rsidR="00DD184E" w:rsidRPr="00CF0E91" w14:paraId="68954EC5" w14:textId="77777777" w:rsidTr="00DA31D9">
        <w:trPr>
          <w:trHeight w:val="288"/>
        </w:trPr>
        <w:tc>
          <w:tcPr>
            <w:tcW w:w="2783" w:type="pct"/>
          </w:tcPr>
          <w:p w14:paraId="68954EC2" w14:textId="77777777" w:rsidR="00DD184E" w:rsidRPr="00F069E3" w:rsidRDefault="00DD184E" w:rsidP="00DA31D9">
            <w:pPr>
              <w:spacing w:line="240" w:lineRule="auto"/>
              <w:rPr>
                <w:rFonts w:eastAsiaTheme="minorEastAsia" w:cstheme="minorHAnsi"/>
                <w:szCs w:val="20"/>
                <w:highlight w:val="yellow"/>
              </w:rPr>
            </w:pPr>
            <w:r w:rsidRPr="00F069E3">
              <w:rPr>
                <w:rFonts w:cs="Calibri"/>
                <w:color w:val="000000"/>
                <w:szCs w:val="20"/>
              </w:rPr>
              <w:t xml:space="preserve">Cost of </w:t>
            </w:r>
            <w:r>
              <w:rPr>
                <w:rFonts w:cs="Calibri"/>
                <w:color w:val="000000"/>
                <w:szCs w:val="20"/>
              </w:rPr>
              <w:t>t</w:t>
            </w:r>
            <w:r w:rsidRPr="00F069E3">
              <w:rPr>
                <w:rFonts w:cs="Calibri"/>
                <w:color w:val="000000"/>
                <w:szCs w:val="20"/>
              </w:rPr>
              <w:t xml:space="preserve">raining </w:t>
            </w:r>
            <w:r>
              <w:rPr>
                <w:rFonts w:cs="Calibri"/>
                <w:color w:val="000000"/>
                <w:szCs w:val="20"/>
              </w:rPr>
              <w:t>m</w:t>
            </w:r>
            <w:r w:rsidRPr="00F069E3">
              <w:rPr>
                <w:rFonts w:cs="Calibri"/>
                <w:color w:val="000000"/>
                <w:szCs w:val="20"/>
              </w:rPr>
              <w:t>odule</w:t>
            </w:r>
          </w:p>
        </w:tc>
        <w:tc>
          <w:tcPr>
            <w:tcW w:w="1108" w:type="pct"/>
          </w:tcPr>
          <w:p w14:paraId="68954EC3" w14:textId="77777777" w:rsidR="00DD184E" w:rsidRPr="00F069E3" w:rsidRDefault="00DD184E" w:rsidP="00DA31D9">
            <w:pPr>
              <w:spacing w:line="240" w:lineRule="auto"/>
              <w:jc w:val="center"/>
              <w:rPr>
                <w:rFonts w:eastAsiaTheme="minorEastAsia" w:cstheme="minorHAnsi"/>
                <w:szCs w:val="20"/>
                <w:highlight w:val="yellow"/>
              </w:rPr>
            </w:pPr>
            <w:bookmarkStart w:id="11" w:name="RANGE!G48"/>
            <w:r w:rsidRPr="00F069E3">
              <w:rPr>
                <w:rFonts w:cs="Calibri"/>
                <w:szCs w:val="20"/>
              </w:rPr>
              <w:t>$11.00</w:t>
            </w:r>
            <w:bookmarkEnd w:id="11"/>
          </w:p>
        </w:tc>
        <w:tc>
          <w:tcPr>
            <w:tcW w:w="1108" w:type="pct"/>
          </w:tcPr>
          <w:p w14:paraId="68954EC4" w14:textId="77777777" w:rsidR="00DD184E" w:rsidRPr="00A058F4" w:rsidRDefault="00DD184E" w:rsidP="00DA31D9">
            <w:pPr>
              <w:spacing w:line="240" w:lineRule="auto"/>
              <w:jc w:val="center"/>
              <w:rPr>
                <w:rFonts w:eastAsiaTheme="minorEastAsia" w:cstheme="minorHAnsi"/>
                <w:szCs w:val="20"/>
              </w:rPr>
            </w:pPr>
            <w:r>
              <w:rPr>
                <w:rFonts w:eastAsiaTheme="minorEastAsia" w:cstheme="minorHAnsi"/>
                <w:szCs w:val="20"/>
              </w:rPr>
              <w:t>Expert input</w:t>
            </w:r>
          </w:p>
        </w:tc>
      </w:tr>
      <w:tr w:rsidR="00DD184E" w:rsidRPr="00CF0E91" w14:paraId="68954EC9" w14:textId="77777777" w:rsidTr="00DA31D9">
        <w:trPr>
          <w:trHeight w:val="288"/>
        </w:trPr>
        <w:tc>
          <w:tcPr>
            <w:tcW w:w="2783" w:type="pct"/>
          </w:tcPr>
          <w:p w14:paraId="68954EC6" w14:textId="77777777" w:rsidR="00DD184E" w:rsidRPr="00F069E3" w:rsidRDefault="00DD184E" w:rsidP="00DA31D9">
            <w:pPr>
              <w:spacing w:line="240" w:lineRule="auto"/>
              <w:rPr>
                <w:rFonts w:eastAsiaTheme="minorEastAsia" w:cstheme="minorHAnsi"/>
                <w:szCs w:val="20"/>
                <w:highlight w:val="yellow"/>
              </w:rPr>
            </w:pPr>
            <w:r w:rsidRPr="00F069E3">
              <w:rPr>
                <w:rFonts w:cs="Calibri"/>
                <w:color w:val="000000"/>
                <w:szCs w:val="20"/>
              </w:rPr>
              <w:t xml:space="preserve">Nurse </w:t>
            </w:r>
            <w:r>
              <w:rPr>
                <w:rFonts w:cs="Calibri"/>
                <w:color w:val="000000"/>
                <w:szCs w:val="20"/>
              </w:rPr>
              <w:t>t</w:t>
            </w:r>
            <w:r w:rsidRPr="00F069E3">
              <w:rPr>
                <w:rFonts w:cs="Calibri"/>
                <w:color w:val="000000"/>
                <w:szCs w:val="20"/>
              </w:rPr>
              <w:t xml:space="preserve">raining </w:t>
            </w:r>
            <w:r>
              <w:rPr>
                <w:rFonts w:cs="Calibri"/>
                <w:color w:val="000000"/>
                <w:szCs w:val="20"/>
              </w:rPr>
              <w:t>c</w:t>
            </w:r>
            <w:r w:rsidRPr="00F069E3">
              <w:rPr>
                <w:rFonts w:cs="Calibri"/>
                <w:color w:val="000000"/>
                <w:szCs w:val="20"/>
              </w:rPr>
              <w:t>osts (</w:t>
            </w:r>
            <w:r>
              <w:rPr>
                <w:rFonts w:cs="Calibri"/>
                <w:color w:val="000000"/>
                <w:szCs w:val="20"/>
              </w:rPr>
              <w:t>n</w:t>
            </w:r>
            <w:r w:rsidRPr="00F069E3">
              <w:rPr>
                <w:rFonts w:cs="Calibri"/>
                <w:color w:val="000000"/>
                <w:szCs w:val="20"/>
              </w:rPr>
              <w:t>urse wage</w:t>
            </w:r>
            <w:r>
              <w:rPr>
                <w:rFonts w:cs="Calibri"/>
                <w:color w:val="000000"/>
                <w:szCs w:val="20"/>
              </w:rPr>
              <w:t xml:space="preserve"> × </w:t>
            </w:r>
            <w:r w:rsidRPr="00F069E3">
              <w:rPr>
                <w:rFonts w:cs="Calibri"/>
                <w:color w:val="000000"/>
                <w:szCs w:val="20"/>
              </w:rPr>
              <w:t>training hours</w:t>
            </w:r>
            <w:r>
              <w:rPr>
                <w:rFonts w:cs="Calibri"/>
                <w:color w:val="000000"/>
                <w:szCs w:val="20"/>
              </w:rPr>
              <w:t xml:space="preserve"> × </w:t>
            </w:r>
            <w:r w:rsidRPr="00F069E3">
              <w:rPr>
                <w:rFonts w:cs="Calibri"/>
                <w:color w:val="000000"/>
                <w:szCs w:val="20"/>
              </w:rPr>
              <w:t># of nurses</w:t>
            </w:r>
            <w:r>
              <w:rPr>
                <w:rFonts w:cs="Calibri"/>
                <w:color w:val="000000"/>
                <w:szCs w:val="20"/>
              </w:rPr>
              <w:t xml:space="preserve"> × </w:t>
            </w:r>
            <w:r w:rsidRPr="00F069E3">
              <w:rPr>
                <w:rFonts w:cs="Calibri"/>
                <w:color w:val="000000"/>
                <w:szCs w:val="20"/>
              </w:rPr>
              <w:t>cost of module)</w:t>
            </w:r>
          </w:p>
        </w:tc>
        <w:tc>
          <w:tcPr>
            <w:tcW w:w="1108" w:type="pct"/>
          </w:tcPr>
          <w:p w14:paraId="68954EC7" w14:textId="77777777" w:rsidR="00DD184E" w:rsidRPr="00F069E3" w:rsidRDefault="00DD184E" w:rsidP="00DA31D9">
            <w:pPr>
              <w:spacing w:line="240" w:lineRule="auto"/>
              <w:jc w:val="center"/>
              <w:rPr>
                <w:rFonts w:eastAsiaTheme="minorEastAsia" w:cstheme="minorHAnsi"/>
                <w:szCs w:val="20"/>
                <w:highlight w:val="yellow"/>
              </w:rPr>
            </w:pPr>
            <w:bookmarkStart w:id="12" w:name="RANGE!G49"/>
            <w:r w:rsidRPr="00F069E3">
              <w:rPr>
                <w:rFonts w:cs="Calibri"/>
                <w:szCs w:val="20"/>
              </w:rPr>
              <w:t>$204,820,000.00</w:t>
            </w:r>
            <w:bookmarkEnd w:id="12"/>
          </w:p>
        </w:tc>
        <w:tc>
          <w:tcPr>
            <w:tcW w:w="1108" w:type="pct"/>
          </w:tcPr>
          <w:p w14:paraId="68954EC8" w14:textId="77777777" w:rsidR="00DD184E" w:rsidRPr="00A058F4" w:rsidRDefault="00DD184E" w:rsidP="00DA31D9">
            <w:pPr>
              <w:spacing w:line="240" w:lineRule="auto"/>
              <w:jc w:val="center"/>
              <w:rPr>
                <w:rFonts w:eastAsiaTheme="minorEastAsia" w:cstheme="minorHAnsi"/>
                <w:szCs w:val="20"/>
              </w:rPr>
            </w:pPr>
            <w:r>
              <w:rPr>
                <w:rFonts w:eastAsiaTheme="minorEastAsia" w:cstheme="minorHAnsi"/>
                <w:szCs w:val="20"/>
              </w:rPr>
              <w:t>Expert input, 21</w:t>
            </w:r>
          </w:p>
        </w:tc>
      </w:tr>
      <w:tr w:rsidR="00DD184E" w:rsidRPr="00CF0E91" w14:paraId="68954ECD" w14:textId="77777777" w:rsidTr="00DA31D9">
        <w:trPr>
          <w:trHeight w:val="288"/>
        </w:trPr>
        <w:tc>
          <w:tcPr>
            <w:tcW w:w="2783" w:type="pct"/>
          </w:tcPr>
          <w:p w14:paraId="68954ECA" w14:textId="77777777" w:rsidR="00DD184E" w:rsidRPr="00F069E3" w:rsidRDefault="00DD184E" w:rsidP="00DA31D9">
            <w:pPr>
              <w:spacing w:line="240" w:lineRule="auto"/>
              <w:rPr>
                <w:rFonts w:eastAsiaTheme="minorEastAsia" w:cstheme="minorHAnsi"/>
                <w:szCs w:val="20"/>
                <w:highlight w:val="yellow"/>
              </w:rPr>
            </w:pPr>
            <w:r w:rsidRPr="00F069E3">
              <w:rPr>
                <w:rFonts w:cs="Calibri"/>
                <w:szCs w:val="20"/>
              </w:rPr>
              <w:t xml:space="preserve">Paper and </w:t>
            </w:r>
            <w:r>
              <w:rPr>
                <w:rFonts w:cs="Calibri"/>
                <w:szCs w:val="20"/>
              </w:rPr>
              <w:t>p</w:t>
            </w:r>
            <w:r w:rsidRPr="00F069E3">
              <w:rPr>
                <w:rFonts w:cs="Calibri"/>
                <w:szCs w:val="20"/>
              </w:rPr>
              <w:t xml:space="preserve">rinting </w:t>
            </w:r>
            <w:r>
              <w:rPr>
                <w:rFonts w:cs="Calibri"/>
                <w:szCs w:val="20"/>
              </w:rPr>
              <w:t>c</w:t>
            </w:r>
            <w:r w:rsidRPr="00F069E3">
              <w:rPr>
                <w:rFonts w:cs="Calibri"/>
                <w:szCs w:val="20"/>
              </w:rPr>
              <w:t xml:space="preserve">osts for VTE </w:t>
            </w:r>
            <w:r>
              <w:rPr>
                <w:rFonts w:cs="Calibri"/>
                <w:szCs w:val="20"/>
              </w:rPr>
              <w:t>e</w:t>
            </w:r>
            <w:r w:rsidRPr="00F069E3">
              <w:rPr>
                <w:rFonts w:cs="Calibri"/>
                <w:szCs w:val="20"/>
              </w:rPr>
              <w:t xml:space="preserve">ducation </w:t>
            </w:r>
            <w:r>
              <w:rPr>
                <w:rFonts w:cs="Calibri"/>
                <w:szCs w:val="20"/>
              </w:rPr>
              <w:t>b</w:t>
            </w:r>
            <w:r w:rsidRPr="00F069E3">
              <w:rPr>
                <w:rFonts w:cs="Calibri"/>
                <w:szCs w:val="20"/>
              </w:rPr>
              <w:t>undle (</w:t>
            </w:r>
            <w:r>
              <w:rPr>
                <w:rFonts w:cs="Calibri"/>
                <w:szCs w:val="20"/>
              </w:rPr>
              <w:t>c</w:t>
            </w:r>
            <w:r w:rsidRPr="00F069E3">
              <w:rPr>
                <w:rFonts w:cs="Calibri"/>
                <w:szCs w:val="20"/>
              </w:rPr>
              <w:t xml:space="preserve">ost </w:t>
            </w:r>
            <w:r>
              <w:rPr>
                <w:rFonts w:cs="Calibri"/>
                <w:szCs w:val="20"/>
              </w:rPr>
              <w:t>p</w:t>
            </w:r>
            <w:r w:rsidRPr="00F069E3">
              <w:rPr>
                <w:rFonts w:cs="Calibri"/>
                <w:szCs w:val="20"/>
              </w:rPr>
              <w:t xml:space="preserve">er </w:t>
            </w:r>
            <w:r>
              <w:rPr>
                <w:rFonts w:cs="Calibri"/>
                <w:szCs w:val="20"/>
              </w:rPr>
              <w:t>p</w:t>
            </w:r>
            <w:r w:rsidRPr="00F069E3">
              <w:rPr>
                <w:rFonts w:cs="Calibri"/>
                <w:szCs w:val="20"/>
              </w:rPr>
              <w:t>age)</w:t>
            </w:r>
          </w:p>
        </w:tc>
        <w:tc>
          <w:tcPr>
            <w:tcW w:w="1108" w:type="pct"/>
          </w:tcPr>
          <w:p w14:paraId="68954ECB" w14:textId="77777777" w:rsidR="00DD184E" w:rsidRPr="00F069E3" w:rsidRDefault="00DD184E" w:rsidP="00DA31D9">
            <w:pPr>
              <w:spacing w:line="240" w:lineRule="auto"/>
              <w:jc w:val="center"/>
              <w:rPr>
                <w:rFonts w:eastAsiaTheme="minorEastAsia" w:cstheme="minorHAnsi"/>
                <w:szCs w:val="20"/>
                <w:highlight w:val="yellow"/>
              </w:rPr>
            </w:pPr>
            <w:bookmarkStart w:id="13" w:name="RANGE!G50"/>
            <w:r w:rsidRPr="00F069E3">
              <w:rPr>
                <w:rFonts w:cs="Calibri"/>
                <w:szCs w:val="20"/>
              </w:rPr>
              <w:t>$0.15</w:t>
            </w:r>
            <w:bookmarkEnd w:id="13"/>
          </w:p>
        </w:tc>
        <w:tc>
          <w:tcPr>
            <w:tcW w:w="1108" w:type="pct"/>
          </w:tcPr>
          <w:p w14:paraId="68954ECC" w14:textId="77777777" w:rsidR="00DD184E" w:rsidRPr="00A058F4" w:rsidRDefault="00DD184E" w:rsidP="00DA31D9">
            <w:pPr>
              <w:spacing w:line="240" w:lineRule="auto"/>
              <w:jc w:val="center"/>
              <w:rPr>
                <w:rFonts w:eastAsiaTheme="minorEastAsia" w:cstheme="minorHAnsi"/>
                <w:szCs w:val="20"/>
              </w:rPr>
            </w:pPr>
            <w:r>
              <w:rPr>
                <w:rFonts w:eastAsiaTheme="minorEastAsia" w:cstheme="minorHAnsi"/>
                <w:szCs w:val="20"/>
              </w:rPr>
              <w:t>Authors’ assumptions</w:t>
            </w:r>
          </w:p>
        </w:tc>
      </w:tr>
      <w:tr w:rsidR="00DD184E" w:rsidRPr="00CF0E91" w14:paraId="68954ED1" w14:textId="77777777" w:rsidTr="00DA31D9">
        <w:trPr>
          <w:trHeight w:val="288"/>
        </w:trPr>
        <w:tc>
          <w:tcPr>
            <w:tcW w:w="2783" w:type="pct"/>
          </w:tcPr>
          <w:p w14:paraId="68954ECE" w14:textId="77777777" w:rsidR="00DD184E" w:rsidRPr="00F069E3" w:rsidRDefault="00DD184E" w:rsidP="00DA31D9">
            <w:pPr>
              <w:spacing w:line="240" w:lineRule="auto"/>
              <w:rPr>
                <w:rFonts w:eastAsiaTheme="minorEastAsia" w:cstheme="minorHAnsi"/>
                <w:szCs w:val="20"/>
                <w:highlight w:val="yellow"/>
              </w:rPr>
            </w:pPr>
            <w:r w:rsidRPr="00F069E3">
              <w:rPr>
                <w:rFonts w:cs="Calibri"/>
                <w:color w:val="000000"/>
                <w:szCs w:val="20"/>
              </w:rPr>
              <w:t xml:space="preserve">Number of </w:t>
            </w:r>
            <w:r>
              <w:rPr>
                <w:rFonts w:cs="Calibri"/>
                <w:color w:val="000000"/>
                <w:szCs w:val="20"/>
              </w:rPr>
              <w:t>p</w:t>
            </w:r>
            <w:r w:rsidRPr="00F069E3">
              <w:rPr>
                <w:rFonts w:cs="Calibri"/>
                <w:color w:val="000000"/>
                <w:szCs w:val="20"/>
              </w:rPr>
              <w:t xml:space="preserve">ages to </w:t>
            </w:r>
            <w:r>
              <w:rPr>
                <w:rFonts w:cs="Calibri"/>
                <w:color w:val="000000"/>
                <w:szCs w:val="20"/>
              </w:rPr>
              <w:t>p</w:t>
            </w:r>
            <w:r w:rsidRPr="00F069E3">
              <w:rPr>
                <w:rFonts w:cs="Calibri"/>
                <w:color w:val="000000"/>
                <w:szCs w:val="20"/>
              </w:rPr>
              <w:t xml:space="preserve">rint for VTE </w:t>
            </w:r>
            <w:r>
              <w:rPr>
                <w:rFonts w:cs="Calibri"/>
                <w:color w:val="000000"/>
                <w:szCs w:val="20"/>
              </w:rPr>
              <w:t>e</w:t>
            </w:r>
            <w:r w:rsidRPr="00F069E3">
              <w:rPr>
                <w:rFonts w:cs="Calibri"/>
                <w:color w:val="000000"/>
                <w:szCs w:val="20"/>
              </w:rPr>
              <w:t xml:space="preserve">ducation </w:t>
            </w:r>
            <w:r>
              <w:rPr>
                <w:rFonts w:cs="Calibri"/>
                <w:color w:val="000000"/>
                <w:szCs w:val="20"/>
              </w:rPr>
              <w:t>b</w:t>
            </w:r>
            <w:r w:rsidRPr="00F069E3">
              <w:rPr>
                <w:rFonts w:cs="Calibri"/>
                <w:color w:val="000000"/>
                <w:szCs w:val="20"/>
              </w:rPr>
              <w:t>undle</w:t>
            </w:r>
          </w:p>
        </w:tc>
        <w:tc>
          <w:tcPr>
            <w:tcW w:w="1108" w:type="pct"/>
          </w:tcPr>
          <w:p w14:paraId="68954ECF" w14:textId="77777777" w:rsidR="00DD184E" w:rsidRPr="00F069E3" w:rsidRDefault="00DD184E" w:rsidP="00DA31D9">
            <w:pPr>
              <w:spacing w:line="240" w:lineRule="auto"/>
              <w:jc w:val="center"/>
              <w:rPr>
                <w:rFonts w:eastAsiaTheme="minorEastAsia" w:cstheme="minorHAnsi"/>
                <w:szCs w:val="20"/>
                <w:highlight w:val="yellow"/>
              </w:rPr>
            </w:pPr>
            <w:bookmarkStart w:id="14" w:name="RANGE!G51"/>
            <w:r w:rsidRPr="00F069E3">
              <w:rPr>
                <w:rFonts w:cs="Calibri"/>
                <w:szCs w:val="20"/>
              </w:rPr>
              <w:t>2</w:t>
            </w:r>
            <w:bookmarkEnd w:id="14"/>
          </w:p>
        </w:tc>
        <w:tc>
          <w:tcPr>
            <w:tcW w:w="1108" w:type="pct"/>
          </w:tcPr>
          <w:p w14:paraId="68954ED0" w14:textId="77777777" w:rsidR="00DD184E" w:rsidRPr="00A058F4" w:rsidRDefault="00DD184E" w:rsidP="00DA31D9">
            <w:pPr>
              <w:spacing w:line="240" w:lineRule="auto"/>
              <w:jc w:val="center"/>
              <w:rPr>
                <w:rFonts w:eastAsiaTheme="minorEastAsia" w:cstheme="minorHAnsi"/>
                <w:szCs w:val="20"/>
              </w:rPr>
            </w:pPr>
            <w:r>
              <w:rPr>
                <w:rFonts w:cs="Calibri"/>
              </w:rPr>
              <w:t>10</w:t>
            </w:r>
          </w:p>
        </w:tc>
      </w:tr>
      <w:tr w:rsidR="00DD184E" w:rsidRPr="00CF0E91" w14:paraId="68954ED5" w14:textId="77777777" w:rsidTr="00DA31D9">
        <w:trPr>
          <w:trHeight w:val="288"/>
        </w:trPr>
        <w:tc>
          <w:tcPr>
            <w:tcW w:w="2783" w:type="pct"/>
          </w:tcPr>
          <w:p w14:paraId="68954ED2" w14:textId="77777777" w:rsidR="00DD184E" w:rsidRPr="00F069E3" w:rsidRDefault="00DD184E" w:rsidP="00DA31D9">
            <w:pPr>
              <w:spacing w:line="240" w:lineRule="auto"/>
              <w:rPr>
                <w:rFonts w:eastAsiaTheme="minorEastAsia" w:cstheme="minorHAnsi"/>
                <w:szCs w:val="20"/>
                <w:highlight w:val="yellow"/>
              </w:rPr>
            </w:pPr>
            <w:r>
              <w:rPr>
                <w:rFonts w:cs="Calibri"/>
                <w:color w:val="000000"/>
                <w:szCs w:val="20"/>
              </w:rPr>
              <w:t>Percentage</w:t>
            </w:r>
            <w:r w:rsidRPr="00F069E3">
              <w:rPr>
                <w:rFonts w:cs="Calibri"/>
                <w:color w:val="000000"/>
                <w:szCs w:val="20"/>
              </w:rPr>
              <w:t xml:space="preserve"> of those rece</w:t>
            </w:r>
            <w:r>
              <w:rPr>
                <w:rFonts w:cs="Calibri"/>
                <w:color w:val="000000"/>
                <w:szCs w:val="20"/>
              </w:rPr>
              <w:t>i</w:t>
            </w:r>
            <w:r w:rsidRPr="00F069E3">
              <w:rPr>
                <w:rFonts w:cs="Calibri"/>
                <w:color w:val="000000"/>
                <w:szCs w:val="20"/>
              </w:rPr>
              <w:t>ving intervention who request paper handout</w:t>
            </w:r>
          </w:p>
        </w:tc>
        <w:tc>
          <w:tcPr>
            <w:tcW w:w="1108" w:type="pct"/>
          </w:tcPr>
          <w:p w14:paraId="68954ED3" w14:textId="77777777" w:rsidR="00DD184E" w:rsidRPr="00F069E3" w:rsidRDefault="00DD184E" w:rsidP="00DA31D9">
            <w:pPr>
              <w:spacing w:line="240" w:lineRule="auto"/>
              <w:jc w:val="center"/>
              <w:rPr>
                <w:rFonts w:eastAsiaTheme="minorEastAsia" w:cstheme="minorHAnsi"/>
                <w:szCs w:val="20"/>
                <w:highlight w:val="yellow"/>
              </w:rPr>
            </w:pPr>
            <w:bookmarkStart w:id="15" w:name="RANGE!G52"/>
            <w:r w:rsidRPr="00F069E3">
              <w:rPr>
                <w:rFonts w:cs="Calibri"/>
                <w:szCs w:val="20"/>
              </w:rPr>
              <w:t>23</w:t>
            </w:r>
            <w:bookmarkEnd w:id="15"/>
            <w:r>
              <w:rPr>
                <w:rFonts w:cs="Calibri"/>
                <w:szCs w:val="20"/>
              </w:rPr>
              <w:t>%</w:t>
            </w:r>
          </w:p>
        </w:tc>
        <w:tc>
          <w:tcPr>
            <w:tcW w:w="1108" w:type="pct"/>
          </w:tcPr>
          <w:p w14:paraId="68954ED4" w14:textId="77777777" w:rsidR="00DD184E" w:rsidRPr="00A058F4" w:rsidRDefault="00DD184E" w:rsidP="00DA31D9">
            <w:pPr>
              <w:spacing w:line="240" w:lineRule="auto"/>
              <w:jc w:val="center"/>
              <w:rPr>
                <w:rFonts w:eastAsiaTheme="minorEastAsia" w:cstheme="minorHAnsi"/>
                <w:szCs w:val="20"/>
              </w:rPr>
            </w:pPr>
            <w:r>
              <w:rPr>
                <w:rFonts w:cs="Calibri"/>
              </w:rPr>
              <w:t>10</w:t>
            </w:r>
          </w:p>
        </w:tc>
      </w:tr>
      <w:tr w:rsidR="00DD184E" w:rsidRPr="00CF0E91" w14:paraId="68954ED9" w14:textId="77777777" w:rsidTr="00DA31D9">
        <w:trPr>
          <w:trHeight w:val="288"/>
        </w:trPr>
        <w:tc>
          <w:tcPr>
            <w:tcW w:w="2783" w:type="pct"/>
          </w:tcPr>
          <w:p w14:paraId="68954ED6" w14:textId="77777777" w:rsidR="00DD184E" w:rsidRPr="00F069E3" w:rsidRDefault="00DD184E" w:rsidP="00DA31D9">
            <w:pPr>
              <w:spacing w:line="240" w:lineRule="auto"/>
              <w:rPr>
                <w:rFonts w:eastAsiaTheme="minorEastAsia" w:cstheme="minorHAnsi"/>
                <w:szCs w:val="20"/>
                <w:highlight w:val="yellow"/>
              </w:rPr>
            </w:pPr>
            <w:r w:rsidRPr="00F069E3">
              <w:rPr>
                <w:rFonts w:cs="Calibri"/>
                <w:color w:val="000000"/>
                <w:szCs w:val="20"/>
              </w:rPr>
              <w:t xml:space="preserve">Total </w:t>
            </w:r>
            <w:r>
              <w:rPr>
                <w:rFonts w:cs="Calibri"/>
                <w:color w:val="000000"/>
                <w:szCs w:val="20"/>
              </w:rPr>
              <w:t>p</w:t>
            </w:r>
            <w:r w:rsidRPr="00F069E3">
              <w:rPr>
                <w:rFonts w:cs="Calibri"/>
                <w:color w:val="000000"/>
                <w:szCs w:val="20"/>
              </w:rPr>
              <w:t xml:space="preserve">rinting </w:t>
            </w:r>
            <w:r>
              <w:rPr>
                <w:rFonts w:cs="Calibri"/>
                <w:color w:val="000000"/>
                <w:szCs w:val="20"/>
              </w:rPr>
              <w:t>c</w:t>
            </w:r>
            <w:r w:rsidRPr="00F069E3">
              <w:rPr>
                <w:rFonts w:cs="Calibri"/>
                <w:color w:val="000000"/>
                <w:szCs w:val="20"/>
              </w:rPr>
              <w:t>ost</w:t>
            </w:r>
          </w:p>
        </w:tc>
        <w:tc>
          <w:tcPr>
            <w:tcW w:w="1108" w:type="pct"/>
          </w:tcPr>
          <w:p w14:paraId="68954ED7" w14:textId="77777777" w:rsidR="00DD184E" w:rsidRPr="00F069E3" w:rsidRDefault="00DD184E" w:rsidP="00DA31D9">
            <w:pPr>
              <w:spacing w:line="240" w:lineRule="auto"/>
              <w:jc w:val="center"/>
              <w:rPr>
                <w:rFonts w:eastAsiaTheme="minorEastAsia" w:cstheme="minorHAnsi"/>
                <w:szCs w:val="20"/>
                <w:highlight w:val="yellow"/>
              </w:rPr>
            </w:pPr>
            <w:bookmarkStart w:id="16" w:name="RANGE!G53"/>
            <w:r w:rsidRPr="00F069E3">
              <w:rPr>
                <w:rFonts w:cs="Calibri"/>
                <w:szCs w:val="20"/>
              </w:rPr>
              <w:t>$</w:t>
            </w:r>
            <w:r w:rsidRPr="00517CE9">
              <w:rPr>
                <w:rFonts w:cs="Calibri"/>
                <w:szCs w:val="20"/>
              </w:rPr>
              <w:t>73,141.56</w:t>
            </w:r>
            <w:bookmarkEnd w:id="16"/>
          </w:p>
        </w:tc>
        <w:tc>
          <w:tcPr>
            <w:tcW w:w="1108" w:type="pct"/>
          </w:tcPr>
          <w:p w14:paraId="68954ED8" w14:textId="77777777" w:rsidR="00DD184E" w:rsidRPr="00A058F4" w:rsidRDefault="00DD184E" w:rsidP="00DA31D9">
            <w:pPr>
              <w:spacing w:line="240" w:lineRule="auto"/>
              <w:jc w:val="center"/>
              <w:rPr>
                <w:rFonts w:eastAsiaTheme="minorEastAsia" w:cstheme="minorHAnsi"/>
                <w:szCs w:val="20"/>
              </w:rPr>
            </w:pPr>
            <w:r>
              <w:rPr>
                <w:rFonts w:cs="Calibri"/>
              </w:rPr>
              <w:t>10,</w:t>
            </w:r>
            <w:r>
              <w:rPr>
                <w:rFonts w:asciiTheme="minorHAnsi" w:eastAsiaTheme="minorEastAsia" w:hAnsiTheme="minorHAnsi" w:cstheme="minorHAnsi"/>
                <w:szCs w:val="20"/>
              </w:rPr>
              <w:t xml:space="preserve"> </w:t>
            </w:r>
            <w:r>
              <w:rPr>
                <w:rFonts w:eastAsiaTheme="minorEastAsia" w:cstheme="minorHAnsi"/>
                <w:szCs w:val="20"/>
              </w:rPr>
              <w:t>authors’ assumptions</w:t>
            </w:r>
          </w:p>
        </w:tc>
      </w:tr>
      <w:tr w:rsidR="00DD184E" w:rsidRPr="00CF0E91" w14:paraId="68954EDD" w14:textId="77777777" w:rsidTr="00DA31D9">
        <w:trPr>
          <w:trHeight w:val="288"/>
        </w:trPr>
        <w:tc>
          <w:tcPr>
            <w:tcW w:w="2783" w:type="pct"/>
          </w:tcPr>
          <w:p w14:paraId="68954EDA" w14:textId="77777777" w:rsidR="00DD184E" w:rsidRPr="00F069E3" w:rsidRDefault="00DD184E" w:rsidP="00DA31D9">
            <w:pPr>
              <w:spacing w:line="240" w:lineRule="auto"/>
              <w:rPr>
                <w:rFonts w:cs="Calibri"/>
                <w:color w:val="000000"/>
                <w:szCs w:val="20"/>
              </w:rPr>
            </w:pPr>
            <w:r>
              <w:rPr>
                <w:rFonts w:cs="Calibri"/>
                <w:color w:val="000000"/>
                <w:szCs w:val="20"/>
              </w:rPr>
              <w:t>Cost of starting up real-time alert system (per hospital)</w:t>
            </w:r>
          </w:p>
        </w:tc>
        <w:tc>
          <w:tcPr>
            <w:tcW w:w="1108" w:type="pct"/>
          </w:tcPr>
          <w:p w14:paraId="68954EDB" w14:textId="77777777" w:rsidR="00DD184E" w:rsidRPr="00F069E3" w:rsidRDefault="00DD184E" w:rsidP="00DA31D9">
            <w:pPr>
              <w:spacing w:line="240" w:lineRule="auto"/>
              <w:jc w:val="center"/>
              <w:rPr>
                <w:rFonts w:cs="Calibri"/>
                <w:szCs w:val="20"/>
              </w:rPr>
            </w:pPr>
            <w:r>
              <w:rPr>
                <w:rFonts w:cs="Calibri"/>
                <w:szCs w:val="20"/>
              </w:rPr>
              <w:t>$16,944.00</w:t>
            </w:r>
          </w:p>
        </w:tc>
        <w:tc>
          <w:tcPr>
            <w:tcW w:w="1108" w:type="pct"/>
          </w:tcPr>
          <w:p w14:paraId="68954EDC" w14:textId="77777777" w:rsidR="00DD184E" w:rsidRDefault="00DD184E" w:rsidP="00DA31D9">
            <w:pPr>
              <w:spacing w:line="240" w:lineRule="auto"/>
              <w:jc w:val="center"/>
              <w:rPr>
                <w:rFonts w:cs="Calibri"/>
              </w:rPr>
            </w:pPr>
            <w:r>
              <w:rPr>
                <w:rFonts w:cs="Calibri"/>
              </w:rPr>
              <w:t>19, authors’ assumptions</w:t>
            </w:r>
          </w:p>
        </w:tc>
      </w:tr>
      <w:tr w:rsidR="00DD184E" w:rsidRPr="00CF0E91" w14:paraId="68954EE1" w14:textId="77777777" w:rsidTr="00DA31D9">
        <w:trPr>
          <w:trHeight w:val="288"/>
        </w:trPr>
        <w:tc>
          <w:tcPr>
            <w:tcW w:w="2783" w:type="pct"/>
          </w:tcPr>
          <w:p w14:paraId="68954EDE" w14:textId="77777777" w:rsidR="00DD184E" w:rsidRPr="00F069E3" w:rsidRDefault="00DD184E" w:rsidP="00DA31D9">
            <w:pPr>
              <w:spacing w:line="240" w:lineRule="auto"/>
              <w:rPr>
                <w:rFonts w:cs="Calibri"/>
                <w:color w:val="000000"/>
                <w:szCs w:val="20"/>
              </w:rPr>
            </w:pPr>
            <w:r>
              <w:rPr>
                <w:rFonts w:cs="Calibri"/>
                <w:color w:val="000000"/>
                <w:szCs w:val="20"/>
              </w:rPr>
              <w:t>Cost of maintaining real-time alert system (per hospital)</w:t>
            </w:r>
          </w:p>
        </w:tc>
        <w:tc>
          <w:tcPr>
            <w:tcW w:w="1108" w:type="pct"/>
          </w:tcPr>
          <w:p w14:paraId="68954EDF" w14:textId="77777777" w:rsidR="00DD184E" w:rsidRPr="00F069E3" w:rsidRDefault="00DD184E" w:rsidP="00DA31D9">
            <w:pPr>
              <w:spacing w:line="240" w:lineRule="auto"/>
              <w:jc w:val="center"/>
              <w:rPr>
                <w:rFonts w:cs="Calibri"/>
                <w:szCs w:val="20"/>
              </w:rPr>
            </w:pPr>
            <w:r>
              <w:rPr>
                <w:rFonts w:cs="Calibri"/>
                <w:szCs w:val="20"/>
              </w:rPr>
              <w:t>$1,059.00</w:t>
            </w:r>
          </w:p>
        </w:tc>
        <w:tc>
          <w:tcPr>
            <w:tcW w:w="1108" w:type="pct"/>
          </w:tcPr>
          <w:p w14:paraId="68954EE0" w14:textId="77777777" w:rsidR="00DD184E" w:rsidRDefault="00DD184E" w:rsidP="00DA31D9">
            <w:pPr>
              <w:spacing w:line="240" w:lineRule="auto"/>
              <w:jc w:val="center"/>
              <w:rPr>
                <w:rFonts w:cs="Calibri"/>
              </w:rPr>
            </w:pPr>
            <w:r>
              <w:rPr>
                <w:rFonts w:cs="Calibri"/>
              </w:rPr>
              <w:t>19</w:t>
            </w:r>
          </w:p>
        </w:tc>
      </w:tr>
      <w:tr w:rsidR="00DD184E" w:rsidRPr="00CF0E91" w14:paraId="68954EE5" w14:textId="77777777" w:rsidTr="00DA31D9">
        <w:trPr>
          <w:trHeight w:val="288"/>
        </w:trPr>
        <w:tc>
          <w:tcPr>
            <w:tcW w:w="2783" w:type="pct"/>
          </w:tcPr>
          <w:p w14:paraId="68954EE2" w14:textId="77777777" w:rsidR="00DD184E" w:rsidRPr="00F069E3" w:rsidRDefault="00DD184E" w:rsidP="00DA31D9">
            <w:pPr>
              <w:spacing w:line="240" w:lineRule="auto"/>
              <w:rPr>
                <w:rFonts w:cs="Calibri"/>
                <w:color w:val="000000"/>
                <w:szCs w:val="20"/>
              </w:rPr>
            </w:pPr>
            <w:r>
              <w:rPr>
                <w:rFonts w:cs="Calibri"/>
                <w:color w:val="000000"/>
                <w:szCs w:val="20"/>
              </w:rPr>
              <w:t>Number of hospitals using real-time alert system</w:t>
            </w:r>
          </w:p>
        </w:tc>
        <w:tc>
          <w:tcPr>
            <w:tcW w:w="1108" w:type="pct"/>
          </w:tcPr>
          <w:p w14:paraId="68954EE3" w14:textId="77777777" w:rsidR="00DD184E" w:rsidRPr="00F069E3" w:rsidRDefault="00DD184E" w:rsidP="00DA31D9">
            <w:pPr>
              <w:spacing w:line="240" w:lineRule="auto"/>
              <w:jc w:val="center"/>
              <w:rPr>
                <w:rFonts w:cs="Calibri"/>
                <w:szCs w:val="20"/>
              </w:rPr>
            </w:pPr>
            <w:r>
              <w:rPr>
                <w:rFonts w:cs="Calibri"/>
                <w:szCs w:val="20"/>
              </w:rPr>
              <w:t>5,235</w:t>
            </w:r>
          </w:p>
        </w:tc>
        <w:tc>
          <w:tcPr>
            <w:tcW w:w="1108" w:type="pct"/>
          </w:tcPr>
          <w:p w14:paraId="68954EE4" w14:textId="77777777" w:rsidR="00DD184E" w:rsidRDefault="00DD184E" w:rsidP="00DA31D9">
            <w:pPr>
              <w:spacing w:line="240" w:lineRule="auto"/>
              <w:jc w:val="center"/>
              <w:rPr>
                <w:rFonts w:cs="Calibri"/>
              </w:rPr>
            </w:pPr>
            <w:r>
              <w:rPr>
                <w:rFonts w:cs="Calibri"/>
              </w:rPr>
              <w:t>20</w:t>
            </w:r>
          </w:p>
        </w:tc>
      </w:tr>
      <w:tr w:rsidR="00DD184E" w:rsidRPr="00C73146" w14:paraId="68954EE7" w14:textId="77777777" w:rsidTr="00DA31D9">
        <w:trPr>
          <w:trHeight w:val="288"/>
        </w:trPr>
        <w:tc>
          <w:tcPr>
            <w:tcW w:w="5000" w:type="pct"/>
            <w:gridSpan w:val="3"/>
            <w:shd w:val="clear" w:color="auto" w:fill="F2F2F2" w:themeFill="background1" w:themeFillShade="F2"/>
          </w:tcPr>
          <w:p w14:paraId="68954EE6" w14:textId="77777777" w:rsidR="00DD184E" w:rsidRPr="00C73146" w:rsidRDefault="00DD184E" w:rsidP="00DA31D9">
            <w:pPr>
              <w:tabs>
                <w:tab w:val="left" w:pos="666"/>
              </w:tabs>
              <w:spacing w:line="240" w:lineRule="auto"/>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Value of Patient and Caregiver Time</w:t>
            </w:r>
          </w:p>
        </w:tc>
      </w:tr>
      <w:tr w:rsidR="00DD184E" w:rsidRPr="00CF0E91" w14:paraId="68954EEB" w14:textId="77777777" w:rsidTr="00DA31D9">
        <w:trPr>
          <w:trHeight w:val="288"/>
        </w:trPr>
        <w:tc>
          <w:tcPr>
            <w:tcW w:w="2783" w:type="pct"/>
          </w:tcPr>
          <w:p w14:paraId="68954EE8" w14:textId="77777777" w:rsidR="00DD184E" w:rsidRPr="00CF0E91" w:rsidRDefault="00DD184E" w:rsidP="00DA31D9">
            <w:pPr>
              <w:spacing w:line="240" w:lineRule="auto"/>
              <w:rPr>
                <w:rFonts w:asciiTheme="minorHAnsi" w:eastAsiaTheme="minorEastAsia" w:hAnsiTheme="minorHAnsi" w:cstheme="minorHAnsi"/>
                <w:szCs w:val="20"/>
                <w:highlight w:val="yellow"/>
              </w:rPr>
            </w:pPr>
            <w:r w:rsidRPr="00E84FD2">
              <w:rPr>
                <w:rFonts w:asciiTheme="minorHAnsi" w:hAnsiTheme="minorHAnsi" w:cstheme="minorHAnsi"/>
                <w:szCs w:val="20"/>
              </w:rPr>
              <w:t>Average hourly wage rate</w:t>
            </w:r>
          </w:p>
        </w:tc>
        <w:tc>
          <w:tcPr>
            <w:tcW w:w="1108" w:type="pct"/>
          </w:tcPr>
          <w:p w14:paraId="68954EE9" w14:textId="77777777" w:rsidR="00DD184E" w:rsidRPr="00CF0E91" w:rsidRDefault="00DD184E" w:rsidP="00DA31D9">
            <w:pPr>
              <w:spacing w:line="240" w:lineRule="auto"/>
              <w:jc w:val="center"/>
              <w:rPr>
                <w:rFonts w:asciiTheme="minorHAnsi" w:eastAsiaTheme="minorEastAsia" w:hAnsiTheme="minorHAnsi" w:cstheme="minorHAnsi"/>
                <w:szCs w:val="20"/>
              </w:rPr>
            </w:pPr>
            <w:r w:rsidRPr="00CF0E91">
              <w:rPr>
                <w:rFonts w:asciiTheme="minorHAnsi" w:eastAsiaTheme="minorEastAsia" w:hAnsiTheme="minorHAnsi" w:cstheme="minorHAnsi"/>
                <w:szCs w:val="20"/>
              </w:rPr>
              <w:t>$</w:t>
            </w:r>
            <w:r>
              <w:rPr>
                <w:rFonts w:asciiTheme="minorHAnsi" w:eastAsiaTheme="minorEastAsia" w:hAnsiTheme="minorHAnsi" w:cstheme="minorHAnsi"/>
                <w:szCs w:val="20"/>
              </w:rPr>
              <w:t>35.96</w:t>
            </w:r>
          </w:p>
        </w:tc>
        <w:tc>
          <w:tcPr>
            <w:tcW w:w="1108" w:type="pct"/>
          </w:tcPr>
          <w:p w14:paraId="68954EEA"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21</w:t>
            </w:r>
          </w:p>
        </w:tc>
      </w:tr>
      <w:tr w:rsidR="00DD184E" w:rsidRPr="00CF0E91" w14:paraId="68954EEF" w14:textId="77777777" w:rsidTr="00DA31D9">
        <w:trPr>
          <w:trHeight w:val="288"/>
        </w:trPr>
        <w:tc>
          <w:tcPr>
            <w:tcW w:w="2783" w:type="pct"/>
          </w:tcPr>
          <w:p w14:paraId="68954EEC" w14:textId="77777777" w:rsidR="00DD184E" w:rsidRPr="00CF0E91" w:rsidRDefault="00DD184E" w:rsidP="00DA31D9">
            <w:pPr>
              <w:spacing w:line="240" w:lineRule="auto"/>
              <w:rPr>
                <w:rFonts w:asciiTheme="minorHAnsi" w:eastAsiaTheme="minorEastAsia" w:hAnsiTheme="minorHAnsi" w:cstheme="minorHAnsi"/>
                <w:szCs w:val="20"/>
                <w:highlight w:val="yellow"/>
              </w:rPr>
            </w:pPr>
            <w:r w:rsidRPr="00E84FD2">
              <w:rPr>
                <w:rFonts w:asciiTheme="minorHAnsi" w:hAnsiTheme="minorHAnsi" w:cstheme="minorHAnsi"/>
                <w:szCs w:val="20"/>
              </w:rPr>
              <w:t>Average hourly caregiver wage rate</w:t>
            </w:r>
          </w:p>
        </w:tc>
        <w:tc>
          <w:tcPr>
            <w:tcW w:w="1108" w:type="pct"/>
          </w:tcPr>
          <w:p w14:paraId="68954EED" w14:textId="77777777" w:rsidR="00DD184E" w:rsidRPr="00CF0E91" w:rsidRDefault="00DD184E" w:rsidP="00DA31D9">
            <w:pPr>
              <w:spacing w:line="240" w:lineRule="auto"/>
              <w:jc w:val="center"/>
              <w:rPr>
                <w:rFonts w:asciiTheme="minorHAnsi" w:eastAsiaTheme="minorEastAsia" w:hAnsiTheme="minorHAnsi" w:cstheme="minorHAnsi"/>
                <w:szCs w:val="20"/>
              </w:rPr>
            </w:pPr>
            <w:r w:rsidRPr="00CF0E91">
              <w:rPr>
                <w:rFonts w:asciiTheme="minorHAnsi" w:eastAsiaTheme="minorEastAsia" w:hAnsiTheme="minorHAnsi" w:cstheme="minorHAnsi"/>
                <w:szCs w:val="20"/>
              </w:rPr>
              <w:t>$</w:t>
            </w:r>
            <w:r>
              <w:rPr>
                <w:rFonts w:asciiTheme="minorHAnsi" w:eastAsiaTheme="minorEastAsia" w:hAnsiTheme="minorHAnsi" w:cstheme="minorHAnsi"/>
                <w:szCs w:val="20"/>
              </w:rPr>
              <w:t>15.80</w:t>
            </w:r>
          </w:p>
        </w:tc>
        <w:tc>
          <w:tcPr>
            <w:tcW w:w="1108" w:type="pct"/>
          </w:tcPr>
          <w:p w14:paraId="68954EEE"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21</w:t>
            </w:r>
          </w:p>
        </w:tc>
      </w:tr>
      <w:tr w:rsidR="00DD184E" w:rsidRPr="00C73146" w14:paraId="68954EF1" w14:textId="77777777" w:rsidTr="00DA31D9">
        <w:trPr>
          <w:trHeight w:val="288"/>
        </w:trPr>
        <w:tc>
          <w:tcPr>
            <w:tcW w:w="5000" w:type="pct"/>
            <w:gridSpan w:val="3"/>
            <w:shd w:val="clear" w:color="auto" w:fill="F2F2F2" w:themeFill="background1" w:themeFillShade="F2"/>
          </w:tcPr>
          <w:p w14:paraId="68954EF0" w14:textId="77777777" w:rsidR="00DD184E" w:rsidRPr="00C73146" w:rsidRDefault="00DD184E" w:rsidP="00DA31D9">
            <w:pPr>
              <w:tabs>
                <w:tab w:val="left" w:pos="666"/>
              </w:tabs>
              <w:spacing w:line="240" w:lineRule="auto"/>
              <w:jc w:val="center"/>
              <w:rPr>
                <w:rFonts w:asciiTheme="minorHAnsi" w:eastAsiaTheme="minorEastAsia" w:hAnsiTheme="minorHAnsi" w:cstheme="minorHAnsi"/>
                <w:b/>
                <w:bCs/>
                <w:szCs w:val="20"/>
              </w:rPr>
            </w:pPr>
            <w:r>
              <w:rPr>
                <w:rFonts w:asciiTheme="minorHAnsi" w:eastAsiaTheme="minorEastAsia" w:hAnsiTheme="minorHAnsi" w:cstheme="minorHAnsi"/>
                <w:b/>
                <w:bCs/>
                <w:szCs w:val="20"/>
              </w:rPr>
              <w:t>Productivity Loss</w:t>
            </w:r>
          </w:p>
        </w:tc>
      </w:tr>
      <w:tr w:rsidR="00DD184E" w:rsidRPr="00CF0E91" w14:paraId="68954EF5" w14:textId="77777777" w:rsidTr="00DA31D9">
        <w:trPr>
          <w:trHeight w:val="288"/>
        </w:trPr>
        <w:tc>
          <w:tcPr>
            <w:tcW w:w="2783" w:type="pct"/>
          </w:tcPr>
          <w:p w14:paraId="68954EF2" w14:textId="77777777" w:rsidR="00DD184E" w:rsidRPr="00CF0E91" w:rsidRDefault="00DD184E" w:rsidP="00DA31D9">
            <w:pPr>
              <w:spacing w:line="240" w:lineRule="auto"/>
              <w:rPr>
                <w:rFonts w:asciiTheme="minorHAnsi" w:eastAsiaTheme="minorEastAsia" w:hAnsiTheme="minorHAnsi" w:cstheme="minorHAnsi"/>
                <w:szCs w:val="20"/>
                <w:highlight w:val="yellow"/>
              </w:rPr>
            </w:pPr>
            <w:r w:rsidRPr="00E84FD2">
              <w:rPr>
                <w:rFonts w:asciiTheme="minorHAnsi" w:hAnsiTheme="minorHAnsi" w:cstheme="minorHAnsi"/>
                <w:szCs w:val="20"/>
              </w:rPr>
              <w:t xml:space="preserve">Labor </w:t>
            </w:r>
            <w:r>
              <w:rPr>
                <w:rFonts w:asciiTheme="minorHAnsi" w:hAnsiTheme="minorHAnsi" w:cstheme="minorHAnsi"/>
                <w:szCs w:val="20"/>
              </w:rPr>
              <w:t>f</w:t>
            </w:r>
            <w:r w:rsidRPr="00E84FD2">
              <w:rPr>
                <w:rFonts w:asciiTheme="minorHAnsi" w:hAnsiTheme="minorHAnsi" w:cstheme="minorHAnsi"/>
                <w:szCs w:val="20"/>
              </w:rPr>
              <w:t xml:space="preserve">orce </w:t>
            </w:r>
            <w:r>
              <w:rPr>
                <w:rFonts w:asciiTheme="minorHAnsi" w:hAnsiTheme="minorHAnsi" w:cstheme="minorHAnsi"/>
                <w:szCs w:val="20"/>
              </w:rPr>
              <w:t>p</w:t>
            </w:r>
            <w:r w:rsidRPr="00E84FD2">
              <w:rPr>
                <w:rFonts w:asciiTheme="minorHAnsi" w:hAnsiTheme="minorHAnsi" w:cstheme="minorHAnsi"/>
                <w:szCs w:val="20"/>
              </w:rPr>
              <w:t xml:space="preserve">articipation </w:t>
            </w:r>
            <w:r>
              <w:rPr>
                <w:rFonts w:asciiTheme="minorHAnsi" w:hAnsiTheme="minorHAnsi" w:cstheme="minorHAnsi"/>
                <w:szCs w:val="20"/>
              </w:rPr>
              <w:t>r</w:t>
            </w:r>
            <w:r w:rsidRPr="00E84FD2">
              <w:rPr>
                <w:rFonts w:asciiTheme="minorHAnsi" w:hAnsiTheme="minorHAnsi" w:cstheme="minorHAnsi"/>
                <w:szCs w:val="20"/>
              </w:rPr>
              <w:t xml:space="preserve">ate </w:t>
            </w:r>
            <w:r>
              <w:rPr>
                <w:rFonts w:asciiTheme="minorHAnsi" w:hAnsiTheme="minorHAnsi" w:cstheme="minorHAnsi"/>
                <w:szCs w:val="20"/>
              </w:rPr>
              <w:t>a</w:t>
            </w:r>
            <w:r w:rsidRPr="00E84FD2">
              <w:rPr>
                <w:rFonts w:asciiTheme="minorHAnsi" w:hAnsiTheme="minorHAnsi" w:cstheme="minorHAnsi"/>
                <w:szCs w:val="20"/>
              </w:rPr>
              <w:t xml:space="preserve">mong </w:t>
            </w:r>
            <w:r>
              <w:rPr>
                <w:rFonts w:asciiTheme="minorHAnsi" w:hAnsiTheme="minorHAnsi" w:cstheme="minorHAnsi"/>
                <w:szCs w:val="20"/>
              </w:rPr>
              <w:t>p</w:t>
            </w:r>
            <w:r w:rsidRPr="00E84FD2">
              <w:rPr>
                <w:rFonts w:asciiTheme="minorHAnsi" w:hAnsiTheme="minorHAnsi" w:cstheme="minorHAnsi"/>
                <w:szCs w:val="20"/>
              </w:rPr>
              <w:t>opulation</w:t>
            </w:r>
            <w:r>
              <w:rPr>
                <w:rFonts w:asciiTheme="minorHAnsi" w:hAnsiTheme="minorHAnsi" w:cstheme="minorHAnsi"/>
                <w:szCs w:val="20"/>
              </w:rPr>
              <w:t xml:space="preserve"> aged 55 and older</w:t>
            </w:r>
          </w:p>
        </w:tc>
        <w:tc>
          <w:tcPr>
            <w:tcW w:w="1108" w:type="pct"/>
          </w:tcPr>
          <w:p w14:paraId="68954EF3" w14:textId="77777777" w:rsidR="00DD184E" w:rsidRPr="00F069E3" w:rsidRDefault="00DD184E" w:rsidP="00DA31D9">
            <w:pPr>
              <w:spacing w:line="240" w:lineRule="auto"/>
              <w:jc w:val="center"/>
              <w:rPr>
                <w:rFonts w:asciiTheme="minorHAnsi" w:eastAsiaTheme="minorEastAsia" w:hAnsiTheme="minorHAnsi" w:cstheme="minorHAnsi"/>
                <w:szCs w:val="20"/>
              </w:rPr>
            </w:pPr>
            <w:r w:rsidRPr="00F069E3">
              <w:rPr>
                <w:rFonts w:asciiTheme="minorHAnsi" w:eastAsiaTheme="minorEastAsia" w:hAnsiTheme="minorHAnsi" w:cstheme="minorHAnsi"/>
                <w:szCs w:val="20"/>
              </w:rPr>
              <w:t>40.2%</w:t>
            </w:r>
          </w:p>
        </w:tc>
        <w:tc>
          <w:tcPr>
            <w:tcW w:w="1108" w:type="pct"/>
          </w:tcPr>
          <w:p w14:paraId="68954EF4" w14:textId="77777777" w:rsidR="00DD184E" w:rsidRPr="00A058F4" w:rsidRDefault="00DD184E" w:rsidP="00DA31D9">
            <w:pPr>
              <w:spacing w:line="240" w:lineRule="auto"/>
              <w:jc w:val="center"/>
              <w:rPr>
                <w:rFonts w:asciiTheme="minorHAnsi" w:eastAsiaTheme="minorEastAsia" w:hAnsiTheme="minorHAnsi" w:cstheme="minorHAnsi"/>
                <w:szCs w:val="20"/>
              </w:rPr>
            </w:pPr>
            <w:r>
              <w:rPr>
                <w:rFonts w:cs="Calibri"/>
              </w:rPr>
              <w:t>21</w:t>
            </w:r>
          </w:p>
        </w:tc>
      </w:tr>
      <w:tr w:rsidR="00DD184E" w:rsidRPr="00CF0E91" w14:paraId="68954EF9" w14:textId="77777777" w:rsidTr="00DA31D9">
        <w:trPr>
          <w:trHeight w:val="288"/>
        </w:trPr>
        <w:tc>
          <w:tcPr>
            <w:tcW w:w="2783" w:type="pct"/>
          </w:tcPr>
          <w:p w14:paraId="68954EF6" w14:textId="77777777" w:rsidR="00DD184E" w:rsidRPr="00CF0E91" w:rsidRDefault="00DD184E" w:rsidP="00DA31D9">
            <w:pPr>
              <w:pStyle w:val="TableText-IPR"/>
              <w:rPr>
                <w:highlight w:val="yellow"/>
              </w:rPr>
            </w:pPr>
            <w:r>
              <w:t>Patient accompaniment rate</w:t>
            </w:r>
          </w:p>
        </w:tc>
        <w:tc>
          <w:tcPr>
            <w:tcW w:w="1108" w:type="pct"/>
          </w:tcPr>
          <w:p w14:paraId="68954EF7" w14:textId="77777777" w:rsidR="00DD184E" w:rsidRPr="00F069E3" w:rsidRDefault="00DD184E" w:rsidP="00DA31D9">
            <w:pPr>
              <w:pStyle w:val="TableText-IPR"/>
              <w:jc w:val="center"/>
              <w:rPr>
                <w:rFonts w:asciiTheme="minorHAnsi" w:hAnsiTheme="minorHAnsi" w:cstheme="minorHAnsi"/>
              </w:rPr>
            </w:pPr>
            <w:r w:rsidRPr="00F069E3">
              <w:rPr>
                <w:rFonts w:asciiTheme="minorHAnsi" w:hAnsiTheme="minorHAnsi" w:cstheme="minorHAnsi"/>
              </w:rPr>
              <w:t>37.6%</w:t>
            </w:r>
          </w:p>
        </w:tc>
        <w:tc>
          <w:tcPr>
            <w:tcW w:w="1108" w:type="pct"/>
          </w:tcPr>
          <w:p w14:paraId="68954EF8" w14:textId="77777777" w:rsidR="00DD184E" w:rsidRPr="00A058F4" w:rsidRDefault="00DD184E" w:rsidP="00DA31D9">
            <w:pPr>
              <w:pStyle w:val="TableText-IPR"/>
              <w:jc w:val="center"/>
              <w:rPr>
                <w:rFonts w:asciiTheme="minorHAnsi" w:hAnsiTheme="minorHAnsi" w:cstheme="minorHAnsi"/>
              </w:rPr>
            </w:pPr>
            <w:r>
              <w:rPr>
                <w:rFonts w:cs="Calibri"/>
              </w:rPr>
              <w:t>33</w:t>
            </w:r>
          </w:p>
        </w:tc>
      </w:tr>
    </w:tbl>
    <w:p w14:paraId="68954EFA" w14:textId="77777777" w:rsidR="00DD184E" w:rsidRPr="00CF0E91" w:rsidRDefault="00DD184E" w:rsidP="00DD184E">
      <w:pPr>
        <w:spacing w:after="0" w:line="240" w:lineRule="auto"/>
        <w:rPr>
          <w:rFonts w:ascii="Calibri" w:eastAsia="Calibri" w:hAnsi="Calibri" w:cs="Calibri"/>
          <w:sz w:val="18"/>
          <w:szCs w:val="20"/>
        </w:rPr>
      </w:pPr>
      <w:r>
        <w:rPr>
          <w:rFonts w:ascii="Calibri" w:eastAsia="Calibri" w:hAnsi="Calibri" w:cs="Calibri"/>
          <w:sz w:val="18"/>
          <w:szCs w:val="20"/>
        </w:rPr>
        <w:t xml:space="preserve">Note: </w:t>
      </w:r>
      <w:r w:rsidRPr="00CF0E91">
        <w:rPr>
          <w:rFonts w:ascii="Calibri" w:eastAsia="Calibri" w:hAnsi="Calibri" w:cs="Calibri"/>
          <w:sz w:val="18"/>
          <w:szCs w:val="20"/>
        </w:rPr>
        <w:t>Dollars are in 20</w:t>
      </w:r>
      <w:r>
        <w:rPr>
          <w:rFonts w:ascii="Calibri" w:eastAsia="Calibri" w:hAnsi="Calibri" w:cs="Calibri"/>
          <w:sz w:val="18"/>
          <w:szCs w:val="20"/>
        </w:rPr>
        <w:t>20</w:t>
      </w:r>
      <w:r w:rsidRPr="00CF0E91">
        <w:rPr>
          <w:rFonts w:ascii="Calibri" w:eastAsia="Calibri" w:hAnsi="Calibri" w:cs="Calibri"/>
          <w:sz w:val="18"/>
          <w:szCs w:val="20"/>
        </w:rPr>
        <w:t xml:space="preserve"> values.</w:t>
      </w:r>
    </w:p>
    <w:p w14:paraId="68954EFB" w14:textId="77777777" w:rsidR="00DD184E" w:rsidRDefault="00DD184E" w:rsidP="00DD184E">
      <w:pPr>
        <w:spacing w:after="240" w:line="240" w:lineRule="auto"/>
        <w:rPr>
          <w:rFonts w:ascii="Calibri" w:eastAsia="Calibri" w:hAnsi="Calibri" w:cs="Calibri"/>
          <w:sz w:val="18"/>
          <w:szCs w:val="20"/>
        </w:rPr>
      </w:pPr>
      <w:r>
        <w:rPr>
          <w:rFonts w:ascii="Calibri" w:eastAsia="Calibri" w:hAnsi="Calibri" w:cs="Calibri"/>
          <w:sz w:val="18"/>
          <w:szCs w:val="20"/>
        </w:rPr>
        <w:t>PCORI = Patient-Centered Outcomes Research Institute; VTE = v</w:t>
      </w:r>
      <w:r w:rsidRPr="00ED1BDA">
        <w:rPr>
          <w:rFonts w:ascii="Calibri" w:eastAsia="Calibri" w:hAnsi="Calibri" w:cs="Calibri"/>
          <w:sz w:val="18"/>
          <w:szCs w:val="20"/>
        </w:rPr>
        <w:t xml:space="preserve">enous </w:t>
      </w:r>
      <w:r>
        <w:rPr>
          <w:rFonts w:ascii="Calibri" w:eastAsia="Calibri" w:hAnsi="Calibri" w:cs="Calibri"/>
          <w:sz w:val="18"/>
          <w:szCs w:val="20"/>
        </w:rPr>
        <w:t>t</w:t>
      </w:r>
      <w:r w:rsidRPr="00ED1BDA">
        <w:rPr>
          <w:rFonts w:ascii="Calibri" w:eastAsia="Calibri" w:hAnsi="Calibri" w:cs="Calibri"/>
          <w:sz w:val="18"/>
          <w:szCs w:val="20"/>
        </w:rPr>
        <w:t>hromboembolism</w:t>
      </w:r>
    </w:p>
    <w:p w14:paraId="68954EFC" w14:textId="77777777" w:rsidR="00DD184E" w:rsidRDefault="00DD184E" w:rsidP="00DD184E">
      <w:pPr>
        <w:spacing w:before="60" w:after="240" w:line="240" w:lineRule="auto"/>
        <w:contextualSpacing/>
        <w:rPr>
          <w:rFonts w:ascii="Calibri" w:eastAsia="Calibri" w:hAnsi="Calibri" w:cs="Calibri"/>
          <w:sz w:val="18"/>
          <w:szCs w:val="20"/>
        </w:rPr>
        <w:sectPr w:rsidR="00DD184E" w:rsidSect="005A1CFE">
          <w:headerReference w:type="even" r:id="rId6"/>
          <w:headerReference w:type="default" r:id="rId7"/>
          <w:footerReference w:type="default" r:id="rId8"/>
          <w:headerReference w:type="first" r:id="rId9"/>
          <w:pgSz w:w="12240" w:h="15840"/>
          <w:pgMar w:top="1440" w:right="1440" w:bottom="1440" w:left="1440" w:header="720" w:footer="720" w:gutter="0"/>
          <w:pgNumType w:start="1"/>
          <w:cols w:space="720"/>
          <w:docGrid w:linePitch="360"/>
        </w:sectPr>
      </w:pPr>
    </w:p>
    <w:p w14:paraId="68954EFD" w14:textId="72EC7833" w:rsidR="00DD184E" w:rsidRDefault="00757F82" w:rsidP="00DD184E">
      <w:pPr>
        <w:pStyle w:val="Heading1"/>
      </w:pPr>
      <w:r>
        <w:lastRenderedPageBreak/>
        <w:t>Supplementary material</w:t>
      </w:r>
      <w:r w:rsidR="00DD184E" w:rsidRPr="00404C59">
        <w:t>. List of Modeling Assumptions</w:t>
      </w:r>
    </w:p>
    <w:p w14:paraId="56CA82A5" w14:textId="17B65BBD" w:rsidR="00757F82" w:rsidRPr="00757F82" w:rsidRDefault="00757F82" w:rsidP="00757F82">
      <w:r>
        <w:t xml:space="preserve">Table 2 </w:t>
      </w:r>
    </w:p>
    <w:tbl>
      <w:tblPr>
        <w:tblStyle w:val="InsightTable2"/>
        <w:tblW w:w="5000" w:type="pct"/>
        <w:tblInd w:w="0" w:type="dxa"/>
        <w:tblLook w:val="04A0" w:firstRow="1" w:lastRow="0" w:firstColumn="1" w:lastColumn="0" w:noHBand="0" w:noVBand="1"/>
      </w:tblPr>
      <w:tblGrid>
        <w:gridCol w:w="4231"/>
        <w:gridCol w:w="5129"/>
      </w:tblGrid>
      <w:tr w:rsidR="00DD184E" w:rsidRPr="007B3C25" w14:paraId="68954F00" w14:textId="77777777" w:rsidTr="00DA31D9">
        <w:trPr>
          <w:cnfStyle w:val="100000000000" w:firstRow="1" w:lastRow="0" w:firstColumn="0" w:lastColumn="0" w:oddVBand="0" w:evenVBand="0" w:oddHBand="0" w:evenHBand="0" w:firstRowFirstColumn="0" w:firstRowLastColumn="0" w:lastRowFirstColumn="0" w:lastRowLastColumn="0"/>
          <w:trHeight w:val="360"/>
          <w:tblHeader/>
        </w:trPr>
        <w:tc>
          <w:tcPr>
            <w:tcW w:w="2260" w:type="pct"/>
          </w:tcPr>
          <w:p w14:paraId="68954EFE" w14:textId="77777777" w:rsidR="00DD184E" w:rsidRPr="007B3C25" w:rsidRDefault="00DD184E" w:rsidP="00DA31D9">
            <w:pPr>
              <w:pStyle w:val="TableHeaderRow-IPR"/>
              <w:rPr>
                <w:rFonts w:cs="Calibri"/>
                <w:color w:val="000000"/>
                <w:szCs w:val="18"/>
              </w:rPr>
            </w:pPr>
            <w:r w:rsidRPr="000E388F">
              <w:t>Assumption</w:t>
            </w:r>
          </w:p>
        </w:tc>
        <w:tc>
          <w:tcPr>
            <w:tcW w:w="2740" w:type="pct"/>
          </w:tcPr>
          <w:p w14:paraId="68954EFF" w14:textId="77777777" w:rsidR="00DD184E" w:rsidRPr="007B3C25" w:rsidRDefault="00DD184E" w:rsidP="00DA31D9">
            <w:pPr>
              <w:pStyle w:val="TableHeaderRow-IPR"/>
              <w:rPr>
                <w:rFonts w:cs="Calibri"/>
                <w:color w:val="000000"/>
                <w:szCs w:val="18"/>
              </w:rPr>
            </w:pPr>
            <w:r w:rsidRPr="000E388F">
              <w:t>Rationale</w:t>
            </w:r>
          </w:p>
        </w:tc>
      </w:tr>
      <w:tr w:rsidR="00DD184E" w:rsidRPr="00537E57" w14:paraId="68954F03" w14:textId="77777777" w:rsidTr="00DA31D9">
        <w:trPr>
          <w:trHeight w:val="288"/>
        </w:trPr>
        <w:tc>
          <w:tcPr>
            <w:tcW w:w="2260" w:type="pct"/>
          </w:tcPr>
          <w:p w14:paraId="68954F01" w14:textId="77777777" w:rsidR="00DD184E" w:rsidRPr="00B27602" w:rsidRDefault="00DD184E" w:rsidP="00DA31D9">
            <w:pPr>
              <w:spacing w:line="240" w:lineRule="auto"/>
              <w:rPr>
                <w:rFonts w:eastAsiaTheme="minorEastAsia" w:cstheme="minorHAnsi"/>
                <w:szCs w:val="20"/>
              </w:rPr>
            </w:pPr>
            <w:r>
              <w:t>The intervention significantly decreases VTE events at hospital discharge.</w:t>
            </w:r>
          </w:p>
        </w:tc>
        <w:tc>
          <w:tcPr>
            <w:tcW w:w="2740" w:type="pct"/>
          </w:tcPr>
          <w:p w14:paraId="68954F02" w14:textId="77777777" w:rsidR="00DD184E" w:rsidRPr="00537E57" w:rsidRDefault="00DD184E" w:rsidP="00DA31D9">
            <w:pPr>
              <w:spacing w:line="240" w:lineRule="auto"/>
              <w:rPr>
                <w:rFonts w:eastAsiaTheme="minorEastAsia" w:cstheme="minorBidi"/>
              </w:rPr>
            </w:pPr>
            <w:r>
              <w:t>Although VTE events decreased in both intervention and control arms in Haut et al. [10]), these decreases were not significant. However, Haut et al. [10] was not powered to find a decline in VTEs. Other research [6] found significant differences in VTE outcomes between patients receiving all doses and missing one dose. To model differences between arms, the study team used the reported differences and explored the uncertainty of this difference in sensitivity and scenario analyses.</w:t>
            </w:r>
          </w:p>
        </w:tc>
      </w:tr>
      <w:tr w:rsidR="00DD184E" w:rsidRPr="00537E57" w14:paraId="68954F06" w14:textId="77777777" w:rsidTr="00DA31D9">
        <w:trPr>
          <w:trHeight w:val="288"/>
        </w:trPr>
        <w:tc>
          <w:tcPr>
            <w:tcW w:w="2260" w:type="pct"/>
          </w:tcPr>
          <w:p w14:paraId="68954F04" w14:textId="77777777" w:rsidR="00DD184E" w:rsidRDefault="00DD184E" w:rsidP="00DA31D9">
            <w:pPr>
              <w:spacing w:line="240" w:lineRule="auto"/>
            </w:pPr>
            <w:r>
              <w:t>The intervention effectiveness of decreasing prophylaxis nonadministration and increasing the number of doses of prophylaxis received observed in Haut et al. [10] was assumed to apply to the entire at-risk population receiving the intervention.</w:t>
            </w:r>
          </w:p>
        </w:tc>
        <w:tc>
          <w:tcPr>
            <w:tcW w:w="2740" w:type="pct"/>
          </w:tcPr>
          <w:p w14:paraId="68954F05" w14:textId="77777777" w:rsidR="00DD184E" w:rsidRDefault="00DD184E" w:rsidP="00DA31D9">
            <w:pPr>
              <w:spacing w:line="240" w:lineRule="auto"/>
            </w:pPr>
            <w:r>
              <w:t>All patients who cycle through the intervention  are at the same decreased risk of not receiving all prescribed doses, and the percentage who do miss a dose are assumed to have received an additional dose, as observed in Haut et al. [10]. These effectiveness estimates may not extend universally to the entire at-risk population.</w:t>
            </w:r>
          </w:p>
        </w:tc>
      </w:tr>
      <w:tr w:rsidR="00DD184E" w:rsidRPr="00537E57" w14:paraId="68954F09" w14:textId="77777777" w:rsidTr="00DA31D9">
        <w:trPr>
          <w:trHeight w:val="288"/>
        </w:trPr>
        <w:tc>
          <w:tcPr>
            <w:tcW w:w="2260" w:type="pct"/>
          </w:tcPr>
          <w:p w14:paraId="68954F07" w14:textId="77777777" w:rsidR="00DD184E" w:rsidRPr="00B27602" w:rsidRDefault="00DD184E" w:rsidP="00DA31D9">
            <w:pPr>
              <w:spacing w:line="240" w:lineRule="auto"/>
              <w:rPr>
                <w:rFonts w:eastAsiaTheme="minorEastAsia" w:cstheme="minorHAnsi"/>
                <w:szCs w:val="20"/>
              </w:rPr>
            </w:pPr>
            <w:r>
              <w:t>The additional time nurses spend delivering the intervention is not valued as an additional cost to the intervention.</w:t>
            </w:r>
          </w:p>
        </w:tc>
        <w:tc>
          <w:tcPr>
            <w:tcW w:w="2740" w:type="pct"/>
          </w:tcPr>
          <w:p w14:paraId="68954F08" w14:textId="77777777" w:rsidR="00DD184E" w:rsidRPr="00537E57" w:rsidRDefault="00DD184E" w:rsidP="00DA31D9">
            <w:pPr>
              <w:spacing w:line="240" w:lineRule="auto"/>
              <w:rPr>
                <w:rFonts w:eastAsiaTheme="minorEastAsia" w:cstheme="minorHAnsi"/>
                <w:szCs w:val="20"/>
              </w:rPr>
            </w:pPr>
            <w:r>
              <w:t>Providing patient education on the benefits of their treatment is considered a standard responsibility of nurses.</w:t>
            </w:r>
          </w:p>
        </w:tc>
      </w:tr>
      <w:tr w:rsidR="00DD184E" w:rsidRPr="00537E57" w14:paraId="68954F0C" w14:textId="77777777" w:rsidTr="00DA31D9">
        <w:trPr>
          <w:trHeight w:val="288"/>
        </w:trPr>
        <w:tc>
          <w:tcPr>
            <w:tcW w:w="2260" w:type="pct"/>
          </w:tcPr>
          <w:p w14:paraId="68954F0A" w14:textId="77777777" w:rsidR="00DD184E" w:rsidRPr="00B27602" w:rsidRDefault="00DD184E" w:rsidP="00DA31D9">
            <w:pPr>
              <w:spacing w:line="240" w:lineRule="auto"/>
              <w:rPr>
                <w:rFonts w:eastAsiaTheme="minorEastAsia" w:cstheme="minorHAnsi"/>
                <w:szCs w:val="20"/>
              </w:rPr>
            </w:pPr>
            <w:r>
              <w:t xml:space="preserve">The Haut et al. [10] study has a dedicated health educator who delivers the intervention. In a later dissemination study </w:t>
            </w:r>
            <w:r w:rsidRPr="00552681">
              <w:rPr>
                <w:rFonts w:cs="Calibri"/>
              </w:rPr>
              <w:t>(Owodunni et al., 2020)</w:t>
            </w:r>
            <w:r>
              <w:t>, all floor nurses receive training and deliver the intervention instead of having one dedicated person because most hospitals will not hire a new health educator just to deliver this intervention. It is assumed removing the dedicated health educator does not affect the observed decrease in VTE events used in the model.</w:t>
            </w:r>
          </w:p>
        </w:tc>
        <w:tc>
          <w:tcPr>
            <w:tcW w:w="2740" w:type="pct"/>
          </w:tcPr>
          <w:p w14:paraId="68954F0B" w14:textId="77777777" w:rsidR="00DD184E" w:rsidRPr="00537E57" w:rsidRDefault="00DD184E" w:rsidP="00DA31D9">
            <w:pPr>
              <w:spacing w:line="240" w:lineRule="auto"/>
              <w:rPr>
                <w:rFonts w:eastAsiaTheme="minorEastAsia" w:cstheme="minorHAnsi"/>
                <w:szCs w:val="20"/>
              </w:rPr>
            </w:pPr>
            <w:r>
              <w:t>The original study had funding for a dedicated health educator. A national implementation is unlikely to replicate that condition, which is why Owodunni et al. (2020) examined the impact of the education bundle in a community hospital, splitting the responsibility among all floor nurses who were required to take a single online educational module.</w:t>
            </w:r>
          </w:p>
        </w:tc>
      </w:tr>
      <w:tr w:rsidR="00DD184E" w:rsidRPr="00537E57" w14:paraId="68954F0F" w14:textId="77777777" w:rsidTr="00DA31D9">
        <w:trPr>
          <w:trHeight w:val="288"/>
        </w:trPr>
        <w:tc>
          <w:tcPr>
            <w:tcW w:w="2260" w:type="pct"/>
          </w:tcPr>
          <w:p w14:paraId="68954F0D" w14:textId="77777777" w:rsidR="00DD184E" w:rsidRPr="00B27602" w:rsidRDefault="00DD184E" w:rsidP="00DA31D9">
            <w:pPr>
              <w:spacing w:line="240" w:lineRule="auto"/>
              <w:rPr>
                <w:rFonts w:eastAsiaTheme="minorEastAsia" w:cstheme="minorHAnsi"/>
                <w:szCs w:val="20"/>
              </w:rPr>
            </w:pPr>
            <w:r>
              <w:t>The ratio of type of intervention (i.e., paper handout, one-on-one discussion, or educational video) take-up observed in Haut et al. [10] is assumed to be similar across the country.</w:t>
            </w:r>
          </w:p>
        </w:tc>
        <w:tc>
          <w:tcPr>
            <w:tcW w:w="2740" w:type="pct"/>
          </w:tcPr>
          <w:p w14:paraId="68954F0E" w14:textId="77777777" w:rsidR="00DD184E" w:rsidRPr="00537E57" w:rsidRDefault="00DD184E" w:rsidP="00DA31D9">
            <w:pPr>
              <w:spacing w:line="240" w:lineRule="auto"/>
              <w:rPr>
                <w:rFonts w:eastAsiaTheme="minorEastAsia" w:cstheme="minorHAnsi"/>
                <w:szCs w:val="20"/>
              </w:rPr>
            </w:pPr>
            <w:r>
              <w:t>The type of intervention requested affects intervention costs (e.g., the cost of printing the paper handouts); it is assumed the results of the study will be generalizable to the rest of the population. The only type of intervention that currently affects provider costs is the paper handout; one-on-one discussion is assumed to be a standard nurse responsibility, and the educational video is available on YouTube.</w:t>
            </w:r>
          </w:p>
        </w:tc>
      </w:tr>
      <w:tr w:rsidR="00DD184E" w:rsidRPr="00537E57" w14:paraId="68954F12" w14:textId="77777777" w:rsidTr="00DA31D9">
        <w:trPr>
          <w:trHeight w:val="288"/>
        </w:trPr>
        <w:tc>
          <w:tcPr>
            <w:tcW w:w="2260" w:type="pct"/>
          </w:tcPr>
          <w:p w14:paraId="68954F10" w14:textId="77777777" w:rsidR="00DD184E" w:rsidRDefault="00DD184E" w:rsidP="00DA31D9">
            <w:pPr>
              <w:spacing w:line="240" w:lineRule="auto"/>
            </w:pPr>
            <w:r>
              <w:t xml:space="preserve">The costs associated with implementing the real-time alert system were based on the authors’ assumptions and the cost of labor. </w:t>
            </w:r>
          </w:p>
        </w:tc>
        <w:tc>
          <w:tcPr>
            <w:tcW w:w="2740" w:type="pct"/>
          </w:tcPr>
          <w:p w14:paraId="68954F11" w14:textId="77777777" w:rsidR="00DD184E" w:rsidRDefault="00DD184E" w:rsidP="00DA31D9">
            <w:pPr>
              <w:spacing w:line="240" w:lineRule="auto"/>
            </w:pPr>
            <w:r>
              <w:t xml:space="preserve">Authors assumed that implementing the real-time alert system would take approximately 320 hours of working time at $52.95 per hour (the wage of software developers, quality assurance analysts, and testers) [19]. This resulted in an implementation cost of $16,944. The authors further assumed that the real-time alert system would require 20 hours of maintenance work in each year following the initial implementation. This resulted in an annual maintenance cost </w:t>
            </w:r>
            <w:r>
              <w:lastRenderedPageBreak/>
              <w:t xml:space="preserve">of $1,059. These costs were estimated for 5,235 hospitals, an estimate of the total number of hospitals in the United States [20]. </w:t>
            </w:r>
          </w:p>
        </w:tc>
      </w:tr>
      <w:tr w:rsidR="00DD184E" w:rsidRPr="00537E57" w14:paraId="68954F15" w14:textId="77777777" w:rsidTr="00DA31D9">
        <w:trPr>
          <w:trHeight w:val="288"/>
        </w:trPr>
        <w:tc>
          <w:tcPr>
            <w:tcW w:w="2260" w:type="pct"/>
          </w:tcPr>
          <w:p w14:paraId="68954F13" w14:textId="77777777" w:rsidR="00DD184E" w:rsidRDefault="00DD184E" w:rsidP="00DA31D9">
            <w:pPr>
              <w:spacing w:line="240" w:lineRule="auto"/>
            </w:pPr>
            <w:r>
              <w:lastRenderedPageBreak/>
              <w:t>Employer and caregiver absenteeism hours assume a 40-hour workweek.</w:t>
            </w:r>
          </w:p>
        </w:tc>
        <w:tc>
          <w:tcPr>
            <w:tcW w:w="2740" w:type="pct"/>
          </w:tcPr>
          <w:p w14:paraId="68954F14" w14:textId="77777777" w:rsidR="00DD184E" w:rsidRDefault="00DD184E" w:rsidP="00DA31D9">
            <w:pPr>
              <w:spacing w:line="240" w:lineRule="auto"/>
            </w:pPr>
            <w:r>
              <w:t>Any patient time lost that amounted to over 40 hours per week was not considered an employee or caregiver absenteeism cost because the standard workweek is 40 hours.</w:t>
            </w:r>
          </w:p>
        </w:tc>
      </w:tr>
      <w:tr w:rsidR="00DD184E" w:rsidRPr="00537E57" w14:paraId="68954F18" w14:textId="77777777" w:rsidTr="00DA31D9">
        <w:trPr>
          <w:trHeight w:val="288"/>
        </w:trPr>
        <w:tc>
          <w:tcPr>
            <w:tcW w:w="2260" w:type="pct"/>
          </w:tcPr>
          <w:p w14:paraId="68954F16" w14:textId="77777777" w:rsidR="00DD184E" w:rsidRPr="000303A0" w:rsidRDefault="00DD184E" w:rsidP="00DA31D9">
            <w:pPr>
              <w:spacing w:line="240" w:lineRule="auto"/>
              <w:rPr>
                <w:rFonts w:eastAsiaTheme="minorEastAsia" w:cstheme="minorHAnsi"/>
                <w:szCs w:val="20"/>
              </w:rPr>
            </w:pPr>
            <w:r w:rsidRPr="000303A0">
              <w:t xml:space="preserve">Post-VTE mortality assumes 1-year estimates extend beyond </w:t>
            </w:r>
            <w:r>
              <w:t>1</w:t>
            </w:r>
            <w:r w:rsidRPr="000303A0">
              <w:t xml:space="preserve"> year.</w:t>
            </w:r>
          </w:p>
        </w:tc>
        <w:tc>
          <w:tcPr>
            <w:tcW w:w="2740" w:type="pct"/>
          </w:tcPr>
          <w:p w14:paraId="68954F17" w14:textId="77777777" w:rsidR="00DD184E" w:rsidRPr="00537E57" w:rsidRDefault="00DD184E" w:rsidP="00DA31D9">
            <w:pPr>
              <w:spacing w:line="240" w:lineRule="auto"/>
              <w:rPr>
                <w:rFonts w:eastAsiaTheme="minorEastAsia" w:cstheme="minorHAnsi"/>
                <w:szCs w:val="20"/>
              </w:rPr>
            </w:pPr>
            <w:r>
              <w:rPr>
                <w:rFonts w:eastAsiaTheme="minorEastAsia" w:cstheme="minorHAnsi"/>
                <w:szCs w:val="20"/>
              </w:rPr>
              <w:t>For the purposes of this model, the study team used an estimate of mortality at 1 year following VTE and divided it into 3-month intervals. These 3-month mortality probabilities are assumed for the duration of the model cycle.</w:t>
            </w:r>
          </w:p>
        </w:tc>
      </w:tr>
    </w:tbl>
    <w:p w14:paraId="68954F19" w14:textId="77777777" w:rsidR="00DD184E" w:rsidRPr="002E417B" w:rsidRDefault="00DD184E" w:rsidP="00DD184E">
      <w:pPr>
        <w:pStyle w:val="TableText-IPR"/>
        <w:rPr>
          <w:rFonts w:eastAsia="Times New Roman"/>
          <w:sz w:val="18"/>
          <w:szCs w:val="18"/>
        </w:rPr>
      </w:pPr>
      <w:r w:rsidRPr="002E417B">
        <w:rPr>
          <w:rFonts w:eastAsia="Times New Roman"/>
          <w:sz w:val="18"/>
          <w:szCs w:val="18"/>
        </w:rPr>
        <w:t>VTE = venous thromboembolism</w:t>
      </w:r>
    </w:p>
    <w:p w14:paraId="68954F1A" w14:textId="77777777" w:rsidR="007313B5" w:rsidRDefault="007313B5"/>
    <w:sectPr w:rsidR="007313B5" w:rsidSect="005A1CFE">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4707" w14:textId="77777777" w:rsidR="006909A9" w:rsidRDefault="006909A9">
      <w:pPr>
        <w:spacing w:after="0" w:line="240" w:lineRule="auto"/>
      </w:pPr>
      <w:r>
        <w:separator/>
      </w:r>
    </w:p>
  </w:endnote>
  <w:endnote w:type="continuationSeparator" w:id="0">
    <w:p w14:paraId="56FA6272" w14:textId="77777777" w:rsidR="006909A9" w:rsidRDefault="0069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otum">
    <w:altName w:val="@Dotu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F1D" w14:textId="77777777" w:rsidR="00DD4291" w:rsidRPr="00454F17" w:rsidRDefault="00DD184E" w:rsidP="004769AD">
    <w:pPr>
      <w:spacing w:after="0"/>
      <w:jc w:val="right"/>
      <w:rPr>
        <w:sz w:val="20"/>
        <w:szCs w:val="20"/>
      </w:rPr>
    </w:pPr>
    <w:r w:rsidRPr="00454F17">
      <w:rPr>
        <w:sz w:val="20"/>
        <w:szCs w:val="20"/>
      </w:rPr>
      <w:t xml:space="preserve">Impact of an Education Bundle </w:t>
    </w:r>
    <w:r>
      <w:rPr>
        <w:sz w:val="20"/>
        <w:szCs w:val="20"/>
      </w:rPr>
      <w:t>on</w:t>
    </w:r>
    <w:r w:rsidRPr="00454F17">
      <w:rPr>
        <w:sz w:val="20"/>
        <w:szCs w:val="20"/>
      </w:rPr>
      <w:t xml:space="preserve"> V</w:t>
    </w:r>
    <w:r>
      <w:rPr>
        <w:sz w:val="20"/>
        <w:szCs w:val="20"/>
      </w:rPr>
      <w:t xml:space="preserve">TE Prevention </w:t>
    </w:r>
    <w:r w:rsidRPr="00454F17">
      <w:rPr>
        <w:sz w:val="20"/>
        <w:szCs w:val="20"/>
      </w:rPr>
      <w:t xml:space="preserve">| </w:t>
    </w:r>
    <w:r>
      <w:rPr>
        <w:sz w:val="20"/>
        <w:szCs w:val="20"/>
      </w:rPr>
      <w:t>A-</w:t>
    </w:r>
    <w:r w:rsidRPr="00454F17">
      <w:rPr>
        <w:sz w:val="20"/>
        <w:szCs w:val="20"/>
      </w:rPr>
      <w:fldChar w:fldCharType="begin"/>
    </w:r>
    <w:r w:rsidRPr="00454F17">
      <w:rPr>
        <w:sz w:val="20"/>
        <w:szCs w:val="20"/>
      </w:rPr>
      <w:instrText xml:space="preserve"> PAGE   \* MERGEFORMAT </w:instrText>
    </w:r>
    <w:r w:rsidRPr="00454F17">
      <w:rPr>
        <w:sz w:val="20"/>
        <w:szCs w:val="20"/>
      </w:rPr>
      <w:fldChar w:fldCharType="separate"/>
    </w:r>
    <w:r>
      <w:rPr>
        <w:noProof/>
        <w:sz w:val="20"/>
        <w:szCs w:val="20"/>
      </w:rPr>
      <w:t>3</w:t>
    </w:r>
    <w:r w:rsidRPr="00454F1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F21" w14:textId="77777777" w:rsidR="00DD4291" w:rsidRPr="00454F17" w:rsidRDefault="00DD184E" w:rsidP="004769AD">
    <w:pPr>
      <w:spacing w:after="0"/>
      <w:jc w:val="right"/>
      <w:rPr>
        <w:sz w:val="20"/>
        <w:szCs w:val="20"/>
      </w:rPr>
    </w:pPr>
    <w:r w:rsidRPr="00454F17">
      <w:rPr>
        <w:sz w:val="20"/>
        <w:szCs w:val="20"/>
      </w:rPr>
      <w:t xml:space="preserve">Impact of an Education Bundle </w:t>
    </w:r>
    <w:r>
      <w:rPr>
        <w:sz w:val="20"/>
        <w:szCs w:val="20"/>
      </w:rPr>
      <w:t>on</w:t>
    </w:r>
    <w:r w:rsidRPr="00454F17">
      <w:rPr>
        <w:sz w:val="20"/>
        <w:szCs w:val="20"/>
      </w:rPr>
      <w:t xml:space="preserve"> V</w:t>
    </w:r>
    <w:r>
      <w:rPr>
        <w:sz w:val="20"/>
        <w:szCs w:val="20"/>
      </w:rPr>
      <w:t xml:space="preserve">TE Prevention </w:t>
    </w:r>
    <w:r w:rsidRPr="00454F17">
      <w:rPr>
        <w:sz w:val="20"/>
        <w:szCs w:val="20"/>
      </w:rPr>
      <w:t xml:space="preserve">| </w:t>
    </w:r>
    <w:r>
      <w:rPr>
        <w:sz w:val="20"/>
        <w:szCs w:val="20"/>
      </w:rPr>
      <w:t>B-</w:t>
    </w:r>
    <w:r w:rsidRPr="00454F17">
      <w:rPr>
        <w:sz w:val="20"/>
        <w:szCs w:val="20"/>
      </w:rPr>
      <w:fldChar w:fldCharType="begin"/>
    </w:r>
    <w:r w:rsidRPr="00454F17">
      <w:rPr>
        <w:sz w:val="20"/>
        <w:szCs w:val="20"/>
      </w:rPr>
      <w:instrText xml:space="preserve"> PAGE   \* MERGEFORMAT </w:instrText>
    </w:r>
    <w:r w:rsidRPr="00454F17">
      <w:rPr>
        <w:sz w:val="20"/>
        <w:szCs w:val="20"/>
      </w:rPr>
      <w:fldChar w:fldCharType="separate"/>
    </w:r>
    <w:r>
      <w:rPr>
        <w:noProof/>
        <w:sz w:val="20"/>
        <w:szCs w:val="20"/>
      </w:rPr>
      <w:t>5</w:t>
    </w:r>
    <w:r w:rsidRPr="00454F1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CC2D" w14:textId="77777777" w:rsidR="006909A9" w:rsidRDefault="006909A9">
      <w:pPr>
        <w:spacing w:after="0" w:line="240" w:lineRule="auto"/>
      </w:pPr>
      <w:r>
        <w:separator/>
      </w:r>
    </w:p>
  </w:footnote>
  <w:footnote w:type="continuationSeparator" w:id="0">
    <w:p w14:paraId="4CE562F8" w14:textId="77777777" w:rsidR="006909A9" w:rsidRDefault="00690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F1B" w14:textId="77777777" w:rsidR="00DD4291" w:rsidRDefault="00690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F1C" w14:textId="77777777" w:rsidR="00DD4291" w:rsidRDefault="00690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F1E" w14:textId="77777777" w:rsidR="00DD4291" w:rsidRDefault="006909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F1F" w14:textId="77777777" w:rsidR="00DD4291" w:rsidRDefault="006909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F20" w14:textId="77777777" w:rsidR="00DD4291" w:rsidRDefault="006909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F22" w14:textId="77777777" w:rsidR="00DD4291" w:rsidRDefault="00690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4E"/>
    <w:rsid w:val="005E6636"/>
    <w:rsid w:val="006909A9"/>
    <w:rsid w:val="007313B5"/>
    <w:rsid w:val="00757F82"/>
    <w:rsid w:val="00804FC1"/>
    <w:rsid w:val="00B720B3"/>
    <w:rsid w:val="00CA671F"/>
    <w:rsid w:val="00CC03A5"/>
    <w:rsid w:val="00DC29C9"/>
    <w:rsid w:val="00DD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4E26"/>
  <w15:chartTrackingRefBased/>
  <w15:docId w15:val="{ABF749B6-81BE-4AB7-9A7E-FD6DCFF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4E"/>
    <w:pPr>
      <w:spacing w:after="160" w:line="256" w:lineRule="auto"/>
    </w:pPr>
    <w:rPr>
      <w:lang w:val="en-US"/>
    </w:rPr>
  </w:style>
  <w:style w:type="paragraph" w:styleId="Heading1">
    <w:name w:val="heading 1"/>
    <w:basedOn w:val="Normal"/>
    <w:next w:val="Normal"/>
    <w:link w:val="Heading1Char"/>
    <w:uiPriority w:val="9"/>
    <w:qFormat/>
    <w:rsid w:val="00DD184E"/>
    <w:pPr>
      <w:keepNext/>
      <w:keepLines/>
      <w:spacing w:after="240" w:line="240" w:lineRule="auto"/>
      <w:outlineLvl w:val="0"/>
    </w:pPr>
    <w:rPr>
      <w:rFonts w:asciiTheme="majorHAnsi" w:eastAsiaTheme="majorEastAsia" w:hAnsiTheme="majorHAns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84E"/>
    <w:rPr>
      <w:rFonts w:asciiTheme="majorHAnsi" w:eastAsiaTheme="majorEastAsia" w:hAnsiTheme="majorHAnsi" w:cstheme="majorBidi"/>
      <w:b/>
      <w:sz w:val="26"/>
      <w:szCs w:val="32"/>
      <w:lang w:val="en-US"/>
    </w:rPr>
  </w:style>
  <w:style w:type="paragraph" w:styleId="Header">
    <w:name w:val="header"/>
    <w:basedOn w:val="Normal"/>
    <w:link w:val="HeaderChar"/>
    <w:uiPriority w:val="99"/>
    <w:unhideWhenUsed/>
    <w:rsid w:val="00DD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4E"/>
    <w:rPr>
      <w:lang w:val="en-US"/>
    </w:rPr>
  </w:style>
  <w:style w:type="paragraph" w:customStyle="1" w:styleId="TableText-IPR">
    <w:name w:val="TableText-IPR"/>
    <w:link w:val="TableText-IPRChar"/>
    <w:qFormat/>
    <w:rsid w:val="00DD184E"/>
    <w:rPr>
      <w:rFonts w:ascii="Calibri" w:eastAsiaTheme="minorEastAsia" w:hAnsi="Calibri" w:cs="Times New Roman"/>
      <w:sz w:val="20"/>
      <w:szCs w:val="20"/>
      <w:lang w:val="en-US"/>
    </w:rPr>
  </w:style>
  <w:style w:type="character" w:customStyle="1" w:styleId="TableText-IPRChar">
    <w:name w:val="TableText-IPR Char"/>
    <w:basedOn w:val="DefaultParagraphFont"/>
    <w:link w:val="TableText-IPR"/>
    <w:rsid w:val="00DD184E"/>
    <w:rPr>
      <w:rFonts w:ascii="Calibri" w:eastAsiaTheme="minorEastAsia" w:hAnsi="Calibri" w:cs="Times New Roman"/>
      <w:sz w:val="20"/>
      <w:szCs w:val="20"/>
      <w:lang w:val="en-US"/>
    </w:rPr>
  </w:style>
  <w:style w:type="paragraph" w:customStyle="1" w:styleId="TableHeaderRow-IPR">
    <w:name w:val="TableHeaderRow-IPR"/>
    <w:link w:val="TableHeaderRow-IPRChar"/>
    <w:qFormat/>
    <w:rsid w:val="00DD184E"/>
    <w:pPr>
      <w:jc w:val="center"/>
    </w:pPr>
    <w:rPr>
      <w:rFonts w:ascii="Lucida Sans" w:eastAsia="Times New Roman" w:hAnsi="Lucida Sans" w:cs="Lucida Sans Unicode"/>
      <w:b/>
      <w:sz w:val="18"/>
      <w:szCs w:val="24"/>
      <w:lang w:val="en-US"/>
    </w:rPr>
  </w:style>
  <w:style w:type="character" w:customStyle="1" w:styleId="TableHeaderRow-IPRChar">
    <w:name w:val="TableHeaderRow-IPR Char"/>
    <w:basedOn w:val="DefaultParagraphFont"/>
    <w:link w:val="TableHeaderRow-IPR"/>
    <w:rsid w:val="00DD184E"/>
    <w:rPr>
      <w:rFonts w:ascii="Lucida Sans" w:eastAsia="Times New Roman" w:hAnsi="Lucida Sans" w:cs="Lucida Sans Unicode"/>
      <w:b/>
      <w:sz w:val="18"/>
      <w:szCs w:val="24"/>
      <w:lang w:val="en-US"/>
    </w:rPr>
  </w:style>
  <w:style w:type="paragraph" w:customStyle="1" w:styleId="TableTitle-IPR">
    <w:name w:val="TableTitle-IPR"/>
    <w:link w:val="TableTitle-IPRChar"/>
    <w:qFormat/>
    <w:rsid w:val="00DD184E"/>
    <w:pPr>
      <w:keepNext/>
      <w:spacing w:after="120"/>
    </w:pPr>
    <w:rPr>
      <w:rFonts w:ascii="Calibri" w:eastAsia="Times New Roman" w:hAnsi="Calibri" w:cs="Times New Roman"/>
      <w:b/>
      <w:i/>
      <w:szCs w:val="24"/>
      <w:lang w:val="en-US"/>
    </w:rPr>
  </w:style>
  <w:style w:type="character" w:customStyle="1" w:styleId="TableTitle-IPRChar">
    <w:name w:val="TableTitle-IPR Char"/>
    <w:basedOn w:val="DefaultParagraphFont"/>
    <w:link w:val="TableTitle-IPR"/>
    <w:rsid w:val="00DD184E"/>
    <w:rPr>
      <w:rFonts w:ascii="Calibri" w:eastAsia="Times New Roman" w:hAnsi="Calibri" w:cs="Times New Roman"/>
      <w:b/>
      <w:i/>
      <w:szCs w:val="24"/>
      <w:lang w:val="en-US"/>
    </w:rPr>
  </w:style>
  <w:style w:type="table" w:customStyle="1" w:styleId="InsightTable1">
    <w:name w:val="Insight Table1"/>
    <w:basedOn w:val="TableNormal"/>
    <w:uiPriority w:val="99"/>
    <w:rsid w:val="00DD184E"/>
    <w:rPr>
      <w:rFonts w:ascii="Calibri" w:hAnsi="Calibri" w:cs="Times New Roman"/>
      <w:sz w:val="20"/>
      <w:lang w:val="en-US"/>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Dotum" w:hAnsi="@Dotum"/>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
    <w:name w:val="Insight Table2"/>
    <w:basedOn w:val="TableNormal"/>
    <w:uiPriority w:val="99"/>
    <w:rsid w:val="00DD184E"/>
    <w:rPr>
      <w:rFonts w:ascii="Calibri" w:hAnsi="Calibri" w:cs="Times New Roman"/>
      <w:sz w:val="20"/>
      <w:lang w:val="en-US"/>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Dotum" w:hAnsi="@Dotum"/>
        <w:sz w:val="20"/>
      </w:rPr>
      <w:tblPr/>
      <w:tcPr>
        <w:tcBorders>
          <w:top w:val="single" w:sz="8" w:space="0" w:color="B12732"/>
          <w:left w:val="nil"/>
          <w:bottom w:val="single" w:sz="8" w:space="0" w:color="B12732"/>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6333</Characters>
  <Application>Microsoft Office Word</Application>
  <DocSecurity>0</DocSecurity>
  <Lines>52</Lines>
  <Paragraphs>14</Paragraphs>
  <ScaleCrop>false</ScaleCrop>
  <Company>HP</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Dormer</dc:creator>
  <cp:keywords/>
  <dc:description/>
  <cp:lastModifiedBy>Kerstin Wright</cp:lastModifiedBy>
  <cp:revision>2</cp:revision>
  <dcterms:created xsi:type="dcterms:W3CDTF">2022-05-20T08:16:00Z</dcterms:created>
  <dcterms:modified xsi:type="dcterms:W3CDTF">2022-05-20T08:16:00Z</dcterms:modified>
</cp:coreProperties>
</file>