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8723" w14:textId="77777777" w:rsidR="00B91FD1" w:rsidRDefault="003C5176" w:rsidP="00B91FD1">
      <w:pPr>
        <w:keepNext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21AD3C" wp14:editId="1947E135">
            <wp:extent cx="4752000" cy="39600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36D3" w14:textId="43C61DFF" w:rsidR="00AD17BA" w:rsidRPr="00B57E7A" w:rsidRDefault="00B91FD1" w:rsidP="006F199F">
      <w:pPr>
        <w:pStyle w:val="Legenda"/>
        <w:spacing w:after="0" w:line="360" w:lineRule="auto"/>
        <w:ind w:left="851" w:right="709"/>
        <w:jc w:val="both"/>
        <w:rPr>
          <w:rFonts w:ascii="Arial" w:hAnsi="Arial" w:cs="Arial"/>
          <w:b/>
          <w:bCs/>
          <w:i w:val="0"/>
          <w:iCs w:val="0"/>
          <w:color w:val="auto"/>
          <w:lang w:val="en-US"/>
        </w:rPr>
        <w:sectPr w:rsidR="00AD17BA" w:rsidRPr="00B57E7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t xml:space="preserve">Supplementary Figure </w:t>
      </w:r>
      <w:r w:rsidRPr="00B57E7A">
        <w:rPr>
          <w:rFonts w:ascii="Arial" w:hAnsi="Arial" w:cs="Arial"/>
          <w:b/>
          <w:bCs/>
          <w:i w:val="0"/>
          <w:iCs w:val="0"/>
          <w:color w:val="auto"/>
        </w:rPr>
        <w:fldChar w:fldCharType="begin"/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instrText xml:space="preserve"> SEQ Supplementary_Figure \* ARABIC </w:instrText>
      </w:r>
      <w:r w:rsidRPr="00B57E7A">
        <w:rPr>
          <w:rFonts w:ascii="Arial" w:hAnsi="Arial" w:cs="Arial"/>
          <w:b/>
          <w:bCs/>
          <w:i w:val="0"/>
          <w:iCs w:val="0"/>
          <w:color w:val="auto"/>
        </w:rPr>
        <w:fldChar w:fldCharType="separate"/>
      </w:r>
      <w:r w:rsidR="00340AA2" w:rsidRPr="00B57E7A">
        <w:rPr>
          <w:rFonts w:ascii="Arial" w:hAnsi="Arial" w:cs="Arial"/>
          <w:b/>
          <w:bCs/>
          <w:i w:val="0"/>
          <w:iCs w:val="0"/>
          <w:noProof/>
          <w:color w:val="auto"/>
          <w:lang w:val="en-US"/>
        </w:rPr>
        <w:t>1</w:t>
      </w:r>
      <w:r w:rsidRPr="00B57E7A">
        <w:rPr>
          <w:rFonts w:ascii="Arial" w:hAnsi="Arial" w:cs="Arial"/>
          <w:b/>
          <w:bCs/>
          <w:i w:val="0"/>
          <w:iCs w:val="0"/>
          <w:color w:val="auto"/>
        </w:rPr>
        <w:fldChar w:fldCharType="end"/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t xml:space="preserve"> </w:t>
      </w:r>
      <w:r w:rsidR="00A618E2"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t>–</w: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t xml:space="preserve"> </w:t>
      </w:r>
      <w:r w:rsidRPr="00B57E7A">
        <w:rPr>
          <w:rFonts w:ascii="Arial" w:hAnsi="Arial" w:cs="Arial"/>
          <w:i w:val="0"/>
          <w:iCs w:val="0"/>
          <w:color w:val="auto"/>
          <w:lang w:val="en-US"/>
        </w:rPr>
        <w:t>Volcano plot showing RNA-Seq up- and downregulated genes between A</w:t>
      </w:r>
      <w:r w:rsidR="00DA3C3F" w:rsidRPr="00B57E7A">
        <w:rPr>
          <w:rFonts w:ascii="Arial" w:hAnsi="Arial" w:cs="Arial"/>
          <w:i w:val="0"/>
          <w:iCs w:val="0"/>
          <w:color w:val="auto"/>
          <w:lang w:val="en-US"/>
        </w:rPr>
        <w:t>lzheimer’s disease</w:t>
      </w:r>
      <w:r w:rsidRPr="00B57E7A">
        <w:rPr>
          <w:rFonts w:ascii="Arial" w:hAnsi="Arial" w:cs="Arial"/>
          <w:i w:val="0"/>
          <w:iCs w:val="0"/>
          <w:color w:val="auto"/>
          <w:lang w:val="en-US"/>
        </w:rPr>
        <w:t xml:space="preserve"> patients and controls, considering all brain regions. All 69 DEGs are shown, of which 22 are downregulated</w:t>
      </w:r>
      <w:r w:rsidR="00340AA2" w:rsidRPr="00B57E7A">
        <w:rPr>
          <w:rFonts w:ascii="Arial" w:hAnsi="Arial" w:cs="Arial"/>
          <w:i w:val="0"/>
          <w:iCs w:val="0"/>
          <w:color w:val="auto"/>
          <w:lang w:val="en-US"/>
        </w:rPr>
        <w:t xml:space="preserve"> and 47 are upregulated</w: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t>.</w:t>
      </w:r>
    </w:p>
    <w:p w14:paraId="109048FE" w14:textId="260DE1A6" w:rsidR="00AD17BA" w:rsidRPr="00B57E7A" w:rsidRDefault="00AD17BA" w:rsidP="00AD17BA">
      <w:pPr>
        <w:pStyle w:val="Legenda"/>
        <w:keepNext/>
        <w:spacing w:after="0"/>
        <w:jc w:val="center"/>
        <w:rPr>
          <w:rFonts w:ascii="Arial" w:hAnsi="Arial" w:cs="Arial"/>
          <w:i w:val="0"/>
          <w:iCs w:val="0"/>
          <w:color w:val="auto"/>
          <w:lang w:val="en-US"/>
        </w:rPr>
      </w:pP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lastRenderedPageBreak/>
        <w:t xml:space="preserve">Supplementary Table </w: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fldChar w:fldCharType="begin"/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instrText xml:space="preserve"> SEQ Supplementary_Table \* ARABIC </w:instrTex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fldChar w:fldCharType="separate"/>
      </w:r>
      <w:r w:rsidR="008B58B9" w:rsidRPr="00B57E7A">
        <w:rPr>
          <w:rFonts w:ascii="Arial" w:hAnsi="Arial" w:cs="Arial"/>
          <w:b/>
          <w:bCs/>
          <w:i w:val="0"/>
          <w:iCs w:val="0"/>
          <w:noProof/>
          <w:color w:val="auto"/>
          <w:lang w:val="en-US"/>
        </w:rPr>
        <w:t>1</w: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fldChar w:fldCharType="end"/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t xml:space="preserve"> – </w:t>
      </w:r>
      <w:r w:rsidRPr="00B57E7A">
        <w:rPr>
          <w:rFonts w:ascii="Arial" w:hAnsi="Arial" w:cs="Arial"/>
          <w:i w:val="0"/>
          <w:iCs w:val="0"/>
          <w:color w:val="auto"/>
        </w:rPr>
        <w:t>Sample</w:t>
      </w:r>
      <w:r w:rsidR="00571C57" w:rsidRPr="00B57E7A">
        <w:rPr>
          <w:rFonts w:ascii="Arial" w:hAnsi="Arial" w:cs="Arial"/>
          <w:i w:val="0"/>
          <w:iCs w:val="0"/>
          <w:color w:val="auto"/>
        </w:rPr>
        <w:t xml:space="preserve"> </w:t>
      </w:r>
      <w:r w:rsidRPr="00B57E7A">
        <w:rPr>
          <w:rFonts w:ascii="Arial" w:hAnsi="Arial" w:cs="Arial"/>
          <w:i w:val="0"/>
          <w:iCs w:val="0"/>
          <w:color w:val="auto"/>
        </w:rPr>
        <w:t>information</w:t>
      </w:r>
      <w:r w:rsidR="00571C57" w:rsidRPr="00B57E7A">
        <w:rPr>
          <w:rFonts w:ascii="Arial" w:hAnsi="Arial" w:cs="Arial"/>
          <w:i w:val="0"/>
          <w:iCs w:val="0"/>
          <w:color w:val="auto"/>
        </w:rPr>
        <w:t>.</w:t>
      </w:r>
    </w:p>
    <w:tbl>
      <w:tblPr>
        <w:tblpPr w:leftFromText="141" w:rightFromText="141" w:vertAnchor="text" w:horzAnchor="margin" w:tblpXSpec="center" w:tblpY="100"/>
        <w:tblW w:w="13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"/>
        <w:gridCol w:w="851"/>
        <w:gridCol w:w="1001"/>
        <w:gridCol w:w="1842"/>
        <w:gridCol w:w="1560"/>
        <w:gridCol w:w="708"/>
        <w:gridCol w:w="5378"/>
        <w:gridCol w:w="1418"/>
      </w:tblGrid>
      <w:tr w:rsidR="00B57E7A" w:rsidRPr="00B57E7A" w14:paraId="702329D4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550A6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3DE87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 xml:space="preserve">Group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C9BEF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Sex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7172F" w14:textId="6033C586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 xml:space="preserve"> (y)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14D79" w14:textId="15460C0C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b/>
                <w:sz w:val="18"/>
                <w:szCs w:val="18"/>
                <w:lang w:val="en-US"/>
              </w:rPr>
              <w:t>Age of diagnosis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(y)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4FFDE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Brain weight (g)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D46B3" w14:textId="739EA5EB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PMI</w:t>
            </w:r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en-US" w:eastAsia="pt-BR"/>
              </w:rPr>
              <w:t>c</w:t>
            </w:r>
            <w:proofErr w:type="spellEnd"/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 xml:space="preserve"> (h)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E4220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Cause of death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2BC4A0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APOE </w:t>
            </w:r>
            <w:r w:rsidRPr="00B57E7A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</w:tr>
      <w:tr w:rsidR="00B57E7A" w:rsidRPr="00B57E7A" w14:paraId="126BA6E4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8A606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533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5FF55" w14:textId="36B556DE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CT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140D6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12D3C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101F4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-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45875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1260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ADD31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10.42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97F0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Myocardial infarction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5A4AE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E3/E4</w:t>
            </w:r>
          </w:p>
        </w:tc>
      </w:tr>
      <w:tr w:rsidR="00B57E7A" w:rsidRPr="00B57E7A" w14:paraId="76765EB8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E4016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537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D5BDE" w14:textId="4FA39691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CT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A1F41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DBEA7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69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7F5CB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-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03581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1165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D2445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32.5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54A9B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Cardiorespiratory arrest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BC020" w14:textId="77777777" w:rsidR="00B57E7A" w:rsidRPr="00B57E7A" w:rsidRDefault="00B57E7A" w:rsidP="00A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E3/E3</w:t>
            </w:r>
          </w:p>
        </w:tc>
      </w:tr>
      <w:tr w:rsidR="00B57E7A" w:rsidRPr="00B57E7A" w14:paraId="13769165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CA38B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586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AD827" w14:textId="012458EB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CT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2FCAD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44EA4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9C298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-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33275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1255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DAA2B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9.5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6242A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N/A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6325B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E3/E3</w:t>
            </w:r>
          </w:p>
        </w:tc>
      </w:tr>
      <w:tr w:rsidR="00B57E7A" w:rsidRPr="00B57E7A" w14:paraId="36EC496E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49C58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1419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EAED8" w14:textId="40F0E98F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CT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643E7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7A792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80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45DC9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-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C2B2B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1305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FB24C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13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80AD0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N/A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3BB7C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E3/E3</w:t>
            </w:r>
          </w:p>
        </w:tc>
      </w:tr>
      <w:tr w:rsidR="00B57E7A" w:rsidRPr="00B57E7A" w14:paraId="32D2BB75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9E272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1495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0EEF4" w14:textId="7E2CEF03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CT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BE1AE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9E49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E3AB4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-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9B344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1150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B32C8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17.3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81932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Pancreatic cancer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B546D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E3/E3</w:t>
            </w:r>
          </w:p>
        </w:tc>
      </w:tr>
      <w:tr w:rsidR="00B57E7A" w:rsidRPr="00B57E7A" w14:paraId="687EEB8B" w14:textId="77777777" w:rsidTr="00B57E7A">
        <w:trPr>
          <w:trHeight w:hRule="exact" w:val="46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E3385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1547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B621C" w14:textId="6D56CB9D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CT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FC27B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4E1B1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95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32AA0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-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551CD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1160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36A7D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23.75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93C90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Liver metastases, but the origin of the primary cancer is uncertain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54397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E3/E3</w:t>
            </w:r>
          </w:p>
        </w:tc>
      </w:tr>
      <w:tr w:rsidR="00B57E7A" w:rsidRPr="00B57E7A" w14:paraId="6B45232E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F1EB7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1062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A4FEA" w14:textId="1DED1FE6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AD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87A09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E5D53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EF985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E859E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855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6360A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11.25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3EE67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Aspiration bronchopneumonia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FDDE48" w14:textId="075A7469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E3/E3</w:t>
            </w:r>
          </w:p>
        </w:tc>
      </w:tr>
      <w:tr w:rsidR="00B57E7A" w:rsidRPr="00B57E7A" w14:paraId="10C96024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3904C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1243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A5BA" w14:textId="663A00F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AD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99C8C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787BE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89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F588C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7A86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845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0781F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10.75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CE1C0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Confluent bronchopneumonia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8D6E33" w14:textId="462071FF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E3/E4</w:t>
            </w:r>
          </w:p>
        </w:tc>
      </w:tr>
      <w:tr w:rsidR="00B57E7A" w:rsidRPr="00B57E7A" w14:paraId="0044D959" w14:textId="77777777" w:rsidTr="00B57E7A">
        <w:trPr>
          <w:trHeight w:val="427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9EEBE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1330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8A234" w14:textId="4650D939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AD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35AB0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AFBCF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B2749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C600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910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36FAD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19.25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0266D" w14:textId="77777777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Cardiorespiratory arrest in the context of Alzheimer's disease, arterial hypertension and peripheral vascular disease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EF0B3" w14:textId="60AFDCFC" w:rsidR="00B57E7A" w:rsidRPr="00B57E7A" w:rsidRDefault="00B57E7A" w:rsidP="00D24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E4/E4</w:t>
            </w:r>
          </w:p>
        </w:tc>
      </w:tr>
      <w:tr w:rsidR="00B57E7A" w:rsidRPr="00B57E7A" w14:paraId="7F18536F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2E865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1427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6C52" w14:textId="6D882DF0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AD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A50CA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A4EC5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82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98F0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6F995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970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CF5D7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14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004DC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Alzheimer’s dementia and cervical lymphoma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737E6" w14:textId="66A2263A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E3/E4</w:t>
            </w:r>
          </w:p>
        </w:tc>
      </w:tr>
      <w:tr w:rsidR="00B57E7A" w:rsidRPr="00B57E7A" w14:paraId="1DE9470F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5C434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1518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4FAE7" w14:textId="3C433EB4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AD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A14A2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664D7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85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76BB8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168F1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970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12DD8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20.5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868C6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Pneumonia in the context of Alzheimer's dementia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83B57" w14:textId="4A584EC1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E3/E3</w:t>
            </w:r>
          </w:p>
        </w:tc>
      </w:tr>
      <w:tr w:rsidR="00B57E7A" w:rsidRPr="00B57E7A" w14:paraId="1A11DDB1" w14:textId="77777777" w:rsidTr="00B57E7A">
        <w:trPr>
          <w:trHeight w:hRule="exact" w:val="2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7C4BF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1560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39300" w14:textId="5AEBBC84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proofErr w:type="spellStart"/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AD</w:t>
            </w:r>
            <w:r w:rsidRPr="00B57E7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t-BR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B4903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Female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C9BAF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83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D46C3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74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15CDA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950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B78A9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13.25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0CB9B" w14:textId="77777777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Pneumonia, Alzheimer's dementia and nephrolithiasis with pyelonephritis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FB57A" w14:textId="71A958BD" w:rsidR="00B57E7A" w:rsidRPr="00B57E7A" w:rsidRDefault="00B57E7A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B57E7A">
              <w:rPr>
                <w:rFonts w:ascii="Arial" w:hAnsi="Arial" w:cs="Arial"/>
                <w:color w:val="000000"/>
                <w:sz w:val="18"/>
                <w:szCs w:val="18"/>
              </w:rPr>
              <w:t>E3/E4</w:t>
            </w:r>
          </w:p>
        </w:tc>
      </w:tr>
    </w:tbl>
    <w:p w14:paraId="60A6D71E" w14:textId="2496AA2F" w:rsidR="001F7044" w:rsidRPr="004E1D66" w:rsidRDefault="001F7044" w:rsidP="00B57E7A">
      <w:pPr>
        <w:spacing w:before="40" w:after="40" w:line="240" w:lineRule="auto"/>
        <w:ind w:left="490"/>
        <w:rPr>
          <w:rFonts w:ascii="Arial" w:hAnsi="Arial" w:cs="Arial"/>
          <w:sz w:val="18"/>
          <w:szCs w:val="18"/>
          <w:lang w:val="en-US"/>
        </w:rPr>
      </w:pPr>
      <w:r w:rsidRPr="004E1D66">
        <w:rPr>
          <w:rFonts w:ascii="Arial" w:eastAsia="Times New Roman" w:hAnsi="Arial" w:cs="Arial"/>
          <w:sz w:val="18"/>
          <w:szCs w:val="18"/>
          <w:vertAlign w:val="superscript"/>
          <w:lang w:val="en-US" w:eastAsia="pt-BR"/>
        </w:rPr>
        <w:t>a</w:t>
      </w:r>
      <w:r w:rsidR="00565854" w:rsidRPr="004E1D66">
        <w:rPr>
          <w:rFonts w:ascii="Arial" w:eastAsia="Times New Roman" w:hAnsi="Arial" w:cs="Arial"/>
          <w:sz w:val="18"/>
          <w:szCs w:val="18"/>
          <w:vertAlign w:val="superscript"/>
          <w:lang w:val="en-US" w:eastAsia="pt-BR"/>
        </w:rPr>
        <w:t xml:space="preserve"> </w:t>
      </w:r>
      <w:r w:rsidRPr="004E1D66">
        <w:rPr>
          <w:rFonts w:ascii="Arial" w:hAnsi="Arial" w:cs="Arial"/>
          <w:sz w:val="18"/>
          <w:szCs w:val="18"/>
          <w:lang w:val="en-US"/>
        </w:rPr>
        <w:t>Control</w:t>
      </w:r>
    </w:p>
    <w:p w14:paraId="1CE7A14F" w14:textId="0329A43E" w:rsidR="001F7044" w:rsidRPr="004E1D66" w:rsidRDefault="001F7044" w:rsidP="00B57E7A">
      <w:pPr>
        <w:spacing w:before="40" w:after="40" w:line="240" w:lineRule="auto"/>
        <w:ind w:left="490"/>
        <w:rPr>
          <w:rFonts w:ascii="Arial" w:hAnsi="Arial" w:cs="Arial"/>
          <w:sz w:val="18"/>
          <w:szCs w:val="18"/>
          <w:lang w:val="en-US"/>
        </w:rPr>
      </w:pPr>
      <w:r w:rsidRPr="004E1D66">
        <w:rPr>
          <w:rFonts w:ascii="Arial" w:eastAsia="Times New Roman" w:hAnsi="Arial" w:cs="Arial"/>
          <w:sz w:val="18"/>
          <w:szCs w:val="18"/>
          <w:vertAlign w:val="superscript"/>
          <w:lang w:val="en-US" w:eastAsia="pt-BR"/>
        </w:rPr>
        <w:t>b</w:t>
      </w:r>
      <w:r w:rsidR="00565854" w:rsidRPr="004E1D66">
        <w:rPr>
          <w:rFonts w:ascii="Arial" w:eastAsia="Times New Roman" w:hAnsi="Arial" w:cs="Arial"/>
          <w:sz w:val="18"/>
          <w:szCs w:val="18"/>
          <w:vertAlign w:val="superscript"/>
          <w:lang w:val="en-US" w:eastAsia="pt-BR"/>
        </w:rPr>
        <w:t xml:space="preserve"> </w:t>
      </w:r>
      <w:r w:rsidRPr="004E1D66">
        <w:rPr>
          <w:rFonts w:ascii="Arial" w:eastAsia="Times New Roman" w:hAnsi="Arial" w:cs="Arial"/>
          <w:sz w:val="18"/>
          <w:szCs w:val="18"/>
          <w:lang w:val="en-US" w:eastAsia="pt-BR"/>
        </w:rPr>
        <w:t>Alzheimer’s disease</w:t>
      </w:r>
    </w:p>
    <w:p w14:paraId="563057AC" w14:textId="4C446DDC" w:rsidR="00AD17BA" w:rsidRPr="004E1D66" w:rsidRDefault="001F7044" w:rsidP="00B57E7A">
      <w:pPr>
        <w:spacing w:before="40" w:after="40" w:line="240" w:lineRule="auto"/>
        <w:ind w:left="490"/>
        <w:rPr>
          <w:rFonts w:ascii="Arial" w:hAnsi="Arial" w:cs="Arial"/>
          <w:sz w:val="18"/>
          <w:szCs w:val="18"/>
          <w:lang w:val="en-US"/>
        </w:rPr>
      </w:pPr>
      <w:r w:rsidRPr="004E1D66">
        <w:rPr>
          <w:rFonts w:ascii="Arial" w:hAnsi="Arial" w:cs="Arial"/>
          <w:sz w:val="18"/>
          <w:szCs w:val="18"/>
          <w:vertAlign w:val="superscript"/>
          <w:lang w:val="en-US"/>
        </w:rPr>
        <w:t>c</w:t>
      </w:r>
      <w:r w:rsidR="00565854" w:rsidRPr="004E1D66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Pr="004E1D66">
        <w:rPr>
          <w:rFonts w:ascii="Arial" w:hAnsi="Arial" w:cs="Arial"/>
          <w:sz w:val="18"/>
          <w:szCs w:val="18"/>
          <w:lang w:val="en-US"/>
        </w:rPr>
        <w:t>Post-mortem interval</w:t>
      </w:r>
    </w:p>
    <w:p w14:paraId="019D2D82" w14:textId="77777777" w:rsidR="001F7044" w:rsidRPr="001F7044" w:rsidRDefault="001F7044" w:rsidP="001F7044">
      <w:pPr>
        <w:spacing w:before="80" w:after="80" w:line="240" w:lineRule="auto"/>
        <w:ind w:left="-284"/>
        <w:rPr>
          <w:rFonts w:ascii="Gill Sans MT" w:hAnsi="Gill Sans MT" w:cs="Arial"/>
          <w:sz w:val="16"/>
          <w:szCs w:val="16"/>
          <w:lang w:val="en-US"/>
        </w:rPr>
      </w:pPr>
    </w:p>
    <w:p w14:paraId="7CAB09D6" w14:textId="3A729702" w:rsidR="00AD17BA" w:rsidRPr="00AD17BA" w:rsidRDefault="00AD17BA" w:rsidP="00AD17BA">
      <w:pPr>
        <w:rPr>
          <w:lang w:val="en-US"/>
        </w:rPr>
        <w:sectPr w:rsidR="00AD17BA" w:rsidRPr="00AD17BA" w:rsidSect="00571C57">
          <w:pgSz w:w="16838" w:h="11906" w:orient="landscape"/>
          <w:pgMar w:top="1758" w:right="1021" w:bottom="1758" w:left="1021" w:header="709" w:footer="709" w:gutter="0"/>
          <w:cols w:space="708"/>
          <w:docGrid w:linePitch="360"/>
        </w:sectPr>
      </w:pPr>
    </w:p>
    <w:p w14:paraId="6BB0101C" w14:textId="0119109D" w:rsidR="0063451E" w:rsidRPr="00B57E7A" w:rsidRDefault="0063451E" w:rsidP="0063451E">
      <w:pPr>
        <w:pStyle w:val="Legenda"/>
        <w:keepNext/>
        <w:spacing w:after="0"/>
        <w:ind w:left="1418" w:right="1435"/>
        <w:jc w:val="both"/>
        <w:rPr>
          <w:rFonts w:ascii="Arial" w:hAnsi="Arial" w:cs="Arial"/>
          <w:i w:val="0"/>
          <w:iCs w:val="0"/>
          <w:color w:val="auto"/>
          <w:lang w:val="en-US"/>
        </w:rPr>
      </w:pP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lastRenderedPageBreak/>
        <w:t xml:space="preserve">Supplementary Table </w: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fldChar w:fldCharType="begin"/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instrText xml:space="preserve"> SEQ Supplementary_Table \* ARABIC </w:instrTex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fldChar w:fldCharType="separate"/>
      </w:r>
      <w:r w:rsidR="008B58B9" w:rsidRPr="00B57E7A">
        <w:rPr>
          <w:rFonts w:ascii="Arial" w:hAnsi="Arial" w:cs="Arial"/>
          <w:b/>
          <w:bCs/>
          <w:i w:val="0"/>
          <w:iCs w:val="0"/>
          <w:noProof/>
          <w:color w:val="auto"/>
          <w:lang w:val="en-US"/>
        </w:rPr>
        <w:t>2</w:t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fldChar w:fldCharType="end"/>
      </w:r>
      <w:r w:rsidRPr="00B57E7A">
        <w:rPr>
          <w:rFonts w:ascii="Arial" w:hAnsi="Arial" w:cs="Arial"/>
          <w:b/>
          <w:bCs/>
          <w:i w:val="0"/>
          <w:iCs w:val="0"/>
          <w:color w:val="auto"/>
          <w:lang w:val="en-US"/>
        </w:rPr>
        <w:t xml:space="preserve"> – </w:t>
      </w:r>
      <w:r w:rsidRPr="00B57E7A">
        <w:rPr>
          <w:rFonts w:ascii="Arial" w:eastAsia="Arial" w:hAnsi="Arial" w:cs="Arial"/>
          <w:i w:val="0"/>
          <w:iCs w:val="0"/>
          <w:color w:val="auto"/>
          <w:lang w:val="en-US"/>
        </w:rPr>
        <w:t xml:space="preserve">Genes </w:t>
      </w:r>
      <w:bookmarkStart w:id="0" w:name="_Hlk64554787"/>
      <w:r w:rsidRPr="00B57E7A">
        <w:rPr>
          <w:rFonts w:ascii="Arial" w:eastAsia="Arial" w:hAnsi="Arial" w:cs="Arial"/>
          <w:i w:val="0"/>
          <w:iCs w:val="0"/>
          <w:color w:val="auto"/>
          <w:lang w:val="en-US"/>
        </w:rPr>
        <w:t>whose regulation of expression and H3K9 acetylation</w:t>
      </w:r>
      <w:bookmarkEnd w:id="0"/>
      <w:r w:rsidRPr="00B57E7A">
        <w:rPr>
          <w:rFonts w:ascii="Arial" w:eastAsia="Arial" w:hAnsi="Arial" w:cs="Arial"/>
          <w:i w:val="0"/>
          <w:iCs w:val="0"/>
          <w:color w:val="auto"/>
          <w:lang w:val="en-US"/>
        </w:rPr>
        <w:t xml:space="preserve"> are found in the same direction.</w:t>
      </w:r>
    </w:p>
    <w:tbl>
      <w:tblPr>
        <w:tblW w:w="59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091"/>
        <w:gridCol w:w="1063"/>
        <w:gridCol w:w="1129"/>
        <w:gridCol w:w="1336"/>
      </w:tblGrid>
      <w:tr w:rsidR="00645112" w:rsidRPr="00967127" w14:paraId="55801F8D" w14:textId="77777777" w:rsidTr="003F3D6F">
        <w:trPr>
          <w:trHeight w:val="300"/>
          <w:jc w:val="center"/>
        </w:trPr>
        <w:tc>
          <w:tcPr>
            <w:tcW w:w="5949" w:type="dxa"/>
            <w:gridSpan w:val="5"/>
            <w:shd w:val="clear" w:color="auto" w:fill="auto"/>
            <w:noWrap/>
            <w:vAlign w:val="center"/>
            <w:hideMark/>
          </w:tcPr>
          <w:p w14:paraId="18A6E3DC" w14:textId="1079E60E" w:rsidR="0063451E" w:rsidRPr="00967127" w:rsidRDefault="0063451E" w:rsidP="006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Auditory cortex – upregulated</w:t>
            </w:r>
          </w:p>
        </w:tc>
      </w:tr>
      <w:tr w:rsidR="00645112" w:rsidRPr="00967127" w14:paraId="0FA775F4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F4739A4" w14:textId="77777777" w:rsidR="0063451E" w:rsidRPr="00967127" w:rsidRDefault="0063451E" w:rsidP="006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  <w:hideMark/>
          </w:tcPr>
          <w:p w14:paraId="5A7B251D" w14:textId="77777777" w:rsidR="0063451E" w:rsidRPr="00967127" w:rsidRDefault="0063451E" w:rsidP="006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ChIP-Seq peak</w:t>
            </w:r>
          </w:p>
        </w:tc>
        <w:tc>
          <w:tcPr>
            <w:tcW w:w="2465" w:type="dxa"/>
            <w:gridSpan w:val="2"/>
            <w:shd w:val="clear" w:color="auto" w:fill="auto"/>
            <w:noWrap/>
            <w:vAlign w:val="center"/>
            <w:hideMark/>
          </w:tcPr>
          <w:p w14:paraId="414BAFE3" w14:textId="77777777" w:rsidR="0063451E" w:rsidRPr="00967127" w:rsidRDefault="0063451E" w:rsidP="006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RNA-Seq</w:t>
            </w:r>
          </w:p>
        </w:tc>
      </w:tr>
      <w:tr w:rsidR="00645112" w:rsidRPr="00967127" w14:paraId="173B7ABE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2664C6FE" w14:textId="77777777" w:rsidR="00565854" w:rsidRPr="00967127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Gene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332BE57" w14:textId="6D19FE79" w:rsidR="00565854" w:rsidRPr="00967127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Log2FC</w:t>
            </w:r>
            <w:r w:rsidRPr="0096712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14:paraId="4CBCCEB2" w14:textId="63447D81" w:rsidR="00565854" w:rsidRPr="00717F3A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</w:t>
            </w:r>
            <w:r w:rsidR="00717F3A"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-value</w:t>
            </w:r>
            <w:r w:rsidRPr="00717F3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525A43" w14:textId="15795260" w:rsidR="00565854" w:rsidRPr="00967127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Log2FC</w:t>
            </w:r>
            <w:r w:rsidRPr="0096712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C5D6D6B" w14:textId="0CE3B96A" w:rsidR="00565854" w:rsidRPr="00717F3A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Adj. P</w:t>
            </w:r>
            <w:r w:rsidR="00717F3A"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-value</w:t>
            </w:r>
            <w:r w:rsidR="00717F3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c</w:t>
            </w:r>
          </w:p>
        </w:tc>
      </w:tr>
      <w:tr w:rsidR="001018CA" w:rsidRPr="00967127" w14:paraId="2548774A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5FE07F79" w14:textId="028C5473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t-BR"/>
              </w:rPr>
              <w:t>PSTPIP1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287247E" w14:textId="4C1ED4FD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558FBFF4" w14:textId="685EB92D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8,31e-06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6C3C6BD" w14:textId="37D6D003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FAC04FF" w14:textId="78FDE0EB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0,017</w:t>
            </w:r>
          </w:p>
        </w:tc>
      </w:tr>
      <w:tr w:rsidR="001018CA" w:rsidRPr="00967127" w14:paraId="2560925C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76038EB0" w14:textId="47F697AB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t-BR"/>
              </w:rPr>
              <w:t>ARRDC2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0185DC85" w14:textId="3872E05A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89,68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0769810F" w14:textId="43404A64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1,30e-68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588CC67" w14:textId="46F6E4B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C167A5A" w14:textId="3EAA95C7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1018CA" w:rsidRPr="00967127" w14:paraId="46619FE8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04DB87BA" w14:textId="2FD5244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t-BR"/>
              </w:rPr>
              <w:t>MYO15B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74F295CD" w14:textId="1F95259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14,64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1969D242" w14:textId="119FA952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2,90e-34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BB40054" w14:textId="08B15AB0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37D3B89" w14:textId="3140B74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0,011</w:t>
            </w:r>
          </w:p>
        </w:tc>
      </w:tr>
      <w:tr w:rsidR="001018CA" w:rsidRPr="00967127" w14:paraId="29F2AEF0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1F4F6425" w14:textId="6B53C1B3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PLXNB1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3C1A892" w14:textId="45431042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147,62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76CCDAA" w14:textId="762CF89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1,44e-128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41AF0CA" w14:textId="16F0BE5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38943CF1" w14:textId="1AC308CA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0,017</w:t>
            </w:r>
          </w:p>
        </w:tc>
      </w:tr>
      <w:tr w:rsidR="001018CA" w:rsidRPr="00967127" w14:paraId="2B0AEEA6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0E28E3E5" w14:textId="14ED3695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FZD7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51BB8D33" w14:textId="26C09EED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32,11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2324C288" w14:textId="72905CF5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4,42e-19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447AF8D" w14:textId="2CC4115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D268D63" w14:textId="4734EE7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0,011</w:t>
            </w:r>
          </w:p>
        </w:tc>
      </w:tr>
      <w:tr w:rsidR="001018CA" w:rsidRPr="00967127" w14:paraId="665FBF80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139CFE02" w14:textId="18306DB3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PXN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08C93D24" w14:textId="2CFFA50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7,57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2B3B3A36" w14:textId="04BE462E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3,87e-09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A3502EF" w14:textId="78D9ED60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7EBE5214" w14:textId="54AE520E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1018CA" w:rsidRPr="00967127" w14:paraId="55F0DB91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5F961B30" w14:textId="1FEA2FD3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KLF2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C9DE97D" w14:textId="3339072E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23,62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1132D36" w14:textId="46BB524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1,48e-23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7BA516E" w14:textId="5B74739C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11D29027" w14:textId="3E8ECDB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0,017</w:t>
            </w:r>
          </w:p>
        </w:tc>
      </w:tr>
      <w:tr w:rsidR="001018CA" w:rsidRPr="00967127" w14:paraId="60788B05" w14:textId="77777777" w:rsidTr="003F3D6F">
        <w:trPr>
          <w:trHeight w:val="300"/>
          <w:jc w:val="center"/>
        </w:trPr>
        <w:tc>
          <w:tcPr>
            <w:tcW w:w="1330" w:type="dxa"/>
            <w:vMerge w:val="restart"/>
            <w:shd w:val="clear" w:color="auto" w:fill="auto"/>
            <w:noWrap/>
            <w:vAlign w:val="center"/>
          </w:tcPr>
          <w:p w14:paraId="14243ABF" w14:textId="3BBADCF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CDC42BPG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CEE6889" w14:textId="2DD52EE0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50,56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12D1D9E" w14:textId="5F5FDB52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1,17e-33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14:paraId="6AD62C09" w14:textId="5B41EB0B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2,61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</w:tcPr>
          <w:p w14:paraId="35643601" w14:textId="3F817A04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0,020</w:t>
            </w:r>
          </w:p>
        </w:tc>
      </w:tr>
      <w:tr w:rsidR="001018CA" w:rsidRPr="00967127" w14:paraId="246B73A8" w14:textId="77777777" w:rsidTr="003F3D6F">
        <w:trPr>
          <w:trHeight w:val="300"/>
          <w:jc w:val="center"/>
        </w:trPr>
        <w:tc>
          <w:tcPr>
            <w:tcW w:w="1330" w:type="dxa"/>
            <w:vMerge/>
            <w:vAlign w:val="center"/>
          </w:tcPr>
          <w:p w14:paraId="0B7A23AC" w14:textId="77777777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67B743B1" w14:textId="667425E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20,30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CACBEB4" w14:textId="3F86815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1,63e-10</w:t>
            </w:r>
          </w:p>
        </w:tc>
        <w:tc>
          <w:tcPr>
            <w:tcW w:w="1129" w:type="dxa"/>
            <w:vMerge/>
            <w:vAlign w:val="center"/>
          </w:tcPr>
          <w:p w14:paraId="0A1D04B1" w14:textId="77777777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6" w:type="dxa"/>
            <w:vMerge/>
            <w:vAlign w:val="center"/>
          </w:tcPr>
          <w:p w14:paraId="1649B32D" w14:textId="77777777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47D7B" w:rsidRPr="00967127" w14:paraId="49847A31" w14:textId="77777777" w:rsidTr="003F3D6F">
        <w:trPr>
          <w:trHeight w:val="300"/>
          <w:jc w:val="center"/>
        </w:trPr>
        <w:tc>
          <w:tcPr>
            <w:tcW w:w="1330" w:type="dxa"/>
            <w:vMerge w:val="restart"/>
            <w:shd w:val="clear" w:color="auto" w:fill="auto"/>
            <w:noWrap/>
            <w:vAlign w:val="center"/>
          </w:tcPr>
          <w:p w14:paraId="4940B13F" w14:textId="2496795E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XRCC3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51DCA716" w14:textId="01E54B2C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115,14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1902D1BC" w14:textId="6BD708B6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04e-94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14:paraId="1C34CB80" w14:textId="215C3803" w:rsidR="00847D7B" w:rsidRPr="00967127" w:rsidRDefault="001018CA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1,49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</w:tcPr>
          <w:p w14:paraId="306FBBCD" w14:textId="45C1C305" w:rsidR="00847D7B" w:rsidRPr="00967127" w:rsidRDefault="001018CA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0,011</w:t>
            </w:r>
          </w:p>
        </w:tc>
      </w:tr>
      <w:tr w:rsidR="00847D7B" w:rsidRPr="00967127" w14:paraId="4D01C701" w14:textId="77777777" w:rsidTr="003F3D6F">
        <w:trPr>
          <w:trHeight w:val="300"/>
          <w:jc w:val="center"/>
        </w:trPr>
        <w:tc>
          <w:tcPr>
            <w:tcW w:w="1330" w:type="dxa"/>
            <w:vMerge/>
            <w:vAlign w:val="center"/>
          </w:tcPr>
          <w:p w14:paraId="7A509804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00E4D914" w14:textId="0A758DDA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38,20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6687F0C" w14:textId="54BF956F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7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22e-46</w:t>
            </w:r>
          </w:p>
        </w:tc>
        <w:tc>
          <w:tcPr>
            <w:tcW w:w="1129" w:type="dxa"/>
            <w:vMerge/>
            <w:vAlign w:val="center"/>
          </w:tcPr>
          <w:p w14:paraId="51DEE4B3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6" w:type="dxa"/>
            <w:vMerge/>
            <w:vAlign w:val="center"/>
          </w:tcPr>
          <w:p w14:paraId="6EF87733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47D7B" w:rsidRPr="00967127" w14:paraId="16976172" w14:textId="77777777" w:rsidTr="003F3D6F">
        <w:trPr>
          <w:trHeight w:val="300"/>
          <w:jc w:val="center"/>
        </w:trPr>
        <w:tc>
          <w:tcPr>
            <w:tcW w:w="1330" w:type="dxa"/>
            <w:vMerge/>
            <w:vAlign w:val="center"/>
          </w:tcPr>
          <w:p w14:paraId="583C455B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B3DA5A7" w14:textId="6B47B8A4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33,77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2708B93B" w14:textId="7C3C3ED0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36e-38</w:t>
            </w:r>
          </w:p>
        </w:tc>
        <w:tc>
          <w:tcPr>
            <w:tcW w:w="1129" w:type="dxa"/>
            <w:vMerge/>
            <w:vAlign w:val="center"/>
          </w:tcPr>
          <w:p w14:paraId="14B6E3CE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36" w:type="dxa"/>
            <w:vMerge/>
            <w:vAlign w:val="center"/>
          </w:tcPr>
          <w:p w14:paraId="474E015F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018CA" w:rsidRPr="00967127" w14:paraId="2BB9071F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48821447" w14:textId="3068191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VAC14-AS1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150B4AB" w14:textId="0199CBAE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11,22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502FEBE5" w14:textId="50205892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1,44e-38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9799FFC" w14:textId="6C0DE4DD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9FB60B0" w14:textId="78218958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1018CA" w:rsidRPr="00967127" w14:paraId="170C5639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7452F92A" w14:textId="092375BA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CLDN5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2E2DB659" w14:textId="7C4616D7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2AB93200" w14:textId="1420ACB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1,17e-33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DBFF049" w14:textId="6C11E6B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6771E287" w14:textId="399EF0D3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1018CA" w:rsidRPr="00967127" w14:paraId="30FA3CED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15D9B4C8" w14:textId="54ACED9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PKN3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5BF90BC9" w14:textId="694DE8AB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6,37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C460185" w14:textId="5B3F2E9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1,57e-12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4B553EA" w14:textId="05CD2B8A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B60F094" w14:textId="2189B23C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1018CA" w:rsidRPr="00967127" w14:paraId="5725A6DE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3380172B" w14:textId="7A52C718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SLC16A3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54059740" w14:textId="7A9D14A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12,55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58848CA" w14:textId="05C6F05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1,32e-05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85D65B9" w14:textId="2B0C090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21412E6" w14:textId="3A876AA2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1018CA" w:rsidRPr="00967127" w14:paraId="3432696A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56F510DF" w14:textId="29BE0857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TRIOBP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2952616" w14:textId="20E1CA0E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46,87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EE2E31E" w14:textId="36DB40D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2,80e-30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13000E4" w14:textId="07C223DD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99F0293" w14:textId="7812A39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9,68E-05</w:t>
            </w:r>
          </w:p>
        </w:tc>
      </w:tr>
      <w:tr w:rsidR="00847D7B" w:rsidRPr="00967127" w14:paraId="39356A96" w14:textId="77777777" w:rsidTr="003F3D6F">
        <w:trPr>
          <w:trHeight w:val="300"/>
          <w:jc w:val="center"/>
        </w:trPr>
        <w:tc>
          <w:tcPr>
            <w:tcW w:w="1330" w:type="dxa"/>
            <w:vMerge w:val="restart"/>
            <w:shd w:val="clear" w:color="auto" w:fill="auto"/>
            <w:noWrap/>
            <w:vAlign w:val="center"/>
          </w:tcPr>
          <w:p w14:paraId="0D02E133" w14:textId="6491001B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PLXNB2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2862543" w14:textId="5BBE15C6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7,75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2F505CF9" w14:textId="08F816B1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07e-13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14:paraId="390B89EF" w14:textId="2BFCED1E" w:rsidR="00847D7B" w:rsidRPr="00967127" w:rsidRDefault="001018CA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1,07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</w:tcPr>
          <w:p w14:paraId="0AB768A0" w14:textId="6F8959FE" w:rsidR="00847D7B" w:rsidRPr="00967127" w:rsidRDefault="001018CA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0,026</w:t>
            </w:r>
          </w:p>
        </w:tc>
      </w:tr>
      <w:tr w:rsidR="00847D7B" w:rsidRPr="00967127" w14:paraId="55B04DA7" w14:textId="77777777" w:rsidTr="003F3D6F">
        <w:trPr>
          <w:trHeight w:val="300"/>
          <w:jc w:val="center"/>
        </w:trPr>
        <w:tc>
          <w:tcPr>
            <w:tcW w:w="1330" w:type="dxa"/>
            <w:vMerge/>
            <w:vAlign w:val="center"/>
          </w:tcPr>
          <w:p w14:paraId="5146D9A1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t-BR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2617C6DD" w14:textId="56E2AE25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35,06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7934C9CC" w14:textId="66E20ABB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30e-20</w:t>
            </w:r>
          </w:p>
        </w:tc>
        <w:tc>
          <w:tcPr>
            <w:tcW w:w="1129" w:type="dxa"/>
            <w:vMerge/>
            <w:vAlign w:val="center"/>
          </w:tcPr>
          <w:p w14:paraId="792E9C2E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</w:p>
        </w:tc>
        <w:tc>
          <w:tcPr>
            <w:tcW w:w="1336" w:type="dxa"/>
            <w:vMerge/>
            <w:vAlign w:val="center"/>
          </w:tcPr>
          <w:p w14:paraId="0C2A8155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</w:p>
        </w:tc>
      </w:tr>
      <w:tr w:rsidR="00847D7B" w:rsidRPr="00967127" w14:paraId="697E86E6" w14:textId="77777777" w:rsidTr="003F3D6F">
        <w:trPr>
          <w:trHeight w:val="300"/>
          <w:jc w:val="center"/>
        </w:trPr>
        <w:tc>
          <w:tcPr>
            <w:tcW w:w="1330" w:type="dxa"/>
            <w:vMerge/>
            <w:vAlign w:val="center"/>
          </w:tcPr>
          <w:p w14:paraId="679FED36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t-BR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7D5C1FE2" w14:textId="11825BD4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4,37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52401730" w14:textId="2D5D4809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61e-05</w:t>
            </w:r>
          </w:p>
        </w:tc>
        <w:tc>
          <w:tcPr>
            <w:tcW w:w="1129" w:type="dxa"/>
            <w:vMerge/>
            <w:vAlign w:val="center"/>
          </w:tcPr>
          <w:p w14:paraId="7FC67077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</w:p>
        </w:tc>
        <w:tc>
          <w:tcPr>
            <w:tcW w:w="1336" w:type="dxa"/>
            <w:vMerge/>
            <w:vAlign w:val="center"/>
          </w:tcPr>
          <w:p w14:paraId="7AD571E0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</w:p>
        </w:tc>
      </w:tr>
      <w:tr w:rsidR="001018CA" w:rsidRPr="00967127" w14:paraId="0FEFDEBB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56BD8819" w14:textId="2FFBA90C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ARHGEF1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01AFF93" w14:textId="78A7DB8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47,24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6CB71BB" w14:textId="3F1CF3C0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2,80e-30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5D71024" w14:textId="2EB75162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692FC8F" w14:textId="7EE6AC9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0,011</w:t>
            </w:r>
          </w:p>
        </w:tc>
      </w:tr>
      <w:tr w:rsidR="001018CA" w:rsidRPr="00967127" w14:paraId="7CECB866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00406B2D" w14:textId="7F74696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C22orf34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25C5C83" w14:textId="6C8DE7E1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112,56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C55EC26" w14:textId="5F82919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1,18e-92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7515EDF" w14:textId="49B9E62E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7B16E99" w14:textId="7277456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</w:tr>
      <w:tr w:rsidR="00847D7B" w:rsidRPr="00967127" w14:paraId="0227D4D1" w14:textId="77777777" w:rsidTr="003F3D6F">
        <w:trPr>
          <w:trHeight w:val="300"/>
          <w:jc w:val="center"/>
        </w:trPr>
        <w:tc>
          <w:tcPr>
            <w:tcW w:w="1330" w:type="dxa"/>
            <w:vMerge w:val="restart"/>
            <w:shd w:val="clear" w:color="auto" w:fill="auto"/>
            <w:noWrap/>
            <w:vAlign w:val="center"/>
          </w:tcPr>
          <w:p w14:paraId="206B1293" w14:textId="210D5260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SLC6A12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6B44C12" w14:textId="4273E76F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50,19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0DD73100" w14:textId="592E59C8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17e-33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</w:tcPr>
          <w:p w14:paraId="137F740A" w14:textId="6D32C8C5" w:rsidR="00847D7B" w:rsidRPr="00967127" w:rsidRDefault="001018CA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1,70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</w:tcPr>
          <w:p w14:paraId="1B936F76" w14:textId="73682C4C" w:rsidR="00847D7B" w:rsidRPr="00967127" w:rsidRDefault="00967127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0,035</w:t>
            </w:r>
          </w:p>
        </w:tc>
      </w:tr>
      <w:tr w:rsidR="00847D7B" w:rsidRPr="00967127" w14:paraId="2A64DC67" w14:textId="77777777" w:rsidTr="003F3D6F">
        <w:trPr>
          <w:trHeight w:val="300"/>
          <w:jc w:val="center"/>
        </w:trPr>
        <w:tc>
          <w:tcPr>
            <w:tcW w:w="1330" w:type="dxa"/>
            <w:vMerge/>
            <w:shd w:val="clear" w:color="auto" w:fill="auto"/>
            <w:noWrap/>
            <w:vAlign w:val="center"/>
          </w:tcPr>
          <w:p w14:paraId="7AFB206D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0F17DF40" w14:textId="6B3E3921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43,55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21DC5239" w14:textId="7D42D325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5</w:t>
            </w:r>
            <w:r w:rsidR="00685084" w:rsidRPr="00967127">
              <w:rPr>
                <w:rFonts w:ascii="Arial" w:hAnsi="Arial" w:cs="Arial"/>
                <w:sz w:val="18"/>
                <w:szCs w:val="18"/>
              </w:rPr>
              <w:t>,</w:t>
            </w:r>
            <w:r w:rsidRPr="00967127">
              <w:rPr>
                <w:rFonts w:ascii="Arial" w:hAnsi="Arial" w:cs="Arial"/>
                <w:sz w:val="18"/>
                <w:szCs w:val="18"/>
              </w:rPr>
              <w:t>66e-27</w:t>
            </w:r>
          </w:p>
        </w:tc>
        <w:tc>
          <w:tcPr>
            <w:tcW w:w="1129" w:type="dxa"/>
            <w:vMerge/>
            <w:shd w:val="clear" w:color="auto" w:fill="auto"/>
            <w:noWrap/>
            <w:vAlign w:val="center"/>
          </w:tcPr>
          <w:p w14:paraId="1C4B227C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</w:p>
        </w:tc>
        <w:tc>
          <w:tcPr>
            <w:tcW w:w="1336" w:type="dxa"/>
            <w:vMerge/>
            <w:shd w:val="clear" w:color="auto" w:fill="auto"/>
            <w:noWrap/>
            <w:vAlign w:val="center"/>
          </w:tcPr>
          <w:p w14:paraId="0976B75B" w14:textId="77777777" w:rsidR="00847D7B" w:rsidRPr="00967127" w:rsidRDefault="00847D7B" w:rsidP="00847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</w:p>
        </w:tc>
      </w:tr>
      <w:tr w:rsidR="001018CA" w:rsidRPr="00967127" w14:paraId="5E52ACF6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4D1C0C53" w14:textId="409C382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AJUBA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811A10C" w14:textId="414D446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26,20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675C327B" w14:textId="4C418704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1,19e-14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70992D1" w14:textId="3F5137B0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552389D" w14:textId="73D61667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0,049</w:t>
            </w:r>
          </w:p>
        </w:tc>
      </w:tr>
      <w:tr w:rsidR="001018CA" w:rsidRPr="00967127" w14:paraId="3299BD90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24C22F9D" w14:textId="54CFE96E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COL8A2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48A95022" w14:textId="2DD6466D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28,42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227407BD" w14:textId="6A698F8A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4,25e-16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85999E7" w14:textId="29D237C6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0720E42" w14:textId="7726756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0,041</w:t>
            </w:r>
          </w:p>
        </w:tc>
      </w:tr>
      <w:tr w:rsidR="001018CA" w:rsidRPr="00967127" w14:paraId="56519A3B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0E28621D" w14:textId="16AE6662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SLC4A11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3E48A364" w14:textId="305ADD5B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24,91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03B0F74B" w14:textId="224AD5AB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6,18e-25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70BA20F" w14:textId="00B282CC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454DA90" w14:textId="19733110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1018CA" w:rsidRPr="00967127" w14:paraId="38C70FDA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1396B40F" w14:textId="15A92C9B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  <w:lang w:val="en-US"/>
              </w:rPr>
              <w:t>EPHB4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17866923" w14:textId="4F4CD608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83,77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1A7C1459" w14:textId="3FFF5C45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8,25e-63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5254964" w14:textId="5B5073BF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227D3781" w14:textId="732DE649" w:rsidR="001018CA" w:rsidRPr="00967127" w:rsidRDefault="001018CA" w:rsidP="0010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967127">
              <w:rPr>
                <w:rFonts w:ascii="Arial" w:hAnsi="Arial" w:cs="Arial"/>
                <w:color w:val="000000"/>
                <w:sz w:val="18"/>
                <w:szCs w:val="18"/>
              </w:rPr>
              <w:t>0,017</w:t>
            </w:r>
          </w:p>
        </w:tc>
      </w:tr>
      <w:tr w:rsidR="00645112" w:rsidRPr="00967127" w14:paraId="0E79511C" w14:textId="77777777" w:rsidTr="003F3D6F">
        <w:trPr>
          <w:trHeight w:val="300"/>
          <w:jc w:val="center"/>
        </w:trPr>
        <w:tc>
          <w:tcPr>
            <w:tcW w:w="5949" w:type="dxa"/>
            <w:gridSpan w:val="5"/>
            <w:shd w:val="clear" w:color="auto" w:fill="auto"/>
            <w:noWrap/>
            <w:vAlign w:val="center"/>
          </w:tcPr>
          <w:p w14:paraId="7DC52069" w14:textId="36D1E475" w:rsidR="00EA1DB5" w:rsidRPr="00967127" w:rsidRDefault="00EA1DB5" w:rsidP="00FD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Auditory cortex – downregulated</w:t>
            </w:r>
          </w:p>
        </w:tc>
      </w:tr>
      <w:tr w:rsidR="00645112" w:rsidRPr="00967127" w14:paraId="23091794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413008C0" w14:textId="77777777" w:rsidR="00EA1DB5" w:rsidRPr="00967127" w:rsidRDefault="00EA1DB5" w:rsidP="00EA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14:paraId="43216189" w14:textId="54BD53DD" w:rsidR="00EA1DB5" w:rsidRPr="00967127" w:rsidRDefault="00EA1DB5" w:rsidP="00EA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ChIP-Seq peak</w:t>
            </w:r>
          </w:p>
        </w:tc>
        <w:tc>
          <w:tcPr>
            <w:tcW w:w="2465" w:type="dxa"/>
            <w:gridSpan w:val="2"/>
            <w:shd w:val="clear" w:color="auto" w:fill="auto"/>
            <w:noWrap/>
            <w:vAlign w:val="center"/>
          </w:tcPr>
          <w:p w14:paraId="25540323" w14:textId="3D554FE4" w:rsidR="00EA1DB5" w:rsidRPr="00967127" w:rsidRDefault="00EA1DB5" w:rsidP="00EA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RNA-Seq</w:t>
            </w:r>
          </w:p>
        </w:tc>
      </w:tr>
      <w:tr w:rsidR="00645112" w:rsidRPr="00967127" w14:paraId="437A31BE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1134BB8F" w14:textId="1D3A0082" w:rsidR="00565854" w:rsidRPr="00967127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Gene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2F0C28B4" w14:textId="36E8FE48" w:rsidR="00565854" w:rsidRPr="00967127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Log2FC</w:t>
            </w:r>
            <w:r w:rsidRPr="0096712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00824D5F" w14:textId="56F1BDD9" w:rsidR="00565854" w:rsidRPr="00967127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</w:t>
            </w:r>
            <w:r w:rsidR="00717F3A"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-value</w:t>
            </w:r>
            <w:r w:rsidRPr="0096712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b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1DEF008" w14:textId="08C29A3C" w:rsidR="00565854" w:rsidRPr="00967127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671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Log2FC</w:t>
            </w:r>
            <w:r w:rsidRPr="0096712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00AB376E" w14:textId="76CF25D4" w:rsidR="00565854" w:rsidRPr="00717F3A" w:rsidRDefault="00565854" w:rsidP="00565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Adj. P</w:t>
            </w:r>
            <w:r w:rsidR="00717F3A" w:rsidRPr="00717F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-value</w:t>
            </w:r>
            <w:r w:rsidR="00717F3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c</w:t>
            </w:r>
          </w:p>
        </w:tc>
      </w:tr>
      <w:tr w:rsidR="00B57E7A" w:rsidRPr="00967127" w14:paraId="0BBD0CE2" w14:textId="77777777" w:rsidTr="003F3D6F">
        <w:trPr>
          <w:trHeight w:val="30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2B447F63" w14:textId="6D11488E" w:rsidR="00B57E7A" w:rsidRPr="00967127" w:rsidRDefault="00B57E7A" w:rsidP="00B57E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</w:pPr>
            <w:r w:rsidRPr="00967127">
              <w:rPr>
                <w:rFonts w:ascii="Arial" w:hAnsi="Arial" w:cs="Arial"/>
                <w:i/>
                <w:iCs/>
                <w:sz w:val="18"/>
                <w:szCs w:val="18"/>
              </w:rPr>
              <w:t>SCAI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7DD7B2BB" w14:textId="4F3B358A" w:rsidR="00B57E7A" w:rsidRPr="00967127" w:rsidRDefault="00B57E7A" w:rsidP="00B57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476,91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14:paraId="56F0B1DC" w14:textId="652A9F98" w:rsidR="00B57E7A" w:rsidRPr="00967127" w:rsidRDefault="00B57E7A" w:rsidP="00B57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67127">
              <w:rPr>
                <w:rFonts w:ascii="Arial" w:hAnsi="Arial" w:cs="Arial"/>
                <w:sz w:val="18"/>
                <w:szCs w:val="18"/>
              </w:rPr>
              <w:t>9,91e-101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AE41D8F" w14:textId="0C64283A" w:rsidR="00B57E7A" w:rsidRPr="00967127" w:rsidRDefault="00B57E7A" w:rsidP="00B57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-1,10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4C4EF295" w14:textId="7967E3A0" w:rsidR="00B57E7A" w:rsidRPr="00967127" w:rsidRDefault="00B57E7A" w:rsidP="00B57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0,044</w:t>
            </w:r>
          </w:p>
        </w:tc>
      </w:tr>
    </w:tbl>
    <w:p w14:paraId="487A087D" w14:textId="783761B1" w:rsidR="00123AB2" w:rsidRPr="004E1D66" w:rsidRDefault="00123AB2" w:rsidP="00B57E7A">
      <w:pPr>
        <w:spacing w:before="40" w:after="40" w:line="240" w:lineRule="auto"/>
        <w:ind w:left="1418"/>
        <w:rPr>
          <w:rFonts w:ascii="Arial" w:hAnsi="Arial" w:cs="Arial"/>
          <w:sz w:val="18"/>
          <w:szCs w:val="18"/>
          <w:lang w:val="en-US"/>
        </w:rPr>
      </w:pPr>
      <w:r w:rsidRPr="00F95448">
        <w:rPr>
          <w:rFonts w:ascii="Arial" w:hAnsi="Arial" w:cs="Arial"/>
          <w:bCs/>
          <w:sz w:val="20"/>
          <w:szCs w:val="20"/>
          <w:vertAlign w:val="superscript"/>
          <w:lang w:val="en-US"/>
        </w:rPr>
        <w:t>a</w:t>
      </w:r>
      <w:r w:rsidR="00565854" w:rsidRPr="004E1D66">
        <w:rPr>
          <w:rFonts w:ascii="Arial" w:hAnsi="Arial" w:cs="Arial"/>
          <w:bCs/>
          <w:sz w:val="18"/>
          <w:szCs w:val="18"/>
          <w:vertAlign w:val="superscript"/>
          <w:lang w:val="en-US"/>
        </w:rPr>
        <w:t xml:space="preserve"> </w:t>
      </w:r>
      <w:r w:rsidRPr="004E1D66">
        <w:rPr>
          <w:rFonts w:ascii="Arial" w:hAnsi="Arial" w:cs="Arial"/>
          <w:sz w:val="18"/>
          <w:szCs w:val="18"/>
          <w:lang w:val="en-US"/>
        </w:rPr>
        <w:t>Log2 fold change</w:t>
      </w:r>
    </w:p>
    <w:p w14:paraId="00312098" w14:textId="118910D5" w:rsidR="006C2168" w:rsidRDefault="00123AB2" w:rsidP="00B57E7A">
      <w:pPr>
        <w:spacing w:before="40" w:after="40" w:line="240" w:lineRule="auto"/>
        <w:ind w:left="1418"/>
        <w:rPr>
          <w:rFonts w:ascii="Arial" w:hAnsi="Arial" w:cs="Arial"/>
          <w:bCs/>
          <w:sz w:val="18"/>
          <w:szCs w:val="18"/>
          <w:lang w:val="en-US"/>
        </w:rPr>
      </w:pPr>
      <w:r w:rsidRPr="00F95448">
        <w:rPr>
          <w:rFonts w:ascii="Arial" w:hAnsi="Arial" w:cs="Arial"/>
          <w:bCs/>
          <w:sz w:val="20"/>
          <w:szCs w:val="20"/>
          <w:vertAlign w:val="superscript"/>
          <w:lang w:val="en-US"/>
        </w:rPr>
        <w:t>b</w:t>
      </w:r>
      <w:r w:rsidR="00565854" w:rsidRPr="00F95448">
        <w:rPr>
          <w:rFonts w:ascii="Arial" w:hAnsi="Arial" w:cs="Arial"/>
          <w:bCs/>
          <w:sz w:val="20"/>
          <w:szCs w:val="20"/>
          <w:vertAlign w:val="superscript"/>
          <w:lang w:val="en-US"/>
        </w:rPr>
        <w:t xml:space="preserve"> </w:t>
      </w:r>
      <w:bookmarkStart w:id="1" w:name="_Hlk98254187"/>
      <w:r w:rsidR="00F95448">
        <w:rPr>
          <w:rFonts w:ascii="Arial" w:hAnsi="Arial" w:cs="Arial"/>
          <w:bCs/>
          <w:sz w:val="18"/>
          <w:szCs w:val="18"/>
          <w:lang w:val="en-US"/>
        </w:rPr>
        <w:t>P</w:t>
      </w:r>
      <w:r w:rsidRPr="004E1D66">
        <w:rPr>
          <w:rFonts w:ascii="Arial" w:hAnsi="Arial" w:cs="Arial"/>
          <w:bCs/>
          <w:sz w:val="18"/>
          <w:szCs w:val="18"/>
          <w:lang w:val="en-US"/>
        </w:rPr>
        <w:t>-value &lt; 0.05</w:t>
      </w:r>
      <w:r w:rsidR="00F95448">
        <w:rPr>
          <w:rFonts w:ascii="Arial" w:hAnsi="Arial" w:cs="Arial"/>
          <w:bCs/>
          <w:sz w:val="18"/>
          <w:szCs w:val="18"/>
          <w:lang w:val="en-US"/>
        </w:rPr>
        <w:t xml:space="preserve">, </w:t>
      </w:r>
      <w:r w:rsidR="00C96B78">
        <w:rPr>
          <w:rFonts w:ascii="Arial" w:hAnsi="Arial" w:cs="Arial"/>
          <w:bCs/>
          <w:sz w:val="18"/>
          <w:szCs w:val="18"/>
          <w:lang w:val="en-US"/>
        </w:rPr>
        <w:t>based on</w:t>
      </w:r>
      <w:r w:rsidR="00F95448">
        <w:rPr>
          <w:rFonts w:ascii="Arial" w:hAnsi="Arial" w:cs="Arial"/>
          <w:bCs/>
          <w:sz w:val="18"/>
          <w:szCs w:val="18"/>
          <w:lang w:val="en-US"/>
        </w:rPr>
        <w:t xml:space="preserve"> an FDR </w:t>
      </w:r>
      <w:r w:rsidR="00F95448" w:rsidRPr="004E1D66">
        <w:rPr>
          <w:rFonts w:ascii="Arial" w:hAnsi="Arial" w:cs="Arial"/>
          <w:bCs/>
          <w:sz w:val="18"/>
          <w:szCs w:val="18"/>
          <w:lang w:val="en-US"/>
        </w:rPr>
        <w:t>&lt; 0.05</w:t>
      </w:r>
      <w:bookmarkEnd w:id="1"/>
    </w:p>
    <w:p w14:paraId="7246AB9B" w14:textId="0C6D2C82" w:rsidR="00717F3A" w:rsidRPr="004E1D66" w:rsidRDefault="00717F3A" w:rsidP="00B57E7A">
      <w:pPr>
        <w:spacing w:before="40" w:after="40" w:line="240" w:lineRule="auto"/>
        <w:ind w:left="1418"/>
        <w:rPr>
          <w:rFonts w:ascii="Arial" w:hAnsi="Arial" w:cs="Arial"/>
          <w:bCs/>
          <w:sz w:val="18"/>
          <w:szCs w:val="18"/>
          <w:lang w:val="en-US"/>
        </w:rPr>
      </w:pPr>
      <w:r w:rsidRPr="00F95448">
        <w:rPr>
          <w:rFonts w:ascii="Arial" w:hAnsi="Arial" w:cs="Arial"/>
          <w:bCs/>
          <w:sz w:val="20"/>
          <w:szCs w:val="20"/>
          <w:vertAlign w:val="superscript"/>
          <w:lang w:val="en-US"/>
        </w:rPr>
        <w:t>c</w:t>
      </w:r>
      <w:r w:rsidRPr="00F9544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95448" w:rsidRPr="004E1D66">
        <w:rPr>
          <w:rFonts w:ascii="Arial" w:hAnsi="Arial" w:cs="Arial"/>
          <w:bCs/>
          <w:sz w:val="18"/>
          <w:szCs w:val="18"/>
          <w:lang w:val="en-US"/>
        </w:rPr>
        <w:t>Adjusted p-value &lt; 0.05</w:t>
      </w:r>
    </w:p>
    <w:sectPr w:rsidR="00717F3A" w:rsidRPr="004E1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0FCF" w14:textId="77777777" w:rsidR="00C075A1" w:rsidRDefault="00C075A1" w:rsidP="00243590">
      <w:pPr>
        <w:spacing w:after="0" w:line="240" w:lineRule="auto"/>
      </w:pPr>
      <w:r>
        <w:separator/>
      </w:r>
    </w:p>
  </w:endnote>
  <w:endnote w:type="continuationSeparator" w:id="0">
    <w:p w14:paraId="4F8FCCC0" w14:textId="77777777" w:rsidR="00C075A1" w:rsidRDefault="00C075A1" w:rsidP="0024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435C" w14:textId="77777777" w:rsidR="00C075A1" w:rsidRDefault="00C075A1" w:rsidP="00243590">
      <w:pPr>
        <w:spacing w:after="0" w:line="240" w:lineRule="auto"/>
      </w:pPr>
      <w:r>
        <w:separator/>
      </w:r>
    </w:p>
  </w:footnote>
  <w:footnote w:type="continuationSeparator" w:id="0">
    <w:p w14:paraId="5EB6D65D" w14:textId="77777777" w:rsidR="00C075A1" w:rsidRDefault="00C075A1" w:rsidP="0024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76"/>
    <w:rsid w:val="00013130"/>
    <w:rsid w:val="00017B24"/>
    <w:rsid w:val="00051FCB"/>
    <w:rsid w:val="000705A8"/>
    <w:rsid w:val="000A4B72"/>
    <w:rsid w:val="000E751E"/>
    <w:rsid w:val="001018CA"/>
    <w:rsid w:val="00123AB2"/>
    <w:rsid w:val="001928D0"/>
    <w:rsid w:val="001A50BE"/>
    <w:rsid w:val="001C5151"/>
    <w:rsid w:val="001F7044"/>
    <w:rsid w:val="002177C1"/>
    <w:rsid w:val="00243590"/>
    <w:rsid w:val="00245EB8"/>
    <w:rsid w:val="00254818"/>
    <w:rsid w:val="002A7200"/>
    <w:rsid w:val="002A7C6E"/>
    <w:rsid w:val="002F1E01"/>
    <w:rsid w:val="00340AA2"/>
    <w:rsid w:val="00340E36"/>
    <w:rsid w:val="00351DFD"/>
    <w:rsid w:val="00383EE4"/>
    <w:rsid w:val="00386878"/>
    <w:rsid w:val="003B0DD4"/>
    <w:rsid w:val="003B10FE"/>
    <w:rsid w:val="003C5176"/>
    <w:rsid w:val="003E09C5"/>
    <w:rsid w:val="003F3D6F"/>
    <w:rsid w:val="00443DBE"/>
    <w:rsid w:val="00463BAD"/>
    <w:rsid w:val="0049527C"/>
    <w:rsid w:val="004A6D11"/>
    <w:rsid w:val="004B0C10"/>
    <w:rsid w:val="004E1D66"/>
    <w:rsid w:val="004F40C7"/>
    <w:rsid w:val="004F59C3"/>
    <w:rsid w:val="00512F8E"/>
    <w:rsid w:val="00533E8E"/>
    <w:rsid w:val="00537684"/>
    <w:rsid w:val="00555633"/>
    <w:rsid w:val="00565854"/>
    <w:rsid w:val="00571C57"/>
    <w:rsid w:val="00577827"/>
    <w:rsid w:val="00591201"/>
    <w:rsid w:val="005A0B48"/>
    <w:rsid w:val="005C6F9B"/>
    <w:rsid w:val="005F7F1C"/>
    <w:rsid w:val="0063451E"/>
    <w:rsid w:val="00645112"/>
    <w:rsid w:val="0064785E"/>
    <w:rsid w:val="00676061"/>
    <w:rsid w:val="00685084"/>
    <w:rsid w:val="006C2168"/>
    <w:rsid w:val="006F199F"/>
    <w:rsid w:val="006F4C0A"/>
    <w:rsid w:val="007047AA"/>
    <w:rsid w:val="00717F3A"/>
    <w:rsid w:val="007E2DA9"/>
    <w:rsid w:val="007E67EC"/>
    <w:rsid w:val="00847D7B"/>
    <w:rsid w:val="008726AE"/>
    <w:rsid w:val="00880D7D"/>
    <w:rsid w:val="008B58B9"/>
    <w:rsid w:val="008F0DFD"/>
    <w:rsid w:val="0093506B"/>
    <w:rsid w:val="00946816"/>
    <w:rsid w:val="00967127"/>
    <w:rsid w:val="00A618E2"/>
    <w:rsid w:val="00AD17BA"/>
    <w:rsid w:val="00B04696"/>
    <w:rsid w:val="00B57E7A"/>
    <w:rsid w:val="00B91FD1"/>
    <w:rsid w:val="00BE1EBA"/>
    <w:rsid w:val="00C00312"/>
    <w:rsid w:val="00C075A1"/>
    <w:rsid w:val="00C627CA"/>
    <w:rsid w:val="00C96B78"/>
    <w:rsid w:val="00D10BFC"/>
    <w:rsid w:val="00D24362"/>
    <w:rsid w:val="00D4320C"/>
    <w:rsid w:val="00DA16AE"/>
    <w:rsid w:val="00DA3C3F"/>
    <w:rsid w:val="00E467A4"/>
    <w:rsid w:val="00E936AC"/>
    <w:rsid w:val="00EA1DB5"/>
    <w:rsid w:val="00EE0010"/>
    <w:rsid w:val="00EE0F88"/>
    <w:rsid w:val="00F95448"/>
    <w:rsid w:val="00F95E65"/>
    <w:rsid w:val="00FB607A"/>
    <w:rsid w:val="00FC188D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F508"/>
  <w15:chartTrackingRefBased/>
  <w15:docId w15:val="{03CBA361-3904-4464-AAD6-86B330D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C51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6C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590"/>
  </w:style>
  <w:style w:type="paragraph" w:styleId="Rodap">
    <w:name w:val="footer"/>
    <w:basedOn w:val="Normal"/>
    <w:link w:val="RodapChar"/>
    <w:uiPriority w:val="99"/>
    <w:unhideWhenUsed/>
    <w:rsid w:val="0024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454B-A429-4CCA-A66F-709FCF92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Daliléia Santana</dc:creator>
  <cp:keywords/>
  <dc:description/>
  <cp:lastModifiedBy>Daliléia Santana</cp:lastModifiedBy>
  <cp:revision>63</cp:revision>
  <cp:lastPrinted>2021-06-30T16:44:00Z</cp:lastPrinted>
  <dcterms:created xsi:type="dcterms:W3CDTF">2020-12-22T02:38:00Z</dcterms:created>
  <dcterms:modified xsi:type="dcterms:W3CDTF">2022-03-15T19:32:00Z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