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F969" w14:textId="617F297F" w:rsidR="00403AC0" w:rsidRPr="002F256D" w:rsidRDefault="00EA2CA4" w:rsidP="00EA2CA4">
      <w:pPr>
        <w:rPr>
          <w:rFonts w:ascii="Helvetica" w:hAnsi="Helvetica" w:cs="Arial"/>
          <w:b/>
          <w:bCs/>
          <w:sz w:val="16"/>
          <w:szCs w:val="16"/>
        </w:rPr>
      </w:pPr>
      <w:r w:rsidRPr="002F256D">
        <w:rPr>
          <w:rFonts w:ascii="Helvetica" w:hAnsi="Helvetica" w:cs="Arial"/>
          <w:b/>
          <w:bCs/>
          <w:sz w:val="16"/>
          <w:szCs w:val="16"/>
        </w:rPr>
        <w:t xml:space="preserve">Electronic </w:t>
      </w:r>
      <w:r w:rsidR="00403AC0" w:rsidRPr="002F256D">
        <w:rPr>
          <w:rFonts w:ascii="Helvetica" w:hAnsi="Helvetica" w:cs="Arial"/>
          <w:b/>
          <w:bCs/>
          <w:sz w:val="16"/>
          <w:szCs w:val="16"/>
        </w:rPr>
        <w:t xml:space="preserve">Supplementary </w:t>
      </w:r>
      <w:r w:rsidRPr="002F256D">
        <w:rPr>
          <w:rFonts w:ascii="Helvetica" w:hAnsi="Helvetica" w:cs="Arial"/>
          <w:b/>
          <w:bCs/>
          <w:sz w:val="16"/>
          <w:szCs w:val="16"/>
        </w:rPr>
        <w:t>Appendix</w:t>
      </w:r>
    </w:p>
    <w:p w14:paraId="57321FAA" w14:textId="77777777" w:rsidR="00403AC0" w:rsidRPr="002F256D" w:rsidRDefault="00403AC0" w:rsidP="00403AC0">
      <w:pPr>
        <w:jc w:val="center"/>
        <w:rPr>
          <w:rFonts w:ascii="Helvetica" w:hAnsi="Helvetica" w:cs="Arial"/>
          <w:b/>
          <w:bCs/>
          <w:sz w:val="16"/>
          <w:szCs w:val="16"/>
        </w:rPr>
      </w:pPr>
    </w:p>
    <w:p w14:paraId="38F59387" w14:textId="1ED84713" w:rsidR="00403AC0" w:rsidRPr="002F256D" w:rsidRDefault="004B51F2" w:rsidP="00403AC0">
      <w:pPr>
        <w:rPr>
          <w:rFonts w:ascii="Helvetica" w:hAnsi="Helvetica" w:cs="Arial"/>
          <w:b/>
          <w:bCs/>
          <w:sz w:val="16"/>
          <w:szCs w:val="16"/>
        </w:rPr>
      </w:pPr>
      <w:r w:rsidRPr="002F256D">
        <w:rPr>
          <w:rFonts w:ascii="Helvetica" w:hAnsi="Helvetica" w:cs="Arial"/>
          <w:b/>
          <w:bCs/>
          <w:sz w:val="16"/>
          <w:szCs w:val="16"/>
        </w:rPr>
        <w:t>Table S</w:t>
      </w:r>
      <w:r w:rsidR="00403AC0" w:rsidRPr="002F256D">
        <w:rPr>
          <w:rFonts w:ascii="Helvetica" w:hAnsi="Helvetica" w:cs="Arial"/>
          <w:b/>
          <w:bCs/>
          <w:sz w:val="16"/>
          <w:szCs w:val="16"/>
        </w:rPr>
        <w:t>1 Hazard Ratios with and without Inverse Probability Weights</w:t>
      </w:r>
    </w:p>
    <w:p w14:paraId="4029628E" w14:textId="77777777" w:rsidR="00403AC0" w:rsidRPr="002F256D" w:rsidRDefault="00403AC0" w:rsidP="00403AC0">
      <w:pPr>
        <w:rPr>
          <w:rFonts w:ascii="Helvetica" w:hAnsi="Helvetica" w:cs="Arial"/>
          <w:b/>
          <w:bCs/>
          <w:sz w:val="16"/>
          <w:szCs w:val="16"/>
        </w:rPr>
      </w:pPr>
    </w:p>
    <w:tbl>
      <w:tblPr>
        <w:tblStyle w:val="TableGrid1"/>
        <w:tblW w:w="9625" w:type="dxa"/>
        <w:jc w:val="center"/>
        <w:tblLook w:val="04A0" w:firstRow="1" w:lastRow="0" w:firstColumn="1" w:lastColumn="0" w:noHBand="0" w:noVBand="1"/>
      </w:tblPr>
      <w:tblGrid>
        <w:gridCol w:w="2303"/>
        <w:gridCol w:w="2012"/>
        <w:gridCol w:w="2160"/>
        <w:gridCol w:w="1890"/>
        <w:gridCol w:w="1260"/>
      </w:tblGrid>
      <w:tr w:rsidR="00403AC0" w:rsidRPr="002F256D" w14:paraId="59F0096A" w14:textId="77777777" w:rsidTr="00F61213">
        <w:trPr>
          <w:jc w:val="center"/>
        </w:trPr>
        <w:tc>
          <w:tcPr>
            <w:tcW w:w="2303" w:type="dxa"/>
          </w:tcPr>
          <w:p w14:paraId="0EB6CA7D" w14:textId="77777777" w:rsidR="00403AC0" w:rsidRPr="002F256D" w:rsidRDefault="00403AC0" w:rsidP="00F61213">
            <w:pPr>
              <w:rPr>
                <w:rFonts w:ascii="Helvetica" w:eastAsia="Calibri" w:hAnsi="Helvetica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1582DC47" w14:textId="77777777" w:rsidR="00403AC0" w:rsidRPr="002F256D" w:rsidRDefault="00403AC0" w:rsidP="00F61213">
            <w:pPr>
              <w:rPr>
                <w:rFonts w:ascii="Helvetica" w:eastAsia="Calibri" w:hAnsi="Helvetica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5849527A" w14:textId="77777777" w:rsidR="00403AC0" w:rsidRPr="002F256D" w:rsidRDefault="00403AC0" w:rsidP="002C5D09">
            <w:pPr>
              <w:jc w:val="center"/>
              <w:rPr>
                <w:rFonts w:ascii="Helvetica" w:eastAsia="Calibri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b/>
                <w:sz w:val="16"/>
                <w:szCs w:val="16"/>
              </w:rPr>
              <w:t>HR (95% CI),</w:t>
            </w:r>
          </w:p>
          <w:p w14:paraId="0FEE057D" w14:textId="77777777" w:rsidR="00403AC0" w:rsidRPr="002F256D" w:rsidRDefault="00403AC0" w:rsidP="002C5D09">
            <w:pPr>
              <w:jc w:val="center"/>
              <w:rPr>
                <w:rFonts w:ascii="Helvetica" w:eastAsia="Calibri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b/>
                <w:sz w:val="16"/>
                <w:szCs w:val="16"/>
              </w:rPr>
              <w:t>unweighted</w:t>
            </w:r>
          </w:p>
        </w:tc>
        <w:tc>
          <w:tcPr>
            <w:tcW w:w="1890" w:type="dxa"/>
          </w:tcPr>
          <w:p w14:paraId="395546DB" w14:textId="77777777" w:rsidR="00403AC0" w:rsidRPr="002F256D" w:rsidRDefault="00403AC0" w:rsidP="002C5D09">
            <w:pPr>
              <w:jc w:val="center"/>
              <w:rPr>
                <w:rFonts w:ascii="Helvetica" w:eastAsia="Calibri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b/>
                <w:sz w:val="16"/>
                <w:szCs w:val="16"/>
              </w:rPr>
              <w:t>HR (95% CI),</w:t>
            </w:r>
          </w:p>
          <w:p w14:paraId="178C0D1D" w14:textId="77777777" w:rsidR="00403AC0" w:rsidRPr="002F256D" w:rsidRDefault="00403AC0" w:rsidP="002C5D09">
            <w:pPr>
              <w:jc w:val="center"/>
              <w:rPr>
                <w:rFonts w:ascii="Helvetica" w:eastAsia="Calibri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b/>
                <w:sz w:val="16"/>
                <w:szCs w:val="16"/>
              </w:rPr>
              <w:t>weighted</w:t>
            </w:r>
          </w:p>
        </w:tc>
        <w:tc>
          <w:tcPr>
            <w:tcW w:w="1260" w:type="dxa"/>
          </w:tcPr>
          <w:p w14:paraId="72DFC4EF" w14:textId="77777777" w:rsidR="00403AC0" w:rsidRPr="002F256D" w:rsidRDefault="00403AC0" w:rsidP="002C5D09">
            <w:pPr>
              <w:jc w:val="center"/>
              <w:rPr>
                <w:rFonts w:ascii="Helvetica" w:eastAsia="Calibri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b/>
                <w:sz w:val="16"/>
                <w:szCs w:val="16"/>
              </w:rPr>
              <w:t>P-value,</w:t>
            </w:r>
          </w:p>
          <w:p w14:paraId="0D92F5E5" w14:textId="77777777" w:rsidR="00403AC0" w:rsidRPr="002F256D" w:rsidRDefault="00403AC0" w:rsidP="002C5D09">
            <w:pPr>
              <w:jc w:val="center"/>
              <w:rPr>
                <w:rFonts w:ascii="Helvetica" w:eastAsia="Calibri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b/>
                <w:sz w:val="16"/>
                <w:szCs w:val="16"/>
              </w:rPr>
              <w:t>weighted</w:t>
            </w:r>
          </w:p>
        </w:tc>
      </w:tr>
      <w:tr w:rsidR="00403AC0" w:rsidRPr="002F256D" w14:paraId="38C5ED9D" w14:textId="77777777" w:rsidTr="00F61213">
        <w:trPr>
          <w:jc w:val="center"/>
        </w:trPr>
        <w:tc>
          <w:tcPr>
            <w:tcW w:w="2303" w:type="dxa"/>
            <w:vMerge w:val="restart"/>
          </w:tcPr>
          <w:p w14:paraId="68A5FC53" w14:textId="77777777" w:rsidR="00403AC0" w:rsidRPr="002F256D" w:rsidRDefault="00403AC0" w:rsidP="00F61213">
            <w:pPr>
              <w:rPr>
                <w:rFonts w:ascii="Helvetica" w:eastAsia="Calibri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b/>
                <w:sz w:val="16"/>
                <w:szCs w:val="16"/>
              </w:rPr>
              <w:t>Overall Survival</w:t>
            </w:r>
          </w:p>
        </w:tc>
        <w:tc>
          <w:tcPr>
            <w:tcW w:w="2012" w:type="dxa"/>
          </w:tcPr>
          <w:p w14:paraId="42CDEDAB" w14:textId="77777777" w:rsidR="00403AC0" w:rsidRPr="002F256D" w:rsidRDefault="00403AC0" w:rsidP="00F61213">
            <w:pPr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Modified G/nab-P</w:t>
            </w:r>
          </w:p>
        </w:tc>
        <w:tc>
          <w:tcPr>
            <w:tcW w:w="2160" w:type="dxa"/>
          </w:tcPr>
          <w:p w14:paraId="71239A13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Ref</w:t>
            </w:r>
          </w:p>
        </w:tc>
        <w:tc>
          <w:tcPr>
            <w:tcW w:w="1890" w:type="dxa"/>
          </w:tcPr>
          <w:p w14:paraId="7DDACCC0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Ref</w:t>
            </w:r>
          </w:p>
        </w:tc>
        <w:tc>
          <w:tcPr>
            <w:tcW w:w="1260" w:type="dxa"/>
            <w:vMerge w:val="restart"/>
          </w:tcPr>
          <w:p w14:paraId="4DEDD9B6" w14:textId="77777777" w:rsidR="00403AC0" w:rsidRPr="002F256D" w:rsidRDefault="00403AC0" w:rsidP="00B35498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0.16</w:t>
            </w:r>
          </w:p>
        </w:tc>
      </w:tr>
      <w:tr w:rsidR="00403AC0" w:rsidRPr="002F256D" w14:paraId="6F867508" w14:textId="77777777" w:rsidTr="00F61213">
        <w:trPr>
          <w:jc w:val="center"/>
        </w:trPr>
        <w:tc>
          <w:tcPr>
            <w:tcW w:w="2303" w:type="dxa"/>
            <w:vMerge/>
          </w:tcPr>
          <w:p w14:paraId="1C39795A" w14:textId="77777777" w:rsidR="00403AC0" w:rsidRPr="002F256D" w:rsidRDefault="00403AC0" w:rsidP="00F61213">
            <w:pPr>
              <w:rPr>
                <w:rFonts w:ascii="Helvetica" w:eastAsia="Calibri" w:hAnsi="Helvetica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63F138F3" w14:textId="77777777" w:rsidR="00403AC0" w:rsidRPr="002F256D" w:rsidRDefault="00403AC0" w:rsidP="00F61213">
            <w:pPr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mFOLFIRINOX</w:t>
            </w:r>
          </w:p>
        </w:tc>
        <w:tc>
          <w:tcPr>
            <w:tcW w:w="2160" w:type="dxa"/>
          </w:tcPr>
          <w:p w14:paraId="3822B884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0.77 (0.53-1.12)</w:t>
            </w:r>
          </w:p>
        </w:tc>
        <w:tc>
          <w:tcPr>
            <w:tcW w:w="1890" w:type="dxa"/>
          </w:tcPr>
          <w:p w14:paraId="270D6B8F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0.76 (0.53-1.11)</w:t>
            </w:r>
          </w:p>
        </w:tc>
        <w:tc>
          <w:tcPr>
            <w:tcW w:w="1260" w:type="dxa"/>
            <w:vMerge/>
          </w:tcPr>
          <w:p w14:paraId="48E40AFD" w14:textId="77777777" w:rsidR="00403AC0" w:rsidRPr="002F256D" w:rsidRDefault="00403AC0" w:rsidP="00B35498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</w:p>
        </w:tc>
      </w:tr>
      <w:tr w:rsidR="00403AC0" w:rsidRPr="002F256D" w14:paraId="4129D1C8" w14:textId="77777777" w:rsidTr="00F61213">
        <w:trPr>
          <w:jc w:val="center"/>
        </w:trPr>
        <w:tc>
          <w:tcPr>
            <w:tcW w:w="2303" w:type="dxa"/>
            <w:vMerge w:val="restart"/>
          </w:tcPr>
          <w:p w14:paraId="1444AE0B" w14:textId="77777777" w:rsidR="00403AC0" w:rsidRPr="002F256D" w:rsidRDefault="00403AC0" w:rsidP="00F61213">
            <w:pPr>
              <w:rPr>
                <w:rFonts w:ascii="Helvetica" w:eastAsia="Calibri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b/>
                <w:sz w:val="16"/>
                <w:szCs w:val="16"/>
              </w:rPr>
              <w:t>Progression Free Survival</w:t>
            </w:r>
          </w:p>
        </w:tc>
        <w:tc>
          <w:tcPr>
            <w:tcW w:w="2012" w:type="dxa"/>
          </w:tcPr>
          <w:p w14:paraId="29D59278" w14:textId="77777777" w:rsidR="00403AC0" w:rsidRPr="002F256D" w:rsidRDefault="00403AC0" w:rsidP="00F61213">
            <w:pPr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Modified G/nab-P</w:t>
            </w:r>
          </w:p>
        </w:tc>
        <w:tc>
          <w:tcPr>
            <w:tcW w:w="2160" w:type="dxa"/>
          </w:tcPr>
          <w:p w14:paraId="0160E176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Ref</w:t>
            </w:r>
          </w:p>
        </w:tc>
        <w:tc>
          <w:tcPr>
            <w:tcW w:w="1890" w:type="dxa"/>
          </w:tcPr>
          <w:p w14:paraId="7CB61380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Ref</w:t>
            </w:r>
          </w:p>
        </w:tc>
        <w:tc>
          <w:tcPr>
            <w:tcW w:w="1260" w:type="dxa"/>
            <w:vMerge w:val="restart"/>
          </w:tcPr>
          <w:p w14:paraId="70171913" w14:textId="77777777" w:rsidR="00403AC0" w:rsidRPr="002F256D" w:rsidRDefault="00403AC0" w:rsidP="00B35498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0.30</w:t>
            </w:r>
          </w:p>
        </w:tc>
      </w:tr>
      <w:tr w:rsidR="00403AC0" w:rsidRPr="002F256D" w14:paraId="5E308125" w14:textId="77777777" w:rsidTr="00F61213">
        <w:trPr>
          <w:jc w:val="center"/>
        </w:trPr>
        <w:tc>
          <w:tcPr>
            <w:tcW w:w="2303" w:type="dxa"/>
            <w:vMerge/>
          </w:tcPr>
          <w:p w14:paraId="7C61C470" w14:textId="77777777" w:rsidR="00403AC0" w:rsidRPr="002F256D" w:rsidRDefault="00403AC0" w:rsidP="00F61213">
            <w:pPr>
              <w:rPr>
                <w:rFonts w:ascii="Helvetica" w:eastAsia="Calibri" w:hAnsi="Helvetica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4DB9F446" w14:textId="77777777" w:rsidR="00403AC0" w:rsidRPr="002F256D" w:rsidRDefault="00403AC0" w:rsidP="00F61213">
            <w:pPr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mFOLFIRINOX</w:t>
            </w:r>
          </w:p>
        </w:tc>
        <w:tc>
          <w:tcPr>
            <w:tcW w:w="2160" w:type="dxa"/>
          </w:tcPr>
          <w:p w14:paraId="71DCF75F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0.81 (0.57-1.15)</w:t>
            </w:r>
          </w:p>
        </w:tc>
        <w:tc>
          <w:tcPr>
            <w:tcW w:w="1890" w:type="dxa"/>
          </w:tcPr>
          <w:p w14:paraId="450ADE77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0.83 (0.58-1.18)</w:t>
            </w:r>
          </w:p>
        </w:tc>
        <w:tc>
          <w:tcPr>
            <w:tcW w:w="1260" w:type="dxa"/>
            <w:vMerge/>
          </w:tcPr>
          <w:p w14:paraId="4D0544E2" w14:textId="77777777" w:rsidR="00403AC0" w:rsidRPr="002F256D" w:rsidRDefault="00403AC0" w:rsidP="00B35498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</w:p>
        </w:tc>
      </w:tr>
      <w:tr w:rsidR="00403AC0" w:rsidRPr="002F256D" w14:paraId="6666CE7D" w14:textId="77777777" w:rsidTr="00F61213">
        <w:trPr>
          <w:jc w:val="center"/>
        </w:trPr>
        <w:tc>
          <w:tcPr>
            <w:tcW w:w="2303" w:type="dxa"/>
            <w:vMerge w:val="restart"/>
          </w:tcPr>
          <w:p w14:paraId="05D749A1" w14:textId="77777777" w:rsidR="00403AC0" w:rsidRPr="002F256D" w:rsidRDefault="00403AC0" w:rsidP="00F61213">
            <w:pPr>
              <w:rPr>
                <w:rFonts w:ascii="Helvetica" w:eastAsia="Calibri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b/>
                <w:sz w:val="16"/>
                <w:szCs w:val="16"/>
              </w:rPr>
              <w:t>Time to Treatment Failure</w:t>
            </w:r>
          </w:p>
        </w:tc>
        <w:tc>
          <w:tcPr>
            <w:tcW w:w="2012" w:type="dxa"/>
          </w:tcPr>
          <w:p w14:paraId="2F304928" w14:textId="77777777" w:rsidR="00403AC0" w:rsidRPr="002F256D" w:rsidRDefault="00403AC0" w:rsidP="00F61213">
            <w:pPr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Modified G/nab-P</w:t>
            </w:r>
          </w:p>
        </w:tc>
        <w:tc>
          <w:tcPr>
            <w:tcW w:w="2160" w:type="dxa"/>
          </w:tcPr>
          <w:p w14:paraId="6A7348B0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Ref</w:t>
            </w:r>
          </w:p>
        </w:tc>
        <w:tc>
          <w:tcPr>
            <w:tcW w:w="1890" w:type="dxa"/>
          </w:tcPr>
          <w:p w14:paraId="63B87AE0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Ref</w:t>
            </w:r>
          </w:p>
        </w:tc>
        <w:tc>
          <w:tcPr>
            <w:tcW w:w="1260" w:type="dxa"/>
            <w:vMerge w:val="restart"/>
          </w:tcPr>
          <w:p w14:paraId="374ED5A4" w14:textId="77777777" w:rsidR="00403AC0" w:rsidRPr="002F256D" w:rsidRDefault="00403AC0" w:rsidP="00B35498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0.12</w:t>
            </w:r>
          </w:p>
        </w:tc>
      </w:tr>
      <w:tr w:rsidR="00403AC0" w:rsidRPr="002F256D" w14:paraId="303FE0DA" w14:textId="77777777" w:rsidTr="00F61213">
        <w:trPr>
          <w:jc w:val="center"/>
        </w:trPr>
        <w:tc>
          <w:tcPr>
            <w:tcW w:w="2303" w:type="dxa"/>
            <w:vMerge/>
          </w:tcPr>
          <w:p w14:paraId="110C906B" w14:textId="77777777" w:rsidR="00403AC0" w:rsidRPr="002F256D" w:rsidRDefault="00403AC0" w:rsidP="00F61213">
            <w:pPr>
              <w:rPr>
                <w:rFonts w:ascii="Helvetica" w:eastAsia="Calibri" w:hAnsi="Helvetica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2A0D07C7" w14:textId="77777777" w:rsidR="00403AC0" w:rsidRPr="002F256D" w:rsidRDefault="00403AC0" w:rsidP="00F61213">
            <w:pPr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mFOLFIRINOX</w:t>
            </w:r>
          </w:p>
        </w:tc>
        <w:tc>
          <w:tcPr>
            <w:tcW w:w="2160" w:type="dxa"/>
          </w:tcPr>
          <w:p w14:paraId="50F02BE4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0.78 (0.55-1.10)</w:t>
            </w:r>
          </w:p>
        </w:tc>
        <w:tc>
          <w:tcPr>
            <w:tcW w:w="1890" w:type="dxa"/>
          </w:tcPr>
          <w:p w14:paraId="28D0B86D" w14:textId="77777777" w:rsidR="00403AC0" w:rsidRPr="002F256D" w:rsidRDefault="00403AC0" w:rsidP="00F61213">
            <w:pPr>
              <w:jc w:val="center"/>
              <w:rPr>
                <w:rFonts w:ascii="Helvetica" w:eastAsia="Calibri" w:hAnsi="Helvetica" w:cs="Arial"/>
                <w:sz w:val="16"/>
                <w:szCs w:val="16"/>
              </w:rPr>
            </w:pPr>
            <w:r w:rsidRPr="002F256D">
              <w:rPr>
                <w:rFonts w:ascii="Helvetica" w:eastAsia="Calibri" w:hAnsi="Helvetica" w:cs="Arial"/>
                <w:sz w:val="16"/>
                <w:szCs w:val="16"/>
              </w:rPr>
              <w:t>0.75 (0.53-1.07)</w:t>
            </w:r>
          </w:p>
        </w:tc>
        <w:tc>
          <w:tcPr>
            <w:tcW w:w="1260" w:type="dxa"/>
            <w:vMerge/>
          </w:tcPr>
          <w:p w14:paraId="6A3FE4F8" w14:textId="77777777" w:rsidR="00403AC0" w:rsidRPr="002F256D" w:rsidRDefault="00403AC0" w:rsidP="00F61213">
            <w:pPr>
              <w:rPr>
                <w:rFonts w:ascii="Helvetica" w:eastAsia="Calibri" w:hAnsi="Helvetica" w:cs="Arial"/>
                <w:sz w:val="16"/>
                <w:szCs w:val="16"/>
              </w:rPr>
            </w:pPr>
          </w:p>
        </w:tc>
      </w:tr>
    </w:tbl>
    <w:p w14:paraId="1DA1CE1C" w14:textId="2CB19FD7" w:rsidR="00403AC0" w:rsidRPr="002F256D" w:rsidRDefault="00912319" w:rsidP="00403AC0">
      <w:pPr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HR: hazard ratio; CI: confidence interval; </w:t>
      </w:r>
      <w:r w:rsidR="00B33240">
        <w:rPr>
          <w:rFonts w:ascii="Helvetica" w:hAnsi="Helvetica" w:cs="Arial"/>
          <w:sz w:val="16"/>
          <w:szCs w:val="16"/>
        </w:rPr>
        <w:t xml:space="preserve">G/Nab-P: gemcitabine plus nab-paclitaxel; mFOLFIRINOX: modified </w:t>
      </w:r>
      <w:r w:rsidR="00B33240" w:rsidRPr="00CC5385">
        <w:rPr>
          <w:rFonts w:ascii="Helvetica" w:hAnsi="Helvetica" w:cs="Arial"/>
          <w:sz w:val="16"/>
          <w:szCs w:val="16"/>
        </w:rPr>
        <w:t>5-fluorouracil, leucovorin, irinotecan, oxaliplatin</w:t>
      </w:r>
    </w:p>
    <w:p w14:paraId="636CC383" w14:textId="77777777" w:rsidR="00403AC0" w:rsidRPr="002F256D" w:rsidRDefault="00403AC0" w:rsidP="00403AC0">
      <w:pPr>
        <w:rPr>
          <w:rFonts w:ascii="Helvetica" w:hAnsi="Helvetica" w:cs="Arial"/>
          <w:sz w:val="16"/>
          <w:szCs w:val="16"/>
        </w:rPr>
      </w:pPr>
    </w:p>
    <w:p w14:paraId="5E957365" w14:textId="6BB15FEE" w:rsidR="00403AC0" w:rsidRPr="002F256D" w:rsidRDefault="004B51F2" w:rsidP="00403AC0">
      <w:pPr>
        <w:rPr>
          <w:rFonts w:ascii="Helvetica" w:hAnsi="Helvetica" w:cs="Arial"/>
          <w:b/>
          <w:sz w:val="16"/>
          <w:szCs w:val="16"/>
        </w:rPr>
      </w:pPr>
      <w:r w:rsidRPr="002F256D">
        <w:rPr>
          <w:rFonts w:ascii="Helvetica" w:hAnsi="Helvetica" w:cs="Arial"/>
          <w:b/>
          <w:sz w:val="16"/>
          <w:szCs w:val="16"/>
        </w:rPr>
        <w:t>Table S</w:t>
      </w:r>
      <w:r w:rsidR="00403AC0" w:rsidRPr="002F256D">
        <w:rPr>
          <w:rFonts w:ascii="Helvetica" w:hAnsi="Helvetica" w:cs="Arial"/>
          <w:b/>
          <w:sz w:val="16"/>
          <w:szCs w:val="16"/>
        </w:rPr>
        <w:t>2 Multivariate Analysis: Prognostic Factors for Overall Survival</w:t>
      </w:r>
    </w:p>
    <w:p w14:paraId="2678DEBB" w14:textId="77777777" w:rsidR="00403AC0" w:rsidRPr="002F256D" w:rsidRDefault="00403AC0" w:rsidP="00403AC0">
      <w:pPr>
        <w:rPr>
          <w:rFonts w:ascii="Helvetica" w:hAnsi="Helvetica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340"/>
        <w:gridCol w:w="1440"/>
      </w:tblGrid>
      <w:tr w:rsidR="00403AC0" w:rsidRPr="002F256D" w14:paraId="7AA90BAC" w14:textId="77777777" w:rsidTr="00F61213">
        <w:tc>
          <w:tcPr>
            <w:tcW w:w="3145" w:type="dxa"/>
          </w:tcPr>
          <w:p w14:paraId="06057B23" w14:textId="77777777" w:rsidR="00403AC0" w:rsidRPr="002F256D" w:rsidRDefault="00403AC0" w:rsidP="00F61213">
            <w:pPr>
              <w:rPr>
                <w:rFonts w:ascii="Helvetica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b/>
                <w:sz w:val="16"/>
                <w:szCs w:val="16"/>
              </w:rPr>
              <w:t>Variable</w:t>
            </w:r>
          </w:p>
        </w:tc>
        <w:tc>
          <w:tcPr>
            <w:tcW w:w="2340" w:type="dxa"/>
          </w:tcPr>
          <w:p w14:paraId="1B51A0F8" w14:textId="77777777" w:rsidR="00403AC0" w:rsidRPr="002F256D" w:rsidRDefault="00403AC0" w:rsidP="002C5D09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b/>
                <w:sz w:val="16"/>
                <w:szCs w:val="16"/>
              </w:rPr>
              <w:t>HR (95% CI)</w:t>
            </w:r>
          </w:p>
        </w:tc>
        <w:tc>
          <w:tcPr>
            <w:tcW w:w="1440" w:type="dxa"/>
          </w:tcPr>
          <w:p w14:paraId="259906DD" w14:textId="77777777" w:rsidR="00403AC0" w:rsidRPr="002F256D" w:rsidRDefault="00403AC0" w:rsidP="002C5D09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b/>
                <w:sz w:val="16"/>
                <w:szCs w:val="16"/>
              </w:rPr>
              <w:t>P-value</w:t>
            </w:r>
          </w:p>
        </w:tc>
      </w:tr>
      <w:tr w:rsidR="00403AC0" w:rsidRPr="002F256D" w14:paraId="56052754" w14:textId="77777777" w:rsidTr="00B35498">
        <w:trPr>
          <w:trHeight w:val="838"/>
        </w:trPr>
        <w:tc>
          <w:tcPr>
            <w:tcW w:w="3145" w:type="dxa"/>
          </w:tcPr>
          <w:p w14:paraId="4231B8F3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b/>
                <w:bCs/>
                <w:sz w:val="16"/>
                <w:szCs w:val="16"/>
              </w:rPr>
              <w:t>Chemotherapy</w:t>
            </w:r>
          </w:p>
          <w:p w14:paraId="089118AC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Modified G/nab-P</w:t>
            </w:r>
          </w:p>
          <w:p w14:paraId="416C4285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mFOLFIRINOX</w:t>
            </w:r>
          </w:p>
        </w:tc>
        <w:tc>
          <w:tcPr>
            <w:tcW w:w="2340" w:type="dxa"/>
          </w:tcPr>
          <w:p w14:paraId="7140BF75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  <w:p w14:paraId="5BFDCEDC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1</w:t>
            </w:r>
          </w:p>
          <w:p w14:paraId="32F5A25E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0.72 (0.50-1.06)</w:t>
            </w:r>
          </w:p>
        </w:tc>
        <w:tc>
          <w:tcPr>
            <w:tcW w:w="1440" w:type="dxa"/>
          </w:tcPr>
          <w:p w14:paraId="3C4C4BCF" w14:textId="77777777" w:rsidR="00403AC0" w:rsidRPr="002F256D" w:rsidRDefault="00403AC0" w:rsidP="00B3549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0.10</w:t>
            </w:r>
          </w:p>
        </w:tc>
      </w:tr>
      <w:tr w:rsidR="00403AC0" w:rsidRPr="002F256D" w14:paraId="6BD28B2F" w14:textId="77777777" w:rsidTr="00B35498">
        <w:trPr>
          <w:trHeight w:val="1052"/>
        </w:trPr>
        <w:tc>
          <w:tcPr>
            <w:tcW w:w="3145" w:type="dxa"/>
          </w:tcPr>
          <w:p w14:paraId="1EC2A745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b/>
                <w:bCs/>
                <w:sz w:val="16"/>
                <w:szCs w:val="16"/>
              </w:rPr>
              <w:t>ECOG score</w:t>
            </w:r>
          </w:p>
          <w:p w14:paraId="2C97CF2B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0</w:t>
            </w:r>
          </w:p>
          <w:p w14:paraId="56F37AF0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1</w:t>
            </w:r>
          </w:p>
          <w:p w14:paraId="55C02C9E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2</w:t>
            </w:r>
          </w:p>
        </w:tc>
        <w:tc>
          <w:tcPr>
            <w:tcW w:w="2340" w:type="dxa"/>
          </w:tcPr>
          <w:p w14:paraId="487C84A9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  <w:p w14:paraId="6BFA2A5F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1</w:t>
            </w:r>
          </w:p>
          <w:p w14:paraId="77387CB0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1.43 (0.94-2.18)</w:t>
            </w:r>
          </w:p>
          <w:p w14:paraId="4D1467A5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5.45 (3.06-9.68)</w:t>
            </w:r>
          </w:p>
        </w:tc>
        <w:tc>
          <w:tcPr>
            <w:tcW w:w="1440" w:type="dxa"/>
          </w:tcPr>
          <w:p w14:paraId="319CEA3A" w14:textId="77777777" w:rsidR="00403AC0" w:rsidRPr="002F256D" w:rsidRDefault="00403AC0" w:rsidP="00B3549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&lt;.001</w:t>
            </w:r>
          </w:p>
        </w:tc>
      </w:tr>
      <w:tr w:rsidR="00403AC0" w:rsidRPr="002F256D" w14:paraId="3DDB07EE" w14:textId="77777777" w:rsidTr="00B35498">
        <w:trPr>
          <w:trHeight w:val="764"/>
        </w:trPr>
        <w:tc>
          <w:tcPr>
            <w:tcW w:w="3145" w:type="dxa"/>
          </w:tcPr>
          <w:p w14:paraId="07327B4B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b/>
                <w:bCs/>
                <w:sz w:val="16"/>
                <w:szCs w:val="16"/>
              </w:rPr>
              <w:t>Liver metastasis</w:t>
            </w:r>
          </w:p>
          <w:p w14:paraId="36B0B168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  </w:t>
            </w:r>
            <w:r w:rsidRPr="002F256D">
              <w:rPr>
                <w:rFonts w:ascii="Helvetica" w:hAnsi="Helvetica" w:cs="Arial"/>
                <w:sz w:val="16"/>
                <w:szCs w:val="16"/>
              </w:rPr>
              <w:t>Yes</w:t>
            </w:r>
          </w:p>
          <w:p w14:paraId="3392AF5C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No</w:t>
            </w:r>
          </w:p>
        </w:tc>
        <w:tc>
          <w:tcPr>
            <w:tcW w:w="2340" w:type="dxa"/>
          </w:tcPr>
          <w:p w14:paraId="1D5E2854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  <w:p w14:paraId="403DD211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1.59 (1.03-2.46)</w:t>
            </w:r>
          </w:p>
          <w:p w14:paraId="1EB0AED1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07AAC883" w14:textId="77777777" w:rsidR="00403AC0" w:rsidRPr="002F256D" w:rsidRDefault="00403AC0" w:rsidP="00B3549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0.04</w:t>
            </w:r>
          </w:p>
        </w:tc>
      </w:tr>
      <w:tr w:rsidR="00403AC0" w:rsidRPr="002F256D" w14:paraId="36D9A3C7" w14:textId="77777777" w:rsidTr="00B35498">
        <w:trPr>
          <w:trHeight w:val="728"/>
        </w:trPr>
        <w:tc>
          <w:tcPr>
            <w:tcW w:w="3145" w:type="dxa"/>
          </w:tcPr>
          <w:p w14:paraId="16CC1419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b/>
                <w:bCs/>
                <w:sz w:val="16"/>
                <w:szCs w:val="16"/>
              </w:rPr>
              <w:t>Peritoneal carcinomatosis</w:t>
            </w:r>
          </w:p>
          <w:p w14:paraId="2E2BC65E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Yes</w:t>
            </w:r>
          </w:p>
          <w:p w14:paraId="6065E255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No</w:t>
            </w:r>
          </w:p>
        </w:tc>
        <w:tc>
          <w:tcPr>
            <w:tcW w:w="2340" w:type="dxa"/>
          </w:tcPr>
          <w:p w14:paraId="3FA8BD15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  <w:p w14:paraId="476A9F2D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2.13 (1.41-3.22)</w:t>
            </w:r>
          </w:p>
          <w:p w14:paraId="6069654D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2D47CEEA" w14:textId="77777777" w:rsidR="00403AC0" w:rsidRPr="002F256D" w:rsidRDefault="00403AC0" w:rsidP="00B3549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&lt;.001</w:t>
            </w:r>
          </w:p>
        </w:tc>
      </w:tr>
      <w:tr w:rsidR="00403AC0" w:rsidRPr="002F256D" w14:paraId="45AC62CE" w14:textId="77777777" w:rsidTr="00B35498">
        <w:trPr>
          <w:trHeight w:val="828"/>
        </w:trPr>
        <w:tc>
          <w:tcPr>
            <w:tcW w:w="3145" w:type="dxa"/>
          </w:tcPr>
          <w:p w14:paraId="566CC8AE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b/>
                <w:bCs/>
                <w:sz w:val="16"/>
                <w:szCs w:val="16"/>
              </w:rPr>
              <w:t>Albumin</w:t>
            </w:r>
          </w:p>
          <w:p w14:paraId="265BAEAD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  </w:t>
            </w: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&lt;4</w:t>
            </w:r>
          </w:p>
          <w:p w14:paraId="2648F92B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≥4   </w:t>
            </w:r>
          </w:p>
        </w:tc>
        <w:tc>
          <w:tcPr>
            <w:tcW w:w="2340" w:type="dxa"/>
          </w:tcPr>
          <w:p w14:paraId="588BA3B0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  <w:p w14:paraId="00137234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1</w:t>
            </w:r>
          </w:p>
          <w:p w14:paraId="0510F183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0.77 (0.52-1.13)</w:t>
            </w:r>
          </w:p>
        </w:tc>
        <w:tc>
          <w:tcPr>
            <w:tcW w:w="1440" w:type="dxa"/>
          </w:tcPr>
          <w:p w14:paraId="26EF4EBD" w14:textId="77777777" w:rsidR="00403AC0" w:rsidRPr="002F256D" w:rsidRDefault="00403AC0" w:rsidP="00B3549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0.18</w:t>
            </w:r>
          </w:p>
        </w:tc>
      </w:tr>
      <w:tr w:rsidR="00403AC0" w:rsidRPr="002F256D" w14:paraId="335C0783" w14:textId="77777777" w:rsidTr="00B35498">
        <w:trPr>
          <w:trHeight w:val="800"/>
        </w:trPr>
        <w:tc>
          <w:tcPr>
            <w:tcW w:w="3145" w:type="dxa"/>
          </w:tcPr>
          <w:p w14:paraId="015750E1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ANC/ALC ratio    </w:t>
            </w:r>
          </w:p>
          <w:p w14:paraId="0DC68BA0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≤4</w:t>
            </w:r>
          </w:p>
          <w:p w14:paraId="14E74256" w14:textId="77777777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&gt;4   </w:t>
            </w:r>
          </w:p>
        </w:tc>
        <w:tc>
          <w:tcPr>
            <w:tcW w:w="2340" w:type="dxa"/>
          </w:tcPr>
          <w:p w14:paraId="06E8879E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  <w:p w14:paraId="21A7743B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1</w:t>
            </w:r>
          </w:p>
          <w:p w14:paraId="3022C3A1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1.93 (1.36-2.74)</w:t>
            </w:r>
          </w:p>
        </w:tc>
        <w:tc>
          <w:tcPr>
            <w:tcW w:w="1440" w:type="dxa"/>
          </w:tcPr>
          <w:p w14:paraId="45784E2E" w14:textId="77777777" w:rsidR="00403AC0" w:rsidRPr="002F256D" w:rsidRDefault="00403AC0" w:rsidP="00B3549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&lt;.001</w:t>
            </w:r>
          </w:p>
        </w:tc>
      </w:tr>
      <w:tr w:rsidR="00403AC0" w:rsidRPr="002F256D" w14:paraId="79CABD85" w14:textId="77777777" w:rsidTr="00B35498">
        <w:trPr>
          <w:trHeight w:val="828"/>
        </w:trPr>
        <w:tc>
          <w:tcPr>
            <w:tcW w:w="3145" w:type="dxa"/>
          </w:tcPr>
          <w:p w14:paraId="6C990D65" w14:textId="23EFC00C" w:rsidR="00403AC0" w:rsidRPr="00AF43D7" w:rsidRDefault="006E7E7D" w:rsidP="00F61213">
            <w:pPr>
              <w:rPr>
                <w:rFonts w:ascii="Helvetica" w:hAnsi="Helvetica" w:cs="Arial"/>
                <w:sz w:val="16"/>
                <w:szCs w:val="16"/>
                <w:vertAlign w:val="superscript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Level of </w:t>
            </w:r>
            <w:r w:rsidR="00403AC0" w:rsidRPr="002F256D">
              <w:rPr>
                <w:rFonts w:ascii="Helvetica" w:hAnsi="Helvetica" w:cs="Arial"/>
                <w:b/>
                <w:bCs/>
                <w:sz w:val="16"/>
                <w:szCs w:val="16"/>
              </w:rPr>
              <w:t>CA 19-9</w:t>
            </w:r>
            <w:r w:rsidR="0080381C">
              <w:rPr>
                <w:rFonts w:ascii="Helvetica" w:hAnsi="Helvetica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  <w:p w14:paraId="46A3CF9B" w14:textId="7C7064B6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&lt;</w:t>
            </w:r>
            <w:r w:rsidR="001C675F">
              <w:rPr>
                <w:rFonts w:ascii="Helvetica" w:hAnsi="Helvetica" w:cs="Arial"/>
                <w:sz w:val="16"/>
                <w:szCs w:val="16"/>
              </w:rPr>
              <w:t>59x ULN</w:t>
            </w:r>
          </w:p>
          <w:p w14:paraId="15604727" w14:textId="7ED48749" w:rsidR="00403AC0" w:rsidRPr="002F256D" w:rsidRDefault="00403AC0" w:rsidP="00F61213">
            <w:pPr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 xml:space="preserve">   </w:t>
            </w:r>
            <w:r w:rsidRPr="002F256D">
              <w:rPr>
                <w:rFonts w:ascii="Helvetica" w:hAnsi="Helvetica" w:cs="Arial"/>
                <w:sz w:val="16"/>
                <w:szCs w:val="16"/>
                <w:u w:val="single"/>
              </w:rPr>
              <w:t>&gt;</w:t>
            </w:r>
            <w:r w:rsidR="001C675F">
              <w:rPr>
                <w:rFonts w:ascii="Helvetica" w:hAnsi="Helvetica" w:cs="Arial"/>
                <w:sz w:val="16"/>
                <w:szCs w:val="16"/>
              </w:rPr>
              <w:t>59x ULN</w:t>
            </w:r>
          </w:p>
        </w:tc>
        <w:tc>
          <w:tcPr>
            <w:tcW w:w="2340" w:type="dxa"/>
          </w:tcPr>
          <w:p w14:paraId="29964E7A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  <w:p w14:paraId="064D77B7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1</w:t>
            </w:r>
          </w:p>
          <w:p w14:paraId="64F64F57" w14:textId="77777777" w:rsidR="00403AC0" w:rsidRPr="002F256D" w:rsidRDefault="00403AC0" w:rsidP="00F61213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2.03 (1.37-3.02)</w:t>
            </w:r>
          </w:p>
        </w:tc>
        <w:tc>
          <w:tcPr>
            <w:tcW w:w="1440" w:type="dxa"/>
          </w:tcPr>
          <w:p w14:paraId="3AC6DAF5" w14:textId="77777777" w:rsidR="00403AC0" w:rsidRPr="002F256D" w:rsidRDefault="00403AC0" w:rsidP="00B3549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2F256D">
              <w:rPr>
                <w:rFonts w:ascii="Helvetica" w:hAnsi="Helvetica" w:cs="Arial"/>
                <w:sz w:val="16"/>
                <w:szCs w:val="16"/>
              </w:rPr>
              <w:t>&lt;.001</w:t>
            </w:r>
          </w:p>
        </w:tc>
      </w:tr>
    </w:tbl>
    <w:p w14:paraId="71D59352" w14:textId="3BAA4D9C" w:rsidR="00403AC0" w:rsidRDefault="00912319" w:rsidP="00403AC0">
      <w:pPr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HR: hazard ratio; CI: confidence interval; </w:t>
      </w:r>
      <w:r w:rsidR="00B33240">
        <w:rPr>
          <w:rFonts w:ascii="Helvetica" w:hAnsi="Helvetica" w:cs="Arial"/>
          <w:sz w:val="16"/>
          <w:szCs w:val="16"/>
        </w:rPr>
        <w:t xml:space="preserve">G/Nab-P: gemcitabine plus nab-paclitaxel; mFOLFIRINOX: modified </w:t>
      </w:r>
      <w:r w:rsidR="00B33240" w:rsidRPr="00CC5385">
        <w:rPr>
          <w:rFonts w:ascii="Helvetica" w:hAnsi="Helvetica" w:cs="Arial"/>
          <w:sz w:val="16"/>
          <w:szCs w:val="16"/>
        </w:rPr>
        <w:t>5-fluorouracil, leucovorin, irinotecan, oxaliplatin</w:t>
      </w:r>
      <w:r w:rsidR="00B33240">
        <w:rPr>
          <w:rFonts w:ascii="Helvetica" w:hAnsi="Helvetica" w:cs="Arial"/>
          <w:sz w:val="16"/>
          <w:szCs w:val="16"/>
        </w:rPr>
        <w:t>; ECOG: Eastern Cooperative Oncology Group; ANC: absolute neutrophil count; ALC: absolute lymphocyte count</w:t>
      </w:r>
      <w:r>
        <w:rPr>
          <w:rFonts w:ascii="Helvetica" w:hAnsi="Helvetica" w:cs="Arial"/>
          <w:sz w:val="16"/>
          <w:szCs w:val="16"/>
        </w:rPr>
        <w:t xml:space="preserve">; </w:t>
      </w:r>
      <w:r w:rsidR="009164C8">
        <w:rPr>
          <w:rFonts w:ascii="Helvetica" w:hAnsi="Helvetica" w:cs="Arial"/>
          <w:sz w:val="16"/>
          <w:szCs w:val="16"/>
        </w:rPr>
        <w:t xml:space="preserve">ULN: upper limit of the normal range </w:t>
      </w:r>
    </w:p>
    <w:p w14:paraId="5BF6D6F8" w14:textId="45608C36" w:rsidR="000410CA" w:rsidRPr="00886133" w:rsidRDefault="00D3217B" w:rsidP="000410CA">
      <w:pPr>
        <w:rPr>
          <w:rFonts w:ascii="Helvetica" w:hAnsi="Helvetica" w:cs="Arial"/>
          <w:sz w:val="16"/>
          <w:szCs w:val="16"/>
        </w:rPr>
      </w:pPr>
      <w:proofErr w:type="spellStart"/>
      <w:r>
        <w:rPr>
          <w:rFonts w:ascii="Helvetica" w:hAnsi="Helvetica" w:cs="Arial"/>
          <w:sz w:val="16"/>
          <w:szCs w:val="16"/>
          <w:vertAlign w:val="superscript"/>
        </w:rPr>
        <w:t>a</w:t>
      </w:r>
      <w:r w:rsidR="000410CA">
        <w:rPr>
          <w:rFonts w:ascii="Helvetica" w:hAnsi="Helvetica" w:cs="Arial"/>
          <w:sz w:val="16"/>
          <w:szCs w:val="16"/>
        </w:rPr>
        <w:t>The</w:t>
      </w:r>
      <w:proofErr w:type="spellEnd"/>
      <w:r w:rsidR="000410CA">
        <w:rPr>
          <w:rFonts w:ascii="Helvetica" w:hAnsi="Helvetica" w:cs="Arial"/>
          <w:sz w:val="16"/>
          <w:szCs w:val="16"/>
        </w:rPr>
        <w:t xml:space="preserve"> normal range was 0 to 37 U per milliliter </w:t>
      </w:r>
    </w:p>
    <w:p w14:paraId="0F7022E1" w14:textId="77777777" w:rsidR="000410CA" w:rsidRPr="002F256D" w:rsidRDefault="000410CA" w:rsidP="00403AC0">
      <w:pPr>
        <w:rPr>
          <w:rFonts w:ascii="Helvetica" w:hAnsi="Helvetica" w:cs="Arial"/>
          <w:sz w:val="16"/>
          <w:szCs w:val="16"/>
        </w:rPr>
      </w:pPr>
    </w:p>
    <w:p w14:paraId="15B93D31" w14:textId="77777777" w:rsidR="00403AC0" w:rsidRPr="002F256D" w:rsidRDefault="00403AC0" w:rsidP="00403AC0">
      <w:pPr>
        <w:rPr>
          <w:rFonts w:ascii="Helvetica" w:hAnsi="Helvetica"/>
          <w:sz w:val="16"/>
          <w:szCs w:val="16"/>
        </w:rPr>
      </w:pPr>
    </w:p>
    <w:sectPr w:rsidR="00403AC0" w:rsidRPr="002F256D" w:rsidSect="00F92A28">
      <w:foot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C422" w14:textId="77777777" w:rsidR="00DC1B99" w:rsidRDefault="00DC1B99" w:rsidP="003B0621">
      <w:r>
        <w:separator/>
      </w:r>
    </w:p>
  </w:endnote>
  <w:endnote w:type="continuationSeparator" w:id="0">
    <w:p w14:paraId="0A91A25B" w14:textId="77777777" w:rsidR="00DC1B99" w:rsidRDefault="00DC1B99" w:rsidP="003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4555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FED516" w14:textId="46973C53" w:rsidR="003B0621" w:rsidRDefault="003B0621" w:rsidP="009B51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49D861" w14:textId="77777777" w:rsidR="003B0621" w:rsidRDefault="003B0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66FB" w14:textId="77777777" w:rsidR="00DC1B99" w:rsidRDefault="00DC1B99" w:rsidP="003B0621">
      <w:r>
        <w:separator/>
      </w:r>
    </w:p>
  </w:footnote>
  <w:footnote w:type="continuationSeparator" w:id="0">
    <w:p w14:paraId="0BB7AA5E" w14:textId="77777777" w:rsidR="00DC1B99" w:rsidRDefault="00DC1B99" w:rsidP="003B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C0"/>
    <w:rsid w:val="000410CA"/>
    <w:rsid w:val="000C084B"/>
    <w:rsid w:val="000D0695"/>
    <w:rsid w:val="000D31B1"/>
    <w:rsid w:val="000E7506"/>
    <w:rsid w:val="00144DCB"/>
    <w:rsid w:val="00161C92"/>
    <w:rsid w:val="00176894"/>
    <w:rsid w:val="001817F5"/>
    <w:rsid w:val="001A1E61"/>
    <w:rsid w:val="001C675F"/>
    <w:rsid w:val="001E2737"/>
    <w:rsid w:val="00215FD4"/>
    <w:rsid w:val="00225D13"/>
    <w:rsid w:val="00227673"/>
    <w:rsid w:val="00244A5D"/>
    <w:rsid w:val="002823D4"/>
    <w:rsid w:val="002A491C"/>
    <w:rsid w:val="002C5D09"/>
    <w:rsid w:val="002F256D"/>
    <w:rsid w:val="003965A9"/>
    <w:rsid w:val="003B0621"/>
    <w:rsid w:val="003E4F75"/>
    <w:rsid w:val="003E6B80"/>
    <w:rsid w:val="00403AC0"/>
    <w:rsid w:val="004B51F2"/>
    <w:rsid w:val="00647230"/>
    <w:rsid w:val="00652CDE"/>
    <w:rsid w:val="00660281"/>
    <w:rsid w:val="0066686D"/>
    <w:rsid w:val="006741C1"/>
    <w:rsid w:val="006C50A6"/>
    <w:rsid w:val="006E7E7D"/>
    <w:rsid w:val="00714C06"/>
    <w:rsid w:val="00731B8C"/>
    <w:rsid w:val="007F1978"/>
    <w:rsid w:val="0080381C"/>
    <w:rsid w:val="00805937"/>
    <w:rsid w:val="00816BFC"/>
    <w:rsid w:val="00824FE1"/>
    <w:rsid w:val="00893B57"/>
    <w:rsid w:val="00912319"/>
    <w:rsid w:val="009164C8"/>
    <w:rsid w:val="0093269F"/>
    <w:rsid w:val="00933548"/>
    <w:rsid w:val="00966F7C"/>
    <w:rsid w:val="009A6EB7"/>
    <w:rsid w:val="009E5CA7"/>
    <w:rsid w:val="00A2313E"/>
    <w:rsid w:val="00A90F56"/>
    <w:rsid w:val="00A946AB"/>
    <w:rsid w:val="00AB44F4"/>
    <w:rsid w:val="00AD4E77"/>
    <w:rsid w:val="00AF43D7"/>
    <w:rsid w:val="00B33240"/>
    <w:rsid w:val="00B35498"/>
    <w:rsid w:val="00B36D0D"/>
    <w:rsid w:val="00BB2A14"/>
    <w:rsid w:val="00BC63E3"/>
    <w:rsid w:val="00BE30AD"/>
    <w:rsid w:val="00C916AD"/>
    <w:rsid w:val="00D3217B"/>
    <w:rsid w:val="00DC1B99"/>
    <w:rsid w:val="00E060E0"/>
    <w:rsid w:val="00E21E11"/>
    <w:rsid w:val="00EA2CA4"/>
    <w:rsid w:val="00EA345D"/>
    <w:rsid w:val="00ED1A29"/>
    <w:rsid w:val="00F05DD3"/>
    <w:rsid w:val="00F2610F"/>
    <w:rsid w:val="00F61213"/>
    <w:rsid w:val="00F73D85"/>
    <w:rsid w:val="00F92A28"/>
    <w:rsid w:val="00FA24BA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2E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A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C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03AC0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um-pmid">
    <w:name w:val="docsum-pmid"/>
    <w:basedOn w:val="DefaultParagraphFont"/>
    <w:rsid w:val="00403AC0"/>
  </w:style>
  <w:style w:type="paragraph" w:styleId="Revision">
    <w:name w:val="Revision"/>
    <w:hidden/>
    <w:uiPriority w:val="99"/>
    <w:semiHidden/>
    <w:rsid w:val="00403AC0"/>
  </w:style>
  <w:style w:type="character" w:styleId="PlaceholderText">
    <w:name w:val="Placeholder Text"/>
    <w:basedOn w:val="DefaultParagraphFont"/>
    <w:uiPriority w:val="99"/>
    <w:semiHidden/>
    <w:rsid w:val="00403A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3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C0"/>
  </w:style>
  <w:style w:type="paragraph" w:styleId="Footer">
    <w:name w:val="footer"/>
    <w:basedOn w:val="Normal"/>
    <w:link w:val="FooterChar"/>
    <w:uiPriority w:val="99"/>
    <w:unhideWhenUsed/>
    <w:rsid w:val="00403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AC0"/>
  </w:style>
  <w:style w:type="paragraph" w:customStyle="1" w:styleId="Default">
    <w:name w:val="Default"/>
    <w:rsid w:val="00403AC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03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AC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B0621"/>
  </w:style>
  <w:style w:type="paragraph" w:styleId="ListParagraph">
    <w:name w:val="List Paragraph"/>
    <w:basedOn w:val="Normal"/>
    <w:uiPriority w:val="34"/>
    <w:qFormat/>
    <w:rsid w:val="001C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2022-01-27T04:10:00Z</dcterms:created>
  <dcterms:modified xsi:type="dcterms:W3CDTF">2022-04-25T15:29:00Z</dcterms:modified>
</cp:coreProperties>
</file>