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C67C" w14:textId="501FDF3E" w:rsidR="00ED7C4E" w:rsidRPr="00BB4E3D" w:rsidRDefault="00ED7C4E" w:rsidP="00ED7C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4E3D">
        <w:rPr>
          <w:rFonts w:ascii="Arial" w:hAnsi="Arial" w:cs="Arial"/>
          <w:b/>
          <w:bCs/>
          <w:sz w:val="22"/>
          <w:szCs w:val="22"/>
        </w:rPr>
        <w:t>Patients’ perspectives of a pharmacist-provided clinical pharmacogenomics service</w:t>
      </w:r>
    </w:p>
    <w:p w14:paraId="71C420C4" w14:textId="77777777" w:rsidR="00ED7C4E" w:rsidRPr="00BB4E3D" w:rsidRDefault="00ED7C4E" w:rsidP="00ED7C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14DC00" w14:textId="4ECC0387" w:rsidR="007B6F45" w:rsidRPr="00BB4E3D" w:rsidRDefault="005F0754" w:rsidP="007377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4E3D">
        <w:rPr>
          <w:rFonts w:ascii="Arial" w:hAnsi="Arial" w:cs="Arial"/>
          <w:b/>
          <w:bCs/>
          <w:sz w:val="22"/>
          <w:szCs w:val="22"/>
        </w:rPr>
        <w:t>Supplement</w:t>
      </w:r>
      <w:r w:rsidR="00147B4D" w:rsidRPr="00BB4E3D">
        <w:rPr>
          <w:rFonts w:ascii="Arial" w:hAnsi="Arial" w:cs="Arial"/>
          <w:b/>
          <w:bCs/>
          <w:sz w:val="22"/>
          <w:szCs w:val="22"/>
        </w:rPr>
        <w:t>ary Data</w:t>
      </w:r>
      <w:r w:rsidRPr="00BB4E3D">
        <w:rPr>
          <w:rFonts w:ascii="Arial" w:hAnsi="Arial" w:cs="Arial"/>
          <w:b/>
          <w:bCs/>
          <w:sz w:val="22"/>
          <w:szCs w:val="22"/>
        </w:rPr>
        <w:t xml:space="preserve"> 2: </w:t>
      </w:r>
      <w:r w:rsidR="006C7067" w:rsidRPr="00BB4E3D">
        <w:rPr>
          <w:rFonts w:ascii="Arial" w:hAnsi="Arial" w:cs="Arial"/>
          <w:b/>
          <w:bCs/>
          <w:sz w:val="22"/>
          <w:szCs w:val="22"/>
        </w:rPr>
        <w:t>Example</w:t>
      </w:r>
      <w:r w:rsidRPr="00BB4E3D">
        <w:rPr>
          <w:rFonts w:ascii="Arial" w:hAnsi="Arial" w:cs="Arial"/>
          <w:b/>
          <w:bCs/>
          <w:sz w:val="22"/>
          <w:szCs w:val="22"/>
        </w:rPr>
        <w:t xml:space="preserve"> of a personalized p</w:t>
      </w:r>
      <w:r w:rsidR="00E5751A" w:rsidRPr="00BB4E3D">
        <w:rPr>
          <w:rFonts w:ascii="Arial" w:hAnsi="Arial" w:cs="Arial"/>
          <w:b/>
          <w:bCs/>
          <w:sz w:val="22"/>
          <w:szCs w:val="22"/>
        </w:rPr>
        <w:t xml:space="preserve">harmacogenomics </w:t>
      </w:r>
      <w:r w:rsidRPr="00BB4E3D">
        <w:rPr>
          <w:rFonts w:ascii="Arial" w:hAnsi="Arial" w:cs="Arial"/>
          <w:b/>
          <w:bCs/>
          <w:sz w:val="22"/>
          <w:szCs w:val="22"/>
        </w:rPr>
        <w:t>r</w:t>
      </w:r>
      <w:r w:rsidR="00E5751A" w:rsidRPr="00BB4E3D">
        <w:rPr>
          <w:rFonts w:ascii="Arial" w:hAnsi="Arial" w:cs="Arial"/>
          <w:b/>
          <w:bCs/>
          <w:sz w:val="22"/>
          <w:szCs w:val="22"/>
        </w:rPr>
        <w:t xml:space="preserve">eport </w:t>
      </w:r>
      <w:r w:rsidR="006C7067" w:rsidRPr="00BB4E3D">
        <w:rPr>
          <w:rFonts w:ascii="Arial" w:hAnsi="Arial" w:cs="Arial"/>
          <w:b/>
          <w:bCs/>
          <w:sz w:val="22"/>
          <w:szCs w:val="22"/>
        </w:rPr>
        <w:t>provided by the service</w:t>
      </w:r>
    </w:p>
    <w:p w14:paraId="53063B5E" w14:textId="31206163" w:rsidR="007B6F45" w:rsidRPr="00BB4E3D" w:rsidRDefault="007B6F45" w:rsidP="00ED7C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44DD72" w14:textId="103CA1B8" w:rsidR="007B6F45" w:rsidRPr="00BB4E3D" w:rsidRDefault="00DC704C" w:rsidP="007B6F45">
      <w:pPr>
        <w:rPr>
          <w:rFonts w:ascii="Arial" w:hAnsi="Arial" w:cs="Arial"/>
          <w:b/>
          <w:bCs/>
          <w:sz w:val="22"/>
          <w:szCs w:val="22"/>
        </w:rPr>
      </w:pPr>
      <w:r w:rsidRPr="00BB4E3D">
        <w:rPr>
          <w:rFonts w:ascii="Arial" w:hAnsi="Arial" w:cs="Arial"/>
          <w:b/>
          <w:bCs/>
          <w:sz w:val="22"/>
          <w:szCs w:val="22"/>
        </w:rPr>
        <w:t>P</w:t>
      </w:r>
      <w:r w:rsidR="007B6F45" w:rsidRPr="00BB4E3D">
        <w:rPr>
          <w:rFonts w:ascii="Arial" w:hAnsi="Arial" w:cs="Arial"/>
          <w:b/>
          <w:bCs/>
          <w:sz w:val="22"/>
          <w:szCs w:val="22"/>
        </w:rPr>
        <w:t xml:space="preserve">atient’s </w:t>
      </w:r>
      <w:r w:rsidR="008A5EDC" w:rsidRPr="00BB4E3D">
        <w:rPr>
          <w:rFonts w:ascii="Arial" w:hAnsi="Arial" w:cs="Arial"/>
          <w:b/>
          <w:bCs/>
          <w:sz w:val="22"/>
          <w:szCs w:val="22"/>
        </w:rPr>
        <w:t xml:space="preserve">prior medication intolerances: </w:t>
      </w:r>
    </w:p>
    <w:p w14:paraId="0A16177F" w14:textId="113EB06E" w:rsidR="008A5EDC" w:rsidRPr="00BB4E3D" w:rsidRDefault="008A5EDC" w:rsidP="008A5ED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B4E3D">
        <w:rPr>
          <w:rFonts w:ascii="Arial" w:hAnsi="Arial" w:cs="Arial"/>
          <w:sz w:val="22"/>
          <w:szCs w:val="22"/>
        </w:rPr>
        <w:t>Celecoxib – did not work in the past</w:t>
      </w:r>
    </w:p>
    <w:p w14:paraId="4B655183" w14:textId="0B937BCD" w:rsidR="008A5EDC" w:rsidRPr="00BB4E3D" w:rsidRDefault="008A5EDC" w:rsidP="008A5ED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B4E3D">
        <w:rPr>
          <w:rFonts w:ascii="Arial" w:hAnsi="Arial" w:cs="Arial"/>
          <w:sz w:val="22"/>
          <w:szCs w:val="22"/>
        </w:rPr>
        <w:t xml:space="preserve">Citalopram – </w:t>
      </w:r>
      <w:r w:rsidR="00E41EE3" w:rsidRPr="00BB4E3D">
        <w:rPr>
          <w:rFonts w:ascii="Arial" w:hAnsi="Arial" w:cs="Arial"/>
          <w:sz w:val="22"/>
          <w:szCs w:val="22"/>
        </w:rPr>
        <w:t>severe dizziness and disorientation</w:t>
      </w:r>
    </w:p>
    <w:p w14:paraId="5D9C1EDE" w14:textId="576D429B" w:rsidR="008A5EDC" w:rsidRPr="00BB4E3D" w:rsidRDefault="008A5EDC" w:rsidP="008A5ED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B4E3D">
        <w:rPr>
          <w:rFonts w:ascii="Arial" w:hAnsi="Arial" w:cs="Arial"/>
          <w:sz w:val="22"/>
          <w:szCs w:val="22"/>
        </w:rPr>
        <w:t xml:space="preserve">Tramadol </w:t>
      </w:r>
      <w:r w:rsidR="00E41EE3" w:rsidRPr="00BB4E3D">
        <w:rPr>
          <w:rFonts w:ascii="Arial" w:hAnsi="Arial" w:cs="Arial"/>
          <w:sz w:val="22"/>
          <w:szCs w:val="22"/>
        </w:rPr>
        <w:t>–</w:t>
      </w:r>
      <w:r w:rsidRPr="00BB4E3D">
        <w:rPr>
          <w:rFonts w:ascii="Arial" w:hAnsi="Arial" w:cs="Arial"/>
          <w:sz w:val="22"/>
          <w:szCs w:val="22"/>
        </w:rPr>
        <w:t xml:space="preserve"> </w:t>
      </w:r>
      <w:r w:rsidR="00E41EE3" w:rsidRPr="00BB4E3D">
        <w:rPr>
          <w:rFonts w:ascii="Arial" w:hAnsi="Arial" w:cs="Arial"/>
          <w:sz w:val="22"/>
          <w:szCs w:val="22"/>
        </w:rPr>
        <w:t>did not provide any pain relief, even at higher doses</w:t>
      </w:r>
    </w:p>
    <w:p w14:paraId="45795EB5" w14:textId="5C3329A2" w:rsidR="008A5EDC" w:rsidRPr="00BB4E3D" w:rsidRDefault="008A5EDC" w:rsidP="007B6F45">
      <w:pPr>
        <w:rPr>
          <w:rFonts w:ascii="Arial" w:hAnsi="Arial" w:cs="Arial"/>
          <w:b/>
          <w:bCs/>
          <w:sz w:val="22"/>
          <w:szCs w:val="22"/>
        </w:rPr>
      </w:pPr>
    </w:p>
    <w:p w14:paraId="31D10A90" w14:textId="687899D5" w:rsidR="008A5EDC" w:rsidRPr="00BB4E3D" w:rsidRDefault="00DC704C" w:rsidP="007B6F45">
      <w:pPr>
        <w:rPr>
          <w:rFonts w:ascii="Arial" w:hAnsi="Arial" w:cs="Arial"/>
          <w:b/>
          <w:bCs/>
          <w:sz w:val="22"/>
          <w:szCs w:val="22"/>
        </w:rPr>
      </w:pPr>
      <w:r w:rsidRPr="00BB4E3D">
        <w:rPr>
          <w:rFonts w:ascii="Arial" w:hAnsi="Arial" w:cs="Arial"/>
          <w:b/>
          <w:bCs/>
          <w:sz w:val="22"/>
          <w:szCs w:val="22"/>
        </w:rPr>
        <w:t>P</w:t>
      </w:r>
      <w:r w:rsidR="008A5EDC" w:rsidRPr="00BB4E3D">
        <w:rPr>
          <w:rFonts w:ascii="Arial" w:hAnsi="Arial" w:cs="Arial"/>
          <w:b/>
          <w:bCs/>
          <w:sz w:val="22"/>
          <w:szCs w:val="22"/>
        </w:rPr>
        <w:t xml:space="preserve">atient’s current medication list: </w:t>
      </w:r>
    </w:p>
    <w:p w14:paraId="1CF5C6CA" w14:textId="77777777" w:rsidR="000707E3" w:rsidRPr="00BB4E3D" w:rsidRDefault="000707E3" w:rsidP="000707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B4E3D">
        <w:rPr>
          <w:rFonts w:ascii="Arial" w:hAnsi="Arial" w:cs="Arial"/>
          <w:sz w:val="22"/>
          <w:szCs w:val="22"/>
        </w:rPr>
        <w:t>Acetaminophen (Tylenol): Take 2 tablet po TID; Patient taking PRN for nerve pain</w:t>
      </w:r>
    </w:p>
    <w:p w14:paraId="1BD7FEC3" w14:textId="77777777" w:rsidR="000707E3" w:rsidRPr="00BB4E3D" w:rsidRDefault="000707E3" w:rsidP="000707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B4E3D">
        <w:rPr>
          <w:rFonts w:ascii="Arial" w:hAnsi="Arial" w:cs="Arial"/>
          <w:sz w:val="22"/>
          <w:szCs w:val="22"/>
        </w:rPr>
        <w:t>Bevacizumab (Avastin): injection into the left eye for branch vein occlusion secondary to TIA</w:t>
      </w:r>
    </w:p>
    <w:p w14:paraId="48554E57" w14:textId="77777777" w:rsidR="000707E3" w:rsidRPr="00BB4E3D" w:rsidRDefault="000707E3" w:rsidP="000707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B4E3D">
        <w:rPr>
          <w:rFonts w:ascii="Arial" w:hAnsi="Arial" w:cs="Arial"/>
          <w:sz w:val="22"/>
          <w:szCs w:val="22"/>
        </w:rPr>
        <w:t>Calcium citrate+ Vitamin D3: Take 6 capsules (400mg calcium/500 IU vitamin D3) po daily</w:t>
      </w:r>
    </w:p>
    <w:p w14:paraId="4790F888" w14:textId="06181AC4" w:rsidR="000707E3" w:rsidRDefault="000707E3" w:rsidP="000707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B4E3D">
        <w:rPr>
          <w:rFonts w:ascii="Arial" w:hAnsi="Arial" w:cs="Arial"/>
          <w:sz w:val="22"/>
          <w:szCs w:val="22"/>
        </w:rPr>
        <w:t>Escitalopram (Lexapro): Take 5mg po daily</w:t>
      </w:r>
    </w:p>
    <w:p w14:paraId="766A212B" w14:textId="77777777" w:rsidR="00BB4E3D" w:rsidRPr="00BB4E3D" w:rsidRDefault="00BB4E3D" w:rsidP="00BB4E3D">
      <w:pPr>
        <w:rPr>
          <w:rFonts w:ascii="Arial" w:hAnsi="Arial" w:cs="Arial"/>
          <w:sz w:val="22"/>
          <w:szCs w:val="22"/>
        </w:rPr>
      </w:pPr>
    </w:p>
    <w:p w14:paraId="2201093F" w14:textId="1CCC7ECB" w:rsidR="005F0754" w:rsidRPr="00BB4E3D" w:rsidRDefault="005F0754" w:rsidP="00EE4960">
      <w:pPr>
        <w:rPr>
          <w:rFonts w:ascii="Arial" w:hAnsi="Arial" w:cs="Arial"/>
          <w:sz w:val="22"/>
          <w:szCs w:val="22"/>
        </w:rPr>
      </w:pPr>
    </w:p>
    <w:p w14:paraId="6C290178" w14:textId="0E4F37A8" w:rsidR="005F0754" w:rsidRPr="00BB4E3D" w:rsidRDefault="005F0754" w:rsidP="005F07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4E3D">
        <w:rPr>
          <w:rFonts w:ascii="Arial" w:hAnsi="Arial" w:cs="Arial"/>
          <w:b/>
          <w:bCs/>
          <w:sz w:val="22"/>
          <w:szCs w:val="22"/>
        </w:rPr>
        <w:t>PHARMACOGENOMICS SUMMARY REPORT</w:t>
      </w: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5120"/>
      </w:tblGrid>
      <w:tr w:rsidR="00D27E49" w:rsidRPr="00BB4E3D" w14:paraId="662F61FE" w14:textId="77777777" w:rsidTr="00436666">
        <w:tc>
          <w:tcPr>
            <w:tcW w:w="4230" w:type="dxa"/>
          </w:tcPr>
          <w:p w14:paraId="717143C2" w14:textId="13070E05" w:rsidR="00D27E49" w:rsidRPr="00BB4E3D" w:rsidRDefault="00D27E49" w:rsidP="00436666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A85FD5" w:rsidRPr="00BB4E3D">
              <w:rPr>
                <w:rFonts w:ascii="Arial" w:hAnsi="Arial" w:cs="Arial"/>
                <w:sz w:val="22"/>
                <w:szCs w:val="22"/>
              </w:rPr>
              <w:t>***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20" w:type="dxa"/>
          </w:tcPr>
          <w:p w14:paraId="21416E40" w14:textId="6A82828C" w:rsidR="00D27E49" w:rsidRPr="00BB4E3D" w:rsidRDefault="00D27E49" w:rsidP="00436666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  <w:r w:rsidR="00A85FD5" w:rsidRPr="00BB4E3D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D27E49" w:rsidRPr="00BB4E3D" w14:paraId="0953E944" w14:textId="77777777" w:rsidTr="00436666">
        <w:tc>
          <w:tcPr>
            <w:tcW w:w="4230" w:type="dxa"/>
          </w:tcPr>
          <w:p w14:paraId="42CF37D2" w14:textId="389BA71C" w:rsidR="00D27E49" w:rsidRPr="00BB4E3D" w:rsidRDefault="00D27E49" w:rsidP="00436666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 xml:space="preserve">Report Date: </w:t>
            </w:r>
            <w:r w:rsidR="00A85FD5" w:rsidRPr="00BB4E3D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5120" w:type="dxa"/>
          </w:tcPr>
          <w:p w14:paraId="229D585F" w14:textId="20AF9EE4" w:rsidR="00D27E49" w:rsidRPr="00BB4E3D" w:rsidRDefault="00D27E49" w:rsidP="00436666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Date of OneOme</w:t>
            </w:r>
            <w:r w:rsidRPr="00BB4E3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®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 Pharmacogenetic Test: </w:t>
            </w:r>
            <w:r w:rsidR="00A85FD5" w:rsidRPr="00BB4E3D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</w:tbl>
    <w:p w14:paraId="07101497" w14:textId="0EF2A8E5" w:rsidR="00E5751A" w:rsidRPr="00BB4E3D" w:rsidRDefault="00E5751A" w:rsidP="00EE49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F123E5" w14:textId="77777777" w:rsidR="00741D3A" w:rsidRPr="00BB4E3D" w:rsidRDefault="00741D3A" w:rsidP="00741D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B4E3D">
        <w:rPr>
          <w:rFonts w:ascii="Arial" w:hAnsi="Arial" w:cs="Arial"/>
          <w:b/>
          <w:color w:val="000000"/>
          <w:sz w:val="22"/>
          <w:szCs w:val="22"/>
        </w:rPr>
        <w:t xml:space="preserve">TABLE 1. PHARMACOGENOMIC RESULTS </w:t>
      </w:r>
      <w:r w:rsidRPr="00BB4E3D">
        <w:rPr>
          <w:rFonts w:ascii="Arial" w:hAnsi="Arial" w:cs="Arial"/>
          <w:b/>
          <w:color w:val="000000"/>
          <w:sz w:val="22"/>
          <w:szCs w:val="22"/>
          <w:u w:val="single"/>
        </w:rPr>
        <w:t>WITH GUIDELINES</w:t>
      </w:r>
      <w:r w:rsidRPr="00BB4E3D">
        <w:rPr>
          <w:rFonts w:ascii="Arial" w:hAnsi="Arial" w:cs="Arial"/>
          <w:b/>
          <w:color w:val="000000"/>
          <w:sz w:val="22"/>
          <w:szCs w:val="22"/>
        </w:rPr>
        <w:t xml:space="preserve"> AVAILABLE </w:t>
      </w:r>
    </w:p>
    <w:p w14:paraId="0A9D15AF" w14:textId="77777777" w:rsidR="00EE4960" w:rsidRPr="00BB4E3D" w:rsidRDefault="00EE4960" w:rsidP="00EE49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B4E3D">
        <w:rPr>
          <w:rFonts w:ascii="Arial" w:hAnsi="Arial" w:cs="Arial"/>
          <w:sz w:val="22"/>
          <w:szCs w:val="22"/>
        </w:rPr>
        <w:t>Genetic variants affecting drug response are highlighted in yellow. References used include Clinical Pharmacogenetics Implementation Consortium (CPIC) and Dutch Pharmacogenetics Working Group guidelines, and the FDA drug label.</w:t>
      </w:r>
      <w:r w:rsidRPr="00BB4E3D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9990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430"/>
        <w:gridCol w:w="5040"/>
      </w:tblGrid>
      <w:tr w:rsidR="00EE4960" w:rsidRPr="00BB4E3D" w14:paraId="503069E9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559FCF" w14:textId="77777777" w:rsidR="00EE4960" w:rsidRPr="00BB4E3D" w:rsidRDefault="00EE4960" w:rsidP="00FF2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b/>
                <w:sz w:val="22"/>
                <w:szCs w:val="22"/>
              </w:rPr>
              <w:t>GENETIC RESULT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E09BBF" w14:textId="77777777" w:rsidR="00EE4960" w:rsidRPr="00BB4E3D" w:rsidRDefault="00EE4960" w:rsidP="00FF2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b/>
                <w:sz w:val="22"/>
                <w:szCs w:val="22"/>
              </w:rPr>
              <w:t>PHENOTYPE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C3B62B" w14:textId="77777777" w:rsidR="00EE4960" w:rsidRPr="00BB4E3D" w:rsidRDefault="00EE4960" w:rsidP="00FF2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b/>
                <w:sz w:val="22"/>
                <w:szCs w:val="22"/>
              </w:rPr>
              <w:t>EXAMPLE OF DRUGS AFFECTED</w:t>
            </w:r>
          </w:p>
        </w:tc>
      </w:tr>
      <w:tr w:rsidR="00EE4960" w:rsidRPr="00BB4E3D" w14:paraId="7E227557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E5405E7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CYP2C9 *1/*2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7322FE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Intermediate metabolizer (Activity score 1.5)</w:t>
            </w:r>
          </w:p>
          <w:p w14:paraId="04124D55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per CPIC guidelines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2D6E4D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Cardiovascular</w:t>
            </w:r>
            <w:r w:rsidRPr="00BB4E3D">
              <w:rPr>
                <w:rFonts w:ascii="Arial" w:hAnsi="Arial" w:cs="Arial"/>
                <w:sz w:val="22"/>
                <w:szCs w:val="22"/>
              </w:rPr>
              <w:t>: Warfarin</w:t>
            </w:r>
          </w:p>
          <w:p w14:paraId="62ED5131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Neurology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: Phenytoin, </w:t>
            </w:r>
            <w:proofErr w:type="spellStart"/>
            <w:r w:rsidRPr="00BB4E3D">
              <w:rPr>
                <w:rFonts w:ascii="Arial" w:hAnsi="Arial" w:cs="Arial"/>
                <w:sz w:val="22"/>
                <w:szCs w:val="22"/>
              </w:rPr>
              <w:t>siponimod</w:t>
            </w:r>
            <w:proofErr w:type="spellEnd"/>
          </w:p>
          <w:p w14:paraId="4550C11B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Other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BB4E3D">
              <w:rPr>
                <w:rFonts w:ascii="Arial" w:hAnsi="Arial" w:cs="Arial"/>
                <w:sz w:val="22"/>
                <w:szCs w:val="22"/>
              </w:rPr>
              <w:t>Flibanserin</w:t>
            </w:r>
            <w:proofErr w:type="spellEnd"/>
            <w:r w:rsidRPr="00BB4E3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4E3D">
              <w:rPr>
                <w:rFonts w:ascii="Arial" w:hAnsi="Arial" w:cs="Arial"/>
                <w:sz w:val="22"/>
                <w:szCs w:val="22"/>
              </w:rPr>
              <w:t>lesinurad</w:t>
            </w:r>
            <w:proofErr w:type="spellEnd"/>
            <w:r w:rsidRPr="00BB4E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0D0FC3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Pain</w:t>
            </w:r>
            <w:r w:rsidRPr="00BB4E3D">
              <w:rPr>
                <w:rFonts w:ascii="Arial" w:hAnsi="Arial" w:cs="Arial"/>
                <w:sz w:val="22"/>
                <w:szCs w:val="22"/>
              </w:rPr>
              <w:t>: Celecoxib, flurbiprofen, ibuprofen, meloxicam, piroxicam</w:t>
            </w:r>
          </w:p>
        </w:tc>
      </w:tr>
      <w:tr w:rsidR="00EE4960" w:rsidRPr="00BB4E3D" w14:paraId="7A26CAFE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AFC9214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CYP2C19 *1/*4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7CCC54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Intermediate metabolizer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B77BCC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Cardiovascular</w:t>
            </w:r>
            <w:r w:rsidRPr="00BB4E3D">
              <w:rPr>
                <w:rFonts w:ascii="Arial" w:hAnsi="Arial" w:cs="Arial"/>
                <w:sz w:val="22"/>
                <w:szCs w:val="22"/>
              </w:rPr>
              <w:t>: Clopidogrel</w:t>
            </w:r>
          </w:p>
          <w:p w14:paraId="36150D50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Gastrointestinal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BB4E3D">
              <w:rPr>
                <w:rFonts w:ascii="Arial" w:hAnsi="Arial" w:cs="Arial"/>
                <w:sz w:val="22"/>
                <w:szCs w:val="22"/>
              </w:rPr>
              <w:t>Dexlansoprazole</w:t>
            </w:r>
            <w:proofErr w:type="spellEnd"/>
            <w:r w:rsidRPr="00BB4E3D">
              <w:rPr>
                <w:rFonts w:ascii="Arial" w:hAnsi="Arial" w:cs="Arial"/>
                <w:sz w:val="22"/>
                <w:szCs w:val="22"/>
              </w:rPr>
              <w:t>, lansoprazole, omeprazole, pantoprazole</w:t>
            </w:r>
          </w:p>
          <w:p w14:paraId="60AC857C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Infectious Disease</w:t>
            </w:r>
            <w:r w:rsidRPr="00BB4E3D">
              <w:rPr>
                <w:rFonts w:ascii="Arial" w:hAnsi="Arial" w:cs="Arial"/>
                <w:sz w:val="22"/>
                <w:szCs w:val="22"/>
              </w:rPr>
              <w:t>: Voriconazole</w:t>
            </w:r>
          </w:p>
          <w:p w14:paraId="23AC9572" w14:textId="48ADE34A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Neurology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: Brivaracetam, clobazam </w:t>
            </w:r>
          </w:p>
          <w:p w14:paraId="2EEDF6EE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Psychiatry/Depression: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 Amitriptyline, citalopram, clomipramine, doxepin, escitalopram, imipramine, sertraline, trimipramine</w:t>
            </w:r>
          </w:p>
        </w:tc>
      </w:tr>
      <w:tr w:rsidR="00EE4960" w:rsidRPr="00BB4E3D" w14:paraId="446B0853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467DDE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B4E3D">
              <w:rPr>
                <w:rFonts w:ascii="Arial" w:hAnsi="Arial" w:cs="Arial"/>
                <w:i/>
                <w:iCs/>
                <w:sz w:val="22"/>
                <w:szCs w:val="22"/>
              </w:rPr>
              <w:t>CYP2D6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 *3/*4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577069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Poor metabolizer</w:t>
            </w:r>
          </w:p>
          <w:p w14:paraId="39803FEA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Total activity score: 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20D0B3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Cardiovascular</w:t>
            </w:r>
            <w:r w:rsidRPr="00BB4E3D">
              <w:rPr>
                <w:rFonts w:ascii="Arial" w:hAnsi="Arial" w:cs="Arial"/>
                <w:sz w:val="22"/>
                <w:szCs w:val="22"/>
              </w:rPr>
              <w:t>: Carvedilol, flecainide, metoprolol, propafenone</w:t>
            </w:r>
          </w:p>
          <w:p w14:paraId="6DF30A96" w14:textId="6B62EA02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Gastrointestinal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32F6E" w:rsidRPr="00BB4E3D">
              <w:rPr>
                <w:rFonts w:ascii="Arial" w:hAnsi="Arial" w:cs="Arial"/>
                <w:sz w:val="22"/>
                <w:szCs w:val="22"/>
              </w:rPr>
              <w:t>M</w:t>
            </w:r>
            <w:r w:rsidR="00E5751A" w:rsidRPr="00BB4E3D">
              <w:rPr>
                <w:rFonts w:ascii="Arial" w:hAnsi="Arial" w:cs="Arial"/>
                <w:sz w:val="22"/>
                <w:szCs w:val="22"/>
              </w:rPr>
              <w:t xml:space="preserve">etoclopramide, </w:t>
            </w:r>
            <w:r w:rsidRPr="00BB4E3D">
              <w:rPr>
                <w:rFonts w:ascii="Arial" w:hAnsi="Arial" w:cs="Arial"/>
                <w:sz w:val="22"/>
                <w:szCs w:val="22"/>
              </w:rPr>
              <w:t>ondansetron</w:t>
            </w:r>
          </w:p>
          <w:p w14:paraId="1FEA191A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Oncology</w:t>
            </w:r>
            <w:r w:rsidRPr="00BB4E3D">
              <w:rPr>
                <w:rFonts w:ascii="Arial" w:hAnsi="Arial" w:cs="Arial"/>
                <w:sz w:val="22"/>
                <w:szCs w:val="22"/>
              </w:rPr>
              <w:t>: Tamoxifen</w:t>
            </w:r>
          </w:p>
          <w:p w14:paraId="72D1B09E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Other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: Eliglustat, </w:t>
            </w:r>
            <w:proofErr w:type="spellStart"/>
            <w:r w:rsidRPr="00BB4E3D">
              <w:rPr>
                <w:rFonts w:ascii="Arial" w:hAnsi="Arial" w:cs="Arial"/>
                <w:sz w:val="22"/>
                <w:szCs w:val="22"/>
              </w:rPr>
              <w:t>pitolisant</w:t>
            </w:r>
            <w:proofErr w:type="spellEnd"/>
            <w:r w:rsidRPr="00BB4E3D">
              <w:rPr>
                <w:rFonts w:ascii="Arial" w:hAnsi="Arial" w:cs="Arial"/>
                <w:sz w:val="22"/>
                <w:szCs w:val="22"/>
              </w:rPr>
              <w:t>, tamsulosin, tetrabenazine, tolterodine</w:t>
            </w:r>
          </w:p>
          <w:p w14:paraId="717183BF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Pain</w:t>
            </w:r>
            <w:r w:rsidRPr="00BB4E3D">
              <w:rPr>
                <w:rFonts w:ascii="Arial" w:hAnsi="Arial" w:cs="Arial"/>
                <w:sz w:val="22"/>
                <w:szCs w:val="22"/>
              </w:rPr>
              <w:t>: Codeine, hydrocodone, tramadol</w:t>
            </w:r>
          </w:p>
          <w:p w14:paraId="2AD83B63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Psychiatry/Depression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: Amitriptyline, aripiprazole, atomoxetine, </w:t>
            </w:r>
            <w:proofErr w:type="spellStart"/>
            <w:r w:rsidRPr="00BB4E3D">
              <w:rPr>
                <w:rFonts w:ascii="Arial" w:hAnsi="Arial" w:cs="Arial"/>
                <w:sz w:val="22"/>
                <w:szCs w:val="22"/>
              </w:rPr>
              <w:t>brexpiprazole</w:t>
            </w:r>
            <w:proofErr w:type="spellEnd"/>
            <w:r w:rsidRPr="00BB4E3D">
              <w:rPr>
                <w:rFonts w:ascii="Arial" w:hAnsi="Arial" w:cs="Arial"/>
                <w:sz w:val="22"/>
                <w:szCs w:val="22"/>
              </w:rPr>
              <w:t xml:space="preserve">, clomipramine, </w:t>
            </w:r>
            <w:r w:rsidRPr="00BB4E3D">
              <w:rPr>
                <w:rFonts w:ascii="Arial" w:hAnsi="Arial" w:cs="Arial"/>
                <w:sz w:val="22"/>
                <w:szCs w:val="22"/>
              </w:rPr>
              <w:lastRenderedPageBreak/>
              <w:t xml:space="preserve">desipramine, doxepin, fluvoxamine, haloperidol, iloperidone, imipramine, nortriptyline, paroxetine, perphenazine, pimozide, protriptyline, thioridazine, trimipramine, venlafaxine, vortioxetine, zuclopenthixol </w:t>
            </w:r>
          </w:p>
        </w:tc>
      </w:tr>
      <w:tr w:rsidR="00EE4960" w:rsidRPr="00BB4E3D" w14:paraId="455459C9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2B3D4E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lastRenderedPageBreak/>
              <w:t>CYP3A5 *3/*3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DBBB6A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Poor metabolizer</w:t>
            </w:r>
          </w:p>
          <w:p w14:paraId="0AB1C8CC" w14:textId="344CDA4C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(CYP3A5 non express</w:t>
            </w:r>
            <w:r w:rsidR="00D63FA8" w:rsidRPr="00BB4E3D">
              <w:rPr>
                <w:rFonts w:ascii="Arial" w:hAnsi="Arial" w:cs="Arial"/>
                <w:sz w:val="22"/>
                <w:szCs w:val="22"/>
              </w:rPr>
              <w:t>e</w:t>
            </w:r>
            <w:r w:rsidRPr="00BB4E3D">
              <w:rPr>
                <w:rFonts w:ascii="Arial" w:hAnsi="Arial" w:cs="Arial"/>
                <w:sz w:val="22"/>
                <w:szCs w:val="22"/>
              </w:rPr>
              <w:t>r)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70F42D" w14:textId="77777777" w:rsidR="00EE4960" w:rsidRPr="00BB4E3D" w:rsidRDefault="00EE4960" w:rsidP="005F07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Tacrolimus</w:t>
            </w:r>
          </w:p>
        </w:tc>
      </w:tr>
      <w:tr w:rsidR="005F0754" w:rsidRPr="00BB4E3D" w14:paraId="77BCCD12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24E8E6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VKORC1 rs9923231 GA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0786F7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Intermediate activity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D1692E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Warfarin</w:t>
            </w:r>
          </w:p>
        </w:tc>
      </w:tr>
      <w:tr w:rsidR="00553AC7" w:rsidRPr="00BB4E3D" w14:paraId="142E569A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C231AB" w14:textId="2258AB57" w:rsidR="00553AC7" w:rsidRPr="00BB4E3D" w:rsidRDefault="00553AC7" w:rsidP="00553A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CYP2B6 *1/*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F8337A" w14:textId="370D4F27" w:rsidR="00553AC7" w:rsidRPr="00BB4E3D" w:rsidRDefault="001D69C8" w:rsidP="001D69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metabolizer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DBBEAB" w14:textId="18ABDD2A" w:rsidR="00553AC7" w:rsidRPr="00BB4E3D" w:rsidRDefault="00553AC7" w:rsidP="00553A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Efavirenz</w:t>
            </w:r>
          </w:p>
        </w:tc>
      </w:tr>
      <w:tr w:rsidR="00EE4960" w:rsidRPr="00BB4E3D" w14:paraId="2F765DDD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753D47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CYP2C rs12777823 GG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BCC666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metabolizer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142FB0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Warfarin</w:t>
            </w:r>
          </w:p>
        </w:tc>
      </w:tr>
      <w:tr w:rsidR="00EE4960" w:rsidRPr="00BB4E3D" w14:paraId="046FBE2B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FBA27A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CYP4F2 *1/*1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950F31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activity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74A1CB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Warfarin</w:t>
            </w:r>
          </w:p>
        </w:tc>
      </w:tr>
      <w:tr w:rsidR="00EE4960" w:rsidRPr="00BB4E3D" w14:paraId="5D8AE263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DF2DCB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DPYD *1/*1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ECAB1A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metabolizer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6CBC91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5FU, capecitabine</w:t>
            </w:r>
          </w:p>
        </w:tc>
      </w:tr>
      <w:tr w:rsidR="00EE4960" w:rsidRPr="00BB4E3D" w14:paraId="373FBEB0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1BD665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Factor 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FC9FC8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thrombosis risk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8A9340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Estrogen-containing oral contraceptive</w:t>
            </w:r>
          </w:p>
        </w:tc>
      </w:tr>
      <w:tr w:rsidR="00EE4960" w:rsidRPr="00BB4E3D" w14:paraId="5AC7C876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8347DF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 xml:space="preserve">Factor 5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68F8FE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thrombosis risk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253750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Estrogen-containing oral contraceptive</w:t>
            </w:r>
          </w:p>
        </w:tc>
      </w:tr>
      <w:tr w:rsidR="00EE4960" w:rsidRPr="00BB4E3D" w14:paraId="38209CF2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622CE3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 xml:space="preserve">HLA-A*31:01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60C805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Negative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E65390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 xml:space="preserve">Carbamazepine </w:t>
            </w:r>
          </w:p>
        </w:tc>
      </w:tr>
      <w:tr w:rsidR="00EE4960" w:rsidRPr="00BB4E3D" w14:paraId="23F4931E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31BD77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 xml:space="preserve">HLA-B*15:02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3E57FE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Negative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C29C56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Neurology</w:t>
            </w:r>
            <w:r w:rsidRPr="00BB4E3D">
              <w:rPr>
                <w:rFonts w:ascii="Arial" w:hAnsi="Arial" w:cs="Arial"/>
                <w:sz w:val="22"/>
                <w:szCs w:val="22"/>
              </w:rPr>
              <w:t>: Carbamazepine, oxcarbazepine, phenytoin</w:t>
            </w:r>
          </w:p>
        </w:tc>
      </w:tr>
      <w:tr w:rsidR="00EE4960" w:rsidRPr="00BB4E3D" w14:paraId="69BAFB9C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BCB3BF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 xml:space="preserve">HLA-B*57:01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489C05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Negative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9672E9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Infectious Disease</w:t>
            </w:r>
            <w:r w:rsidRPr="00BB4E3D">
              <w:rPr>
                <w:rFonts w:ascii="Arial" w:hAnsi="Arial" w:cs="Arial"/>
                <w:sz w:val="22"/>
                <w:szCs w:val="22"/>
              </w:rPr>
              <w:t>: Abacavir</w:t>
            </w:r>
          </w:p>
          <w:p w14:paraId="7CC341A9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Oncology</w:t>
            </w:r>
            <w:r w:rsidRPr="00BB4E3D">
              <w:rPr>
                <w:rFonts w:ascii="Arial" w:hAnsi="Arial" w:cs="Arial"/>
                <w:sz w:val="22"/>
                <w:szCs w:val="22"/>
              </w:rPr>
              <w:t>: Pazopanib</w:t>
            </w:r>
          </w:p>
        </w:tc>
      </w:tr>
      <w:tr w:rsidR="00EE4960" w:rsidRPr="00BB4E3D" w14:paraId="35549642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537C65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HLA-B*58:01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D7F7AC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Negative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45582E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Allopurinol</w:t>
            </w:r>
          </w:p>
        </w:tc>
      </w:tr>
      <w:tr w:rsidR="005F0754" w:rsidRPr="00BB4E3D" w14:paraId="34260D10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EE6304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IFNL4 rs12979860 TT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59516B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Variant absent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953BDA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Interferon</w:t>
            </w:r>
          </w:p>
        </w:tc>
      </w:tr>
      <w:tr w:rsidR="00EE4960" w:rsidRPr="00BB4E3D" w14:paraId="67457AC6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1528A3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NUDT15 rs116855232 CC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C4B3B5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risk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2EECF7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Azathioprine, 6-mercaptopurine</w:t>
            </w:r>
          </w:p>
        </w:tc>
      </w:tr>
      <w:tr w:rsidR="00EE4960" w:rsidRPr="00BB4E3D" w14:paraId="77FC67F9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83DCDC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TPMT *1/*1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BCE972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metabolizer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548843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Azathioprine, 6-mercaptopurine</w:t>
            </w:r>
          </w:p>
        </w:tc>
      </w:tr>
      <w:tr w:rsidR="005F0754" w:rsidRPr="00BB4E3D" w14:paraId="1CB3C842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09B9C6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SLCO1B1 *1A/*1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28CCC0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function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43CA47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Simvastatin</w:t>
            </w:r>
          </w:p>
        </w:tc>
      </w:tr>
      <w:tr w:rsidR="005F0754" w:rsidRPr="00BB4E3D" w14:paraId="6D976B2B" w14:textId="77777777" w:rsidTr="00D63FA8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1643E0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UGT1A1 *1/*1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936AF2F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metabolizer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EB6A80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Infectious Disease</w:t>
            </w:r>
            <w:r w:rsidRPr="00BB4E3D">
              <w:rPr>
                <w:rFonts w:ascii="Arial" w:hAnsi="Arial" w:cs="Arial"/>
                <w:sz w:val="22"/>
                <w:szCs w:val="22"/>
              </w:rPr>
              <w:t>: Atazanavir, dolutegravir</w:t>
            </w:r>
          </w:p>
          <w:p w14:paraId="4F6194D4" w14:textId="77777777" w:rsidR="005F0754" w:rsidRPr="00BB4E3D" w:rsidRDefault="005F0754" w:rsidP="00266F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  <w:u w:val="single"/>
              </w:rPr>
              <w:t>Oncology</w:t>
            </w:r>
            <w:r w:rsidRPr="00BB4E3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BB4E3D">
              <w:rPr>
                <w:rFonts w:ascii="Arial" w:hAnsi="Arial" w:cs="Arial"/>
                <w:sz w:val="22"/>
                <w:szCs w:val="22"/>
              </w:rPr>
              <w:t>Belinostat</w:t>
            </w:r>
            <w:proofErr w:type="spellEnd"/>
            <w:r w:rsidRPr="00BB4E3D">
              <w:rPr>
                <w:rFonts w:ascii="Arial" w:hAnsi="Arial" w:cs="Arial"/>
                <w:sz w:val="22"/>
                <w:szCs w:val="22"/>
              </w:rPr>
              <w:t xml:space="preserve">, irinotecan, nilotinib, pazopanib </w:t>
            </w:r>
          </w:p>
        </w:tc>
      </w:tr>
    </w:tbl>
    <w:p w14:paraId="292DC268" w14:textId="77777777" w:rsidR="00EE4960" w:rsidRPr="00BB4E3D" w:rsidRDefault="00EE4960" w:rsidP="00EE4960">
      <w:pPr>
        <w:autoSpaceDE w:val="0"/>
        <w:autoSpaceDN w:val="0"/>
        <w:adjustRightInd w:val="0"/>
        <w:ind w:left="72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7C880" w14:textId="77777777" w:rsidR="00EE4960" w:rsidRPr="00BB4E3D" w:rsidRDefault="00EE4960" w:rsidP="00EE49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B4E3D">
        <w:rPr>
          <w:rFonts w:ascii="Arial" w:hAnsi="Arial" w:cs="Arial"/>
          <w:b/>
          <w:color w:val="000000"/>
          <w:sz w:val="22"/>
          <w:szCs w:val="22"/>
        </w:rPr>
        <w:t xml:space="preserve">TABLE 2. PHARMACOGENOMICS RESULTS WITH </w:t>
      </w:r>
      <w:r w:rsidRPr="00BB4E3D">
        <w:rPr>
          <w:rFonts w:ascii="Arial" w:hAnsi="Arial" w:cs="Arial"/>
          <w:b/>
          <w:color w:val="000000"/>
          <w:sz w:val="22"/>
          <w:szCs w:val="22"/>
          <w:u w:val="single"/>
        </w:rPr>
        <w:t>NO GUIDELINES</w:t>
      </w:r>
      <w:r w:rsidRPr="00BB4E3D">
        <w:rPr>
          <w:rFonts w:ascii="Arial" w:hAnsi="Arial" w:cs="Arial"/>
          <w:b/>
          <w:color w:val="000000"/>
          <w:sz w:val="22"/>
          <w:szCs w:val="22"/>
        </w:rPr>
        <w:t> CURRENTLY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6792"/>
      </w:tblGrid>
      <w:tr w:rsidR="00EE4960" w:rsidRPr="00BB4E3D" w14:paraId="1EA38A16" w14:textId="77777777" w:rsidTr="00FF27B6">
        <w:tc>
          <w:tcPr>
            <w:tcW w:w="3288" w:type="dxa"/>
            <w:shd w:val="clear" w:color="auto" w:fill="D0CECE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323C39A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b/>
                <w:sz w:val="22"/>
                <w:szCs w:val="22"/>
              </w:rPr>
              <w:t>GENETIC RESULT</w:t>
            </w:r>
          </w:p>
        </w:tc>
        <w:tc>
          <w:tcPr>
            <w:tcW w:w="6792" w:type="dxa"/>
            <w:shd w:val="clear" w:color="auto" w:fill="D0CECE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138A0B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b/>
                <w:sz w:val="22"/>
                <w:szCs w:val="22"/>
              </w:rPr>
              <w:t>PHENOTYPE</w:t>
            </w:r>
          </w:p>
        </w:tc>
      </w:tr>
      <w:tr w:rsidR="00EE4960" w:rsidRPr="00BB4E3D" w14:paraId="5A2240F0" w14:textId="77777777" w:rsidTr="00FF27B6"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406B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CYP1A2 *1A/*1F</w:t>
            </w:r>
          </w:p>
        </w:tc>
        <w:tc>
          <w:tcPr>
            <w:tcW w:w="6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F4DB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Rapid metabolizer</w:t>
            </w:r>
          </w:p>
        </w:tc>
      </w:tr>
      <w:tr w:rsidR="00EE4960" w:rsidRPr="00BB4E3D" w14:paraId="61DAFDF7" w14:textId="77777777" w:rsidTr="00FF27B6"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21DB0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CYP3A4 *1/*1</w:t>
            </w:r>
          </w:p>
        </w:tc>
        <w:tc>
          <w:tcPr>
            <w:tcW w:w="6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D55D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metabolizer</w:t>
            </w:r>
          </w:p>
        </w:tc>
      </w:tr>
      <w:tr w:rsidR="00EE4960" w:rsidRPr="00BB4E3D" w14:paraId="6CF757E0" w14:textId="77777777" w:rsidTr="00FF27B6"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DAE0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COMT rs4680 AA</w:t>
            </w:r>
          </w:p>
        </w:tc>
        <w:tc>
          <w:tcPr>
            <w:tcW w:w="6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9DAA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Low activity</w:t>
            </w:r>
          </w:p>
        </w:tc>
      </w:tr>
      <w:tr w:rsidR="00EE4960" w:rsidRPr="00BB4E3D" w14:paraId="65AFB5AF" w14:textId="77777777" w:rsidTr="00FF27B6"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1366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DRD2 rs1799978 AA</w:t>
            </w:r>
          </w:p>
        </w:tc>
        <w:tc>
          <w:tcPr>
            <w:tcW w:w="6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26F7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receptor expression</w:t>
            </w:r>
          </w:p>
        </w:tc>
      </w:tr>
      <w:tr w:rsidR="00EE4960" w:rsidRPr="00BB4E3D" w14:paraId="6BC6C49B" w14:textId="77777777" w:rsidTr="00FF27B6"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E067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GRIK4 rs1954787 TC</w:t>
            </w:r>
          </w:p>
        </w:tc>
        <w:tc>
          <w:tcPr>
            <w:tcW w:w="6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A37C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receptor function</w:t>
            </w:r>
          </w:p>
        </w:tc>
      </w:tr>
      <w:tr w:rsidR="00EE4960" w:rsidRPr="00BB4E3D" w14:paraId="48F9442B" w14:textId="77777777" w:rsidTr="00FF27B6"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521D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HTR2A rs7997012 GG</w:t>
            </w:r>
          </w:p>
        </w:tc>
        <w:tc>
          <w:tcPr>
            <w:tcW w:w="6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FA46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Intron 2 genotype GG</w:t>
            </w:r>
          </w:p>
        </w:tc>
      </w:tr>
      <w:tr w:rsidR="00EE4960" w:rsidRPr="00BB4E3D" w14:paraId="27B93E86" w14:textId="77777777" w:rsidTr="00FF27B6"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FF76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HTR2C rs3813929 CC</w:t>
            </w:r>
          </w:p>
        </w:tc>
        <w:tc>
          <w:tcPr>
            <w:tcW w:w="6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238A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Normal influence</w:t>
            </w:r>
          </w:p>
        </w:tc>
      </w:tr>
      <w:tr w:rsidR="00EE4960" w:rsidRPr="00BB4E3D" w14:paraId="556F1D3F" w14:textId="77777777" w:rsidTr="00FF27B6"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68E9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OPRM1 rs1799971 AG</w:t>
            </w:r>
          </w:p>
        </w:tc>
        <w:tc>
          <w:tcPr>
            <w:tcW w:w="6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580A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4E3D">
              <w:rPr>
                <w:rFonts w:ascii="Arial" w:hAnsi="Arial" w:cs="Arial"/>
                <w:sz w:val="22"/>
                <w:szCs w:val="22"/>
              </w:rPr>
              <w:t>Asn</w:t>
            </w:r>
            <w:proofErr w:type="spellEnd"/>
            <w:r w:rsidRPr="00BB4E3D">
              <w:rPr>
                <w:rFonts w:ascii="Arial" w:hAnsi="Arial" w:cs="Arial"/>
                <w:sz w:val="22"/>
                <w:szCs w:val="22"/>
              </w:rPr>
              <w:t>/Asp isoform</w:t>
            </w:r>
          </w:p>
        </w:tc>
      </w:tr>
      <w:tr w:rsidR="00EE4960" w:rsidRPr="00BB4E3D" w14:paraId="50F4FDA2" w14:textId="77777777" w:rsidTr="00FF27B6">
        <w:tc>
          <w:tcPr>
            <w:tcW w:w="3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DAC5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SLC6A4 L/S (Sa/Sa)</w:t>
            </w:r>
          </w:p>
        </w:tc>
        <w:tc>
          <w:tcPr>
            <w:tcW w:w="6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8C17" w14:textId="77777777" w:rsidR="00EE4960" w:rsidRPr="00BB4E3D" w:rsidRDefault="00EE4960" w:rsidP="00FF27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Reduced expression</w:t>
            </w:r>
          </w:p>
        </w:tc>
      </w:tr>
    </w:tbl>
    <w:p w14:paraId="61B3214B" w14:textId="16A4A62E" w:rsidR="00EE4960" w:rsidRPr="00BB4E3D" w:rsidRDefault="00EE4960" w:rsidP="00EE4960">
      <w:pPr>
        <w:rPr>
          <w:rFonts w:ascii="Arial" w:hAnsi="Arial" w:cs="Arial"/>
          <w:sz w:val="22"/>
          <w:szCs w:val="22"/>
        </w:rPr>
      </w:pPr>
    </w:p>
    <w:p w14:paraId="1DE87747" w14:textId="01BC3E62" w:rsidR="00CD576B" w:rsidRPr="00BB4E3D" w:rsidRDefault="00CD576B" w:rsidP="00CD57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B4E3D">
        <w:rPr>
          <w:rFonts w:ascii="Arial" w:hAnsi="Arial" w:cs="Arial"/>
          <w:b/>
          <w:color w:val="000000"/>
          <w:sz w:val="22"/>
          <w:szCs w:val="22"/>
        </w:rPr>
        <w:t xml:space="preserve">TABLE 3. PHARMACOGENOMIC INFORMATION FOR </w:t>
      </w:r>
      <w:r w:rsidR="009559E3" w:rsidRPr="00BB4E3D">
        <w:rPr>
          <w:rFonts w:ascii="Arial" w:hAnsi="Arial" w:cs="Arial"/>
          <w:b/>
          <w:color w:val="000000"/>
          <w:sz w:val="22"/>
          <w:szCs w:val="22"/>
        </w:rPr>
        <w:t>YOUR</w:t>
      </w:r>
      <w:r w:rsidRPr="00BB4E3D">
        <w:rPr>
          <w:rFonts w:ascii="Arial" w:hAnsi="Arial" w:cs="Arial"/>
          <w:b/>
          <w:color w:val="000000"/>
          <w:sz w:val="22"/>
          <w:szCs w:val="22"/>
        </w:rPr>
        <w:t xml:space="preserve"> PAST MEDICATION INTOLERANCE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2086"/>
        <w:gridCol w:w="7990"/>
      </w:tblGrid>
      <w:tr w:rsidR="00CD576B" w:rsidRPr="00BB4E3D" w14:paraId="0B5C3457" w14:textId="77777777" w:rsidTr="00780E45">
        <w:trPr>
          <w:trHeight w:val="206"/>
        </w:trPr>
        <w:tc>
          <w:tcPr>
            <w:tcW w:w="1035" w:type="pct"/>
            <w:shd w:val="clear" w:color="auto" w:fill="BFBFBF" w:themeFill="background1" w:themeFillShade="BF"/>
          </w:tcPr>
          <w:p w14:paraId="7A349FD4" w14:textId="77777777" w:rsidR="00CD576B" w:rsidRPr="00BB4E3D" w:rsidRDefault="00CD576B" w:rsidP="00E637C0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DRUG NAME</w:t>
            </w:r>
          </w:p>
        </w:tc>
        <w:tc>
          <w:tcPr>
            <w:tcW w:w="3965" w:type="pct"/>
            <w:shd w:val="clear" w:color="auto" w:fill="BFBFBF" w:themeFill="background1" w:themeFillShade="BF"/>
          </w:tcPr>
          <w:p w14:paraId="4FE47B54" w14:textId="77777777" w:rsidR="00CD576B" w:rsidRPr="00BB4E3D" w:rsidRDefault="00CD576B" w:rsidP="00E637C0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CD576B" w:rsidRPr="00BB4E3D" w14:paraId="4DD3686F" w14:textId="77777777" w:rsidTr="00780E45">
        <w:trPr>
          <w:trHeight w:val="449"/>
        </w:trPr>
        <w:tc>
          <w:tcPr>
            <w:tcW w:w="1035" w:type="pct"/>
            <w:vAlign w:val="center"/>
          </w:tcPr>
          <w:p w14:paraId="4D708ECE" w14:textId="77777777" w:rsidR="00CD576B" w:rsidRPr="00BB4E3D" w:rsidRDefault="00CD576B" w:rsidP="00E637C0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Celecoxib</w:t>
            </w:r>
          </w:p>
        </w:tc>
        <w:tc>
          <w:tcPr>
            <w:tcW w:w="3965" w:type="pct"/>
          </w:tcPr>
          <w:p w14:paraId="72234322" w14:textId="7E2AFC15" w:rsidR="00CD576B" w:rsidRPr="00BB4E3D" w:rsidRDefault="008045E6" w:rsidP="00E637C0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You are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 a CYP2C9 intermediate metabolizer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 of celecoxib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. CPIC guidelines recommend </w:t>
            </w:r>
            <w:r w:rsidR="00804119" w:rsidRPr="00BB4E3D">
              <w:rPr>
                <w:rFonts w:ascii="Arial" w:hAnsi="Arial" w:cs="Arial"/>
                <w:sz w:val="22"/>
                <w:szCs w:val="22"/>
              </w:rPr>
              <w:t>initiating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 therapy with usual starting dose. Pharmacogenomics </w:t>
            </w:r>
            <w:r w:rsidR="00804119" w:rsidRPr="00BB4E3D">
              <w:rPr>
                <w:rFonts w:ascii="Arial" w:hAnsi="Arial" w:cs="Arial"/>
                <w:sz w:val="22"/>
                <w:szCs w:val="22"/>
              </w:rPr>
              <w:t xml:space="preserve">likely does not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explain the lack of efficacy 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experienced with celecoxib. </w:t>
            </w:r>
          </w:p>
        </w:tc>
      </w:tr>
      <w:tr w:rsidR="00CD576B" w:rsidRPr="00BB4E3D" w14:paraId="6B2D961C" w14:textId="77777777" w:rsidTr="00780E45">
        <w:trPr>
          <w:trHeight w:val="449"/>
        </w:trPr>
        <w:tc>
          <w:tcPr>
            <w:tcW w:w="1035" w:type="pct"/>
            <w:vAlign w:val="center"/>
          </w:tcPr>
          <w:p w14:paraId="425A588B" w14:textId="77777777" w:rsidR="00CD576B" w:rsidRPr="00BB4E3D" w:rsidRDefault="00CD576B" w:rsidP="00E637C0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lastRenderedPageBreak/>
              <w:t>Citalopram</w:t>
            </w:r>
          </w:p>
        </w:tc>
        <w:tc>
          <w:tcPr>
            <w:tcW w:w="3965" w:type="pct"/>
          </w:tcPr>
          <w:p w14:paraId="1F03ADC1" w14:textId="34277378" w:rsidR="00CD576B" w:rsidRPr="00BB4E3D" w:rsidRDefault="008045E6" w:rsidP="00E637C0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You are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 a CYP2C19</w:t>
            </w:r>
            <w:r w:rsidR="00CD576B" w:rsidRPr="00BB4E3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>intermediate metabolizer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 of citalopram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. CPIC guidelines recommend </w:t>
            </w:r>
            <w:r w:rsidR="00804119" w:rsidRPr="00BB4E3D">
              <w:rPr>
                <w:rFonts w:ascii="Arial" w:hAnsi="Arial" w:cs="Arial"/>
                <w:sz w:val="22"/>
                <w:szCs w:val="22"/>
              </w:rPr>
              <w:t>initiating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 citalopram at usual starting doses. Studies have shown that CYP2C19</w:t>
            </w:r>
            <w:r w:rsidR="00CD576B" w:rsidRPr="00BB4E3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intermediate metabolizers may accumulate citalopram leading to an increased risk of side effects, including dizziness/disorientation. 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This may partially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explain the side </w:t>
            </w:r>
            <w:proofErr w:type="spellStart"/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effects 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>experienced with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 citalopram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D576B" w:rsidRPr="00BB4E3D" w14:paraId="432AF380" w14:textId="77777777" w:rsidTr="00780E45">
        <w:trPr>
          <w:trHeight w:val="449"/>
        </w:trPr>
        <w:tc>
          <w:tcPr>
            <w:tcW w:w="1035" w:type="pct"/>
            <w:vAlign w:val="center"/>
          </w:tcPr>
          <w:p w14:paraId="05147D5C" w14:textId="77777777" w:rsidR="00CD576B" w:rsidRPr="00BB4E3D" w:rsidRDefault="00CD576B" w:rsidP="00E637C0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Tramadol</w:t>
            </w:r>
          </w:p>
        </w:tc>
        <w:tc>
          <w:tcPr>
            <w:tcW w:w="3965" w:type="pct"/>
          </w:tcPr>
          <w:p w14:paraId="7E19E9CA" w14:textId="04A24AA3" w:rsidR="00CD576B" w:rsidRPr="00BB4E3D" w:rsidRDefault="0058789B" w:rsidP="00E637C0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You are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 a CYP2D6</w:t>
            </w:r>
            <w:r w:rsidR="00CD576B" w:rsidRPr="00BB4E3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B1219D" w:rsidRPr="00BB4E3D">
              <w:rPr>
                <w:rFonts w:ascii="Arial" w:hAnsi="Arial" w:cs="Arial"/>
                <w:sz w:val="22"/>
                <w:szCs w:val="22"/>
              </w:rPr>
              <w:t>poor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 metabolizer 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of tramadol so less tramadol is converted to its active metabolite that provides analgesia.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CPIC guidelines recommend </w:t>
            </w:r>
            <w:r w:rsidR="00804119" w:rsidRPr="00BB4E3D">
              <w:rPr>
                <w:rFonts w:ascii="Arial" w:hAnsi="Arial" w:cs="Arial"/>
                <w:sz w:val="22"/>
                <w:szCs w:val="22"/>
              </w:rPr>
              <w:t>avoiding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 tramadol due to the possibility of diminished analgesia. Pharmacogenomics </w:t>
            </w:r>
            <w:r w:rsidR="00804119" w:rsidRPr="00BB4E3D">
              <w:rPr>
                <w:rFonts w:ascii="Arial" w:hAnsi="Arial" w:cs="Arial"/>
                <w:sz w:val="22"/>
                <w:szCs w:val="22"/>
              </w:rPr>
              <w:t>may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explain the lack of 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pain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relief 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CD576B" w:rsidRPr="00BB4E3D">
              <w:rPr>
                <w:rFonts w:ascii="Arial" w:hAnsi="Arial" w:cs="Arial"/>
                <w:sz w:val="22"/>
                <w:szCs w:val="22"/>
              </w:rPr>
              <w:t xml:space="preserve">experienced with tramadol. </w:t>
            </w:r>
          </w:p>
        </w:tc>
      </w:tr>
    </w:tbl>
    <w:p w14:paraId="04286CF4" w14:textId="77777777" w:rsidR="00CD576B" w:rsidRPr="00BB4E3D" w:rsidRDefault="00CD576B" w:rsidP="00EE4960">
      <w:pPr>
        <w:rPr>
          <w:rFonts w:ascii="Arial" w:hAnsi="Arial" w:cs="Arial"/>
          <w:sz w:val="22"/>
          <w:szCs w:val="22"/>
        </w:rPr>
      </w:pPr>
    </w:p>
    <w:p w14:paraId="30112B3D" w14:textId="00544D50" w:rsidR="00EE4960" w:rsidRPr="00BB4E3D" w:rsidRDefault="00EE4960" w:rsidP="00EE496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B4E3D">
        <w:rPr>
          <w:rFonts w:ascii="Arial" w:hAnsi="Arial" w:cs="Arial"/>
          <w:b/>
          <w:color w:val="000000"/>
          <w:sz w:val="22"/>
          <w:szCs w:val="22"/>
        </w:rPr>
        <w:t xml:space="preserve">TABLE 4. PHARMACOGENOMIC INFORMATION FOR </w:t>
      </w:r>
      <w:r w:rsidR="009559E3" w:rsidRPr="00BB4E3D">
        <w:rPr>
          <w:rFonts w:ascii="Arial" w:hAnsi="Arial" w:cs="Arial"/>
          <w:b/>
          <w:color w:val="000000"/>
          <w:sz w:val="22"/>
          <w:szCs w:val="22"/>
        </w:rPr>
        <w:t>YOUR</w:t>
      </w:r>
      <w:r w:rsidRPr="00BB4E3D">
        <w:rPr>
          <w:rFonts w:ascii="Arial" w:hAnsi="Arial" w:cs="Arial"/>
          <w:b/>
          <w:color w:val="000000"/>
          <w:sz w:val="22"/>
          <w:szCs w:val="22"/>
        </w:rPr>
        <w:t xml:space="preserve"> CURRENT MEDICATIONS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2086"/>
        <w:gridCol w:w="3309"/>
        <w:gridCol w:w="4681"/>
      </w:tblGrid>
      <w:tr w:rsidR="00EE4960" w:rsidRPr="00BB4E3D" w14:paraId="2F729EB0" w14:textId="77777777" w:rsidTr="00FF27B6">
        <w:trPr>
          <w:trHeight w:val="206"/>
        </w:trPr>
        <w:tc>
          <w:tcPr>
            <w:tcW w:w="1035" w:type="pct"/>
            <w:shd w:val="clear" w:color="auto" w:fill="BFBFBF" w:themeFill="background1" w:themeFillShade="BF"/>
          </w:tcPr>
          <w:p w14:paraId="1DB499B4" w14:textId="77777777" w:rsidR="00EE4960" w:rsidRPr="00BB4E3D" w:rsidRDefault="00EE4960" w:rsidP="00FF27B6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DRUG NAME</w:t>
            </w:r>
          </w:p>
        </w:tc>
        <w:tc>
          <w:tcPr>
            <w:tcW w:w="3965" w:type="pct"/>
            <w:gridSpan w:val="2"/>
            <w:shd w:val="clear" w:color="auto" w:fill="BFBFBF" w:themeFill="background1" w:themeFillShade="BF"/>
          </w:tcPr>
          <w:p w14:paraId="3479605D" w14:textId="77777777" w:rsidR="00EE4960" w:rsidRPr="00BB4E3D" w:rsidRDefault="00EE4960" w:rsidP="00FF27B6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EE4960" w:rsidRPr="00BB4E3D" w14:paraId="1C578A65" w14:textId="77777777" w:rsidTr="00FF27B6">
        <w:trPr>
          <w:trHeight w:val="494"/>
        </w:trPr>
        <w:tc>
          <w:tcPr>
            <w:tcW w:w="1035" w:type="pct"/>
            <w:vAlign w:val="center"/>
          </w:tcPr>
          <w:p w14:paraId="41BFD8C2" w14:textId="77777777" w:rsidR="00EE4960" w:rsidRPr="00BB4E3D" w:rsidRDefault="00EE4960" w:rsidP="00FF27B6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Escitalopram</w:t>
            </w:r>
          </w:p>
        </w:tc>
        <w:tc>
          <w:tcPr>
            <w:tcW w:w="3965" w:type="pct"/>
            <w:gridSpan w:val="2"/>
          </w:tcPr>
          <w:p w14:paraId="77EB6390" w14:textId="31C015B8" w:rsidR="00EE4960" w:rsidRPr="00BB4E3D" w:rsidRDefault="004D40DD" w:rsidP="00FF27B6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You are</w:t>
            </w:r>
            <w:r w:rsidR="00EE4960" w:rsidRPr="00BB4E3D">
              <w:rPr>
                <w:rFonts w:ascii="Arial" w:hAnsi="Arial" w:cs="Arial"/>
                <w:sz w:val="22"/>
                <w:szCs w:val="22"/>
              </w:rPr>
              <w:t xml:space="preserve"> a CYP2C19</w:t>
            </w:r>
            <w:r w:rsidR="00EE4960" w:rsidRPr="00BB4E3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E4960" w:rsidRPr="00BB4E3D">
              <w:rPr>
                <w:rFonts w:ascii="Arial" w:hAnsi="Arial" w:cs="Arial"/>
                <w:sz w:val="22"/>
                <w:szCs w:val="22"/>
              </w:rPr>
              <w:t>intermediate metabolizer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 of escitalopram</w:t>
            </w:r>
            <w:r w:rsidR="00EE4960" w:rsidRPr="00BB4E3D">
              <w:rPr>
                <w:rFonts w:ascii="Arial" w:hAnsi="Arial" w:cs="Arial"/>
                <w:sz w:val="22"/>
                <w:szCs w:val="22"/>
              </w:rPr>
              <w:t>.</w:t>
            </w:r>
            <w:r w:rsidR="001D69C8" w:rsidRPr="00BB4E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960" w:rsidRPr="00BB4E3D">
              <w:rPr>
                <w:rFonts w:ascii="Arial" w:hAnsi="Arial" w:cs="Arial"/>
                <w:sz w:val="22"/>
                <w:szCs w:val="22"/>
              </w:rPr>
              <w:t xml:space="preserve">CPIC guidelines recommend </w:t>
            </w:r>
            <w:r w:rsidR="00804119" w:rsidRPr="00BB4E3D">
              <w:rPr>
                <w:rFonts w:ascii="Arial" w:hAnsi="Arial" w:cs="Arial"/>
                <w:sz w:val="22"/>
                <w:szCs w:val="22"/>
              </w:rPr>
              <w:t>using</w:t>
            </w:r>
            <w:r w:rsidR="00EE4960" w:rsidRPr="00BB4E3D">
              <w:rPr>
                <w:rFonts w:ascii="Arial" w:hAnsi="Arial" w:cs="Arial"/>
                <w:sz w:val="22"/>
                <w:szCs w:val="22"/>
              </w:rPr>
              <w:t xml:space="preserve"> usual starting doses. To titrate slowly and monitor for side effects. </w:t>
            </w:r>
          </w:p>
        </w:tc>
      </w:tr>
      <w:tr w:rsidR="00EE4960" w:rsidRPr="00BB4E3D" w14:paraId="755E0FB5" w14:textId="77777777" w:rsidTr="005F0754">
        <w:trPr>
          <w:trHeight w:val="530"/>
        </w:trPr>
        <w:tc>
          <w:tcPr>
            <w:tcW w:w="2677" w:type="pct"/>
            <w:gridSpan w:val="2"/>
            <w:vAlign w:val="center"/>
          </w:tcPr>
          <w:p w14:paraId="2C02B301" w14:textId="7C7D6B5A" w:rsidR="00EE4960" w:rsidRPr="00BB4E3D" w:rsidRDefault="00EE4960" w:rsidP="00FF27B6">
            <w:pPr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 xml:space="preserve">Acetaminophen, bevacizumab, </w:t>
            </w:r>
            <w:r w:rsidR="008D4A36" w:rsidRPr="00BB4E3D">
              <w:rPr>
                <w:rFonts w:ascii="Arial" w:hAnsi="Arial" w:cs="Arial"/>
                <w:sz w:val="22"/>
                <w:szCs w:val="22"/>
              </w:rPr>
              <w:t>c</w:t>
            </w:r>
            <w:r w:rsidRPr="00BB4E3D">
              <w:rPr>
                <w:rFonts w:ascii="Arial" w:hAnsi="Arial" w:cs="Arial"/>
                <w:sz w:val="22"/>
                <w:szCs w:val="22"/>
              </w:rPr>
              <w:t>alcium citrate</w:t>
            </w:r>
            <w:r w:rsidR="000707E3" w:rsidRPr="00BB4E3D">
              <w:rPr>
                <w:rFonts w:ascii="Arial" w:hAnsi="Arial" w:cs="Arial"/>
                <w:sz w:val="22"/>
                <w:szCs w:val="22"/>
              </w:rPr>
              <w:t>, vitamin D3</w:t>
            </w:r>
          </w:p>
        </w:tc>
        <w:tc>
          <w:tcPr>
            <w:tcW w:w="2323" w:type="pct"/>
            <w:vAlign w:val="center"/>
          </w:tcPr>
          <w:p w14:paraId="7E9A027A" w14:textId="77777777" w:rsidR="00EE4960" w:rsidRPr="00BB4E3D" w:rsidRDefault="00EE4960" w:rsidP="00FF2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E3D">
              <w:rPr>
                <w:rFonts w:ascii="Arial" w:hAnsi="Arial" w:cs="Arial"/>
                <w:sz w:val="22"/>
                <w:szCs w:val="22"/>
              </w:rPr>
              <w:t>No pharmacogenomic guidelines available.</w:t>
            </w:r>
          </w:p>
        </w:tc>
      </w:tr>
    </w:tbl>
    <w:p w14:paraId="348D89AB" w14:textId="77777777" w:rsidR="00EE4960" w:rsidRPr="00BB4E3D" w:rsidRDefault="00EE4960" w:rsidP="00EE49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EE4960" w:rsidRPr="00BB4E3D" w:rsidSect="006E01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EED5" w14:textId="77777777" w:rsidR="00A7043D" w:rsidRDefault="00A7043D" w:rsidP="009A0228">
      <w:r>
        <w:separator/>
      </w:r>
    </w:p>
  </w:endnote>
  <w:endnote w:type="continuationSeparator" w:id="0">
    <w:p w14:paraId="58069A9D" w14:textId="77777777" w:rsidR="00A7043D" w:rsidRDefault="00A7043D" w:rsidP="009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14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9EB68" w14:textId="23C1A714" w:rsidR="009A0228" w:rsidRDefault="009A0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EC87B" w14:textId="77777777" w:rsidR="009A0228" w:rsidRDefault="009A0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865D" w14:textId="77777777" w:rsidR="00A7043D" w:rsidRDefault="00A7043D" w:rsidP="009A0228">
      <w:r>
        <w:separator/>
      </w:r>
    </w:p>
  </w:footnote>
  <w:footnote w:type="continuationSeparator" w:id="0">
    <w:p w14:paraId="1B2E8743" w14:textId="77777777" w:rsidR="00A7043D" w:rsidRDefault="00A7043D" w:rsidP="009A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C72"/>
    <w:multiLevelType w:val="hybridMultilevel"/>
    <w:tmpl w:val="6AD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6565"/>
    <w:multiLevelType w:val="hybridMultilevel"/>
    <w:tmpl w:val="5D76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11997">
    <w:abstractNumId w:val="0"/>
  </w:num>
  <w:num w:numId="2" w16cid:durableId="123832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60"/>
    <w:rsid w:val="00013848"/>
    <w:rsid w:val="00023584"/>
    <w:rsid w:val="000241EA"/>
    <w:rsid w:val="000332C9"/>
    <w:rsid w:val="00034936"/>
    <w:rsid w:val="00061252"/>
    <w:rsid w:val="000637E4"/>
    <w:rsid w:val="00064394"/>
    <w:rsid w:val="000707E3"/>
    <w:rsid w:val="000A6FD2"/>
    <w:rsid w:val="000D0E01"/>
    <w:rsid w:val="000E6FB5"/>
    <w:rsid w:val="000F1E07"/>
    <w:rsid w:val="001011E9"/>
    <w:rsid w:val="00147B4D"/>
    <w:rsid w:val="00147E2B"/>
    <w:rsid w:val="00173B21"/>
    <w:rsid w:val="001A580C"/>
    <w:rsid w:val="001B7026"/>
    <w:rsid w:val="001D69C8"/>
    <w:rsid w:val="001F5589"/>
    <w:rsid w:val="002165A6"/>
    <w:rsid w:val="002243CF"/>
    <w:rsid w:val="00232A50"/>
    <w:rsid w:val="0024294F"/>
    <w:rsid w:val="00244272"/>
    <w:rsid w:val="00244FB0"/>
    <w:rsid w:val="0025012A"/>
    <w:rsid w:val="0027270B"/>
    <w:rsid w:val="00275097"/>
    <w:rsid w:val="002814FF"/>
    <w:rsid w:val="0028453B"/>
    <w:rsid w:val="002A2D40"/>
    <w:rsid w:val="002A6ACE"/>
    <w:rsid w:val="002F2FCE"/>
    <w:rsid w:val="003057A1"/>
    <w:rsid w:val="00314650"/>
    <w:rsid w:val="003260AA"/>
    <w:rsid w:val="0038737E"/>
    <w:rsid w:val="00390734"/>
    <w:rsid w:val="003C1605"/>
    <w:rsid w:val="00430BB1"/>
    <w:rsid w:val="00432848"/>
    <w:rsid w:val="00456C99"/>
    <w:rsid w:val="00456F61"/>
    <w:rsid w:val="004637DE"/>
    <w:rsid w:val="00465426"/>
    <w:rsid w:val="004929E5"/>
    <w:rsid w:val="004D40DD"/>
    <w:rsid w:val="00503CF8"/>
    <w:rsid w:val="00532C85"/>
    <w:rsid w:val="00542465"/>
    <w:rsid w:val="005448E7"/>
    <w:rsid w:val="005526DF"/>
    <w:rsid w:val="00553AC7"/>
    <w:rsid w:val="005562EE"/>
    <w:rsid w:val="0058789B"/>
    <w:rsid w:val="005D753C"/>
    <w:rsid w:val="005F0754"/>
    <w:rsid w:val="00620C2C"/>
    <w:rsid w:val="00627B53"/>
    <w:rsid w:val="006757E4"/>
    <w:rsid w:val="00680696"/>
    <w:rsid w:val="006C0B16"/>
    <w:rsid w:val="006C7067"/>
    <w:rsid w:val="006E4F32"/>
    <w:rsid w:val="006F7E45"/>
    <w:rsid w:val="00703796"/>
    <w:rsid w:val="00707A5F"/>
    <w:rsid w:val="0071734F"/>
    <w:rsid w:val="00737732"/>
    <w:rsid w:val="00741D3A"/>
    <w:rsid w:val="00752351"/>
    <w:rsid w:val="00754790"/>
    <w:rsid w:val="00772371"/>
    <w:rsid w:val="00780E45"/>
    <w:rsid w:val="00783EF4"/>
    <w:rsid w:val="00795ABD"/>
    <w:rsid w:val="007B21D0"/>
    <w:rsid w:val="007B6F45"/>
    <w:rsid w:val="007E1720"/>
    <w:rsid w:val="00801D71"/>
    <w:rsid w:val="00804119"/>
    <w:rsid w:val="008045E6"/>
    <w:rsid w:val="00810F72"/>
    <w:rsid w:val="0081662C"/>
    <w:rsid w:val="008254C8"/>
    <w:rsid w:val="0089570C"/>
    <w:rsid w:val="00897FF6"/>
    <w:rsid w:val="008A5E2B"/>
    <w:rsid w:val="008A5EDC"/>
    <w:rsid w:val="008A781D"/>
    <w:rsid w:val="008D4A36"/>
    <w:rsid w:val="009038AC"/>
    <w:rsid w:val="00906909"/>
    <w:rsid w:val="00943628"/>
    <w:rsid w:val="00953237"/>
    <w:rsid w:val="009559E3"/>
    <w:rsid w:val="00960890"/>
    <w:rsid w:val="0097763E"/>
    <w:rsid w:val="00983644"/>
    <w:rsid w:val="009A0228"/>
    <w:rsid w:val="009B3506"/>
    <w:rsid w:val="009F0235"/>
    <w:rsid w:val="009F2F58"/>
    <w:rsid w:val="00A00CAA"/>
    <w:rsid w:val="00A42FB8"/>
    <w:rsid w:val="00A61951"/>
    <w:rsid w:val="00A7043D"/>
    <w:rsid w:val="00A85FD5"/>
    <w:rsid w:val="00A9141E"/>
    <w:rsid w:val="00AC0B60"/>
    <w:rsid w:val="00AC2A8E"/>
    <w:rsid w:val="00AD66F3"/>
    <w:rsid w:val="00AE2646"/>
    <w:rsid w:val="00AF3CDF"/>
    <w:rsid w:val="00B1219D"/>
    <w:rsid w:val="00B5635F"/>
    <w:rsid w:val="00B84A76"/>
    <w:rsid w:val="00BA2DFE"/>
    <w:rsid w:val="00BB4764"/>
    <w:rsid w:val="00BB48FD"/>
    <w:rsid w:val="00BB4E3D"/>
    <w:rsid w:val="00BE70CE"/>
    <w:rsid w:val="00BF359B"/>
    <w:rsid w:val="00C0557F"/>
    <w:rsid w:val="00C13584"/>
    <w:rsid w:val="00C148CD"/>
    <w:rsid w:val="00C3118A"/>
    <w:rsid w:val="00C642C1"/>
    <w:rsid w:val="00C71432"/>
    <w:rsid w:val="00C8085D"/>
    <w:rsid w:val="00C95B4A"/>
    <w:rsid w:val="00CD576B"/>
    <w:rsid w:val="00CD5B58"/>
    <w:rsid w:val="00D26569"/>
    <w:rsid w:val="00D27E49"/>
    <w:rsid w:val="00D33C1E"/>
    <w:rsid w:val="00D437EF"/>
    <w:rsid w:val="00D63FA8"/>
    <w:rsid w:val="00DA1F70"/>
    <w:rsid w:val="00DC704C"/>
    <w:rsid w:val="00DE4303"/>
    <w:rsid w:val="00E41EE3"/>
    <w:rsid w:val="00E55F54"/>
    <w:rsid w:val="00E5751A"/>
    <w:rsid w:val="00E61ADF"/>
    <w:rsid w:val="00E820C4"/>
    <w:rsid w:val="00EA0368"/>
    <w:rsid w:val="00ED7C4E"/>
    <w:rsid w:val="00EE4960"/>
    <w:rsid w:val="00F32F6E"/>
    <w:rsid w:val="00F3748E"/>
    <w:rsid w:val="00F72D55"/>
    <w:rsid w:val="00F73C48"/>
    <w:rsid w:val="00FA3D22"/>
    <w:rsid w:val="00FA6330"/>
    <w:rsid w:val="00FB0E23"/>
    <w:rsid w:val="00FB19AC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3F3D"/>
  <w15:chartTrackingRefBased/>
  <w15:docId w15:val="{C6A1854B-A808-4BF9-9888-E5F62EC9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751A"/>
    <w:pPr>
      <w:keepNext/>
      <w:jc w:val="both"/>
      <w:outlineLvl w:val="0"/>
    </w:pPr>
    <w:rPr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9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751A"/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F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22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C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0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0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e57b752854d8ae552ece4c45a8fe0a55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EFEBA-726E-4238-8B3E-B782D0DD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FC842-1BB5-4A34-A907-6754764B7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YeeMingLee</dc:creator>
  <cp:keywords/>
  <dc:description/>
  <cp:lastModifiedBy>Sarah Jones</cp:lastModifiedBy>
  <cp:revision>2</cp:revision>
  <dcterms:created xsi:type="dcterms:W3CDTF">2022-04-08T09:48:00Z</dcterms:created>
  <dcterms:modified xsi:type="dcterms:W3CDTF">2022-04-08T09:48:00Z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