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ED0" w14:textId="24CA6303" w:rsidR="00A71AFC" w:rsidRDefault="00A71AFC">
      <w:pPr>
        <w:rPr>
          <w:sz w:val="24"/>
          <w:szCs w:val="24"/>
        </w:rPr>
      </w:pPr>
    </w:p>
    <w:p w14:paraId="50DDC9A5" w14:textId="381EB26B" w:rsidR="00B71131" w:rsidRDefault="00B71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Supplemental Methods</w:t>
      </w:r>
    </w:p>
    <w:p w14:paraId="0CAF7EA1" w14:textId="77777777" w:rsidR="00B71131" w:rsidRDefault="00B71131">
      <w:pPr>
        <w:rPr>
          <w:b/>
          <w:bCs/>
          <w:sz w:val="24"/>
          <w:szCs w:val="24"/>
        </w:rPr>
      </w:pPr>
    </w:p>
    <w:p w14:paraId="03452E94" w14:textId="64DEFE44" w:rsidR="00A71AFC" w:rsidRDefault="00A71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Sensitivity analysis 1: </w:t>
      </w:r>
      <w:r w:rsidR="00C8411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tatistical adjustment without inverse probability of treatment weighting</w:t>
      </w:r>
      <w:r w:rsidR="00E3230B">
        <w:rPr>
          <w:b/>
          <w:bCs/>
          <w:sz w:val="24"/>
          <w:szCs w:val="24"/>
        </w:rPr>
        <w:t xml:space="preserve"> (IPTW)</w:t>
      </w:r>
    </w:p>
    <w:p w14:paraId="12DA45AB" w14:textId="5AAF783A" w:rsidR="00A71AFC" w:rsidRDefault="00A71AFC">
      <w:pPr>
        <w:rPr>
          <w:sz w:val="24"/>
          <w:szCs w:val="24"/>
        </w:rPr>
      </w:pPr>
    </w:p>
    <w:p w14:paraId="39CDC1FB" w14:textId="6B4318DD" w:rsidR="00475776" w:rsidRDefault="00A71AF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96FC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first sensitivity analysis, we performed statistical adjustment on an unweighted population. </w:t>
      </w:r>
      <w:r w:rsidR="00E3230B">
        <w:rPr>
          <w:sz w:val="24"/>
          <w:szCs w:val="24"/>
        </w:rPr>
        <w:t>On the basis of these results</w:t>
      </w:r>
      <w:r w:rsidR="000B3C0B">
        <w:rPr>
          <w:sz w:val="24"/>
          <w:szCs w:val="24"/>
        </w:rPr>
        <w:t xml:space="preserve"> (Supplemental Table 1)</w:t>
      </w:r>
      <w:r w:rsidR="00E3230B">
        <w:rPr>
          <w:sz w:val="24"/>
          <w:szCs w:val="24"/>
        </w:rPr>
        <w:t>, we conclude</w:t>
      </w:r>
      <w:r w:rsidR="00C60816">
        <w:rPr>
          <w:sz w:val="24"/>
          <w:szCs w:val="24"/>
        </w:rPr>
        <w:t>d</w:t>
      </w:r>
      <w:r w:rsidR="00E3230B">
        <w:rPr>
          <w:sz w:val="24"/>
          <w:szCs w:val="24"/>
        </w:rPr>
        <w:t xml:space="preserve"> that our decision to perform double adjustment with IPTW as a primary analysis had minimal impact on the study results. </w:t>
      </w:r>
    </w:p>
    <w:p w14:paraId="4497AA86" w14:textId="77777777" w:rsidR="00475776" w:rsidRDefault="00475776">
      <w:pPr>
        <w:rPr>
          <w:sz w:val="24"/>
          <w:szCs w:val="24"/>
        </w:rPr>
      </w:pPr>
    </w:p>
    <w:p w14:paraId="15A1B43A" w14:textId="25979E11" w:rsidR="00E3230B" w:rsidRPr="00475776" w:rsidRDefault="00E323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Sensitivity analysis 2: Censoring patients in the practice </w:t>
      </w:r>
      <w:proofErr w:type="spellStart"/>
      <w:r>
        <w:rPr>
          <w:b/>
          <w:bCs/>
          <w:sz w:val="24"/>
          <w:szCs w:val="24"/>
        </w:rPr>
        <w:t>subanalysis</w:t>
      </w:r>
      <w:proofErr w:type="spellEnd"/>
      <w:r>
        <w:rPr>
          <w:b/>
          <w:bCs/>
          <w:sz w:val="24"/>
          <w:szCs w:val="24"/>
        </w:rPr>
        <w:t xml:space="preserve"> who initiate a therapy off-sequence</w:t>
      </w:r>
    </w:p>
    <w:p w14:paraId="7AA65A0E" w14:textId="5AD9C2E5" w:rsidR="00E3230B" w:rsidRDefault="00E3230B">
      <w:pPr>
        <w:rPr>
          <w:sz w:val="24"/>
          <w:szCs w:val="24"/>
        </w:rPr>
      </w:pPr>
    </w:p>
    <w:p w14:paraId="6F16B61D" w14:textId="2F9360A6" w:rsidR="00E3230B" w:rsidRPr="00E3230B" w:rsidRDefault="00E3230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96FC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second sensitivity analysis, we evaluated whether </w:t>
      </w:r>
      <w:r w:rsidR="0056143A">
        <w:rPr>
          <w:sz w:val="24"/>
          <w:szCs w:val="24"/>
        </w:rPr>
        <w:t xml:space="preserve">off-sequence therapy initiation impacted the results of our practice </w:t>
      </w:r>
      <w:proofErr w:type="spellStart"/>
      <w:r w:rsidR="0056143A">
        <w:rPr>
          <w:sz w:val="24"/>
          <w:szCs w:val="24"/>
        </w:rPr>
        <w:t>subanalysis</w:t>
      </w:r>
      <w:proofErr w:type="spellEnd"/>
      <w:r w:rsidR="0056143A">
        <w:rPr>
          <w:sz w:val="24"/>
          <w:szCs w:val="24"/>
        </w:rPr>
        <w:t>. “</w:t>
      </w:r>
      <w:r w:rsidR="00E10EAC">
        <w:rPr>
          <w:sz w:val="24"/>
          <w:szCs w:val="24"/>
        </w:rPr>
        <w:t>O</w:t>
      </w:r>
      <w:r w:rsidR="0056143A">
        <w:rPr>
          <w:sz w:val="24"/>
          <w:szCs w:val="24"/>
        </w:rPr>
        <w:t xml:space="preserve">ff-sequence”, </w:t>
      </w:r>
      <w:r w:rsidR="00E10EAC">
        <w:rPr>
          <w:sz w:val="24"/>
          <w:szCs w:val="24"/>
        </w:rPr>
        <w:t>referred to</w:t>
      </w:r>
      <w:r w:rsidR="0056143A">
        <w:rPr>
          <w:sz w:val="24"/>
          <w:szCs w:val="24"/>
        </w:rPr>
        <w:t xml:space="preserve"> a patient </w:t>
      </w:r>
      <w:r w:rsidR="00E10EAC">
        <w:rPr>
          <w:sz w:val="24"/>
          <w:szCs w:val="24"/>
        </w:rPr>
        <w:t xml:space="preserve">who </w:t>
      </w:r>
      <w:r w:rsidR="0056143A">
        <w:rPr>
          <w:sz w:val="24"/>
          <w:szCs w:val="24"/>
        </w:rPr>
        <w:t xml:space="preserve">did not receive their expected 2L drug, e.g., a presumed 1L TT – 2L </w:t>
      </w:r>
      <w:r w:rsidR="00D20C08">
        <w:rPr>
          <w:sz w:val="24"/>
          <w:szCs w:val="24"/>
        </w:rPr>
        <w:t>CPI</w:t>
      </w:r>
      <w:r w:rsidR="0056143A">
        <w:rPr>
          <w:sz w:val="24"/>
          <w:szCs w:val="24"/>
        </w:rPr>
        <w:t xml:space="preserve"> patient would be considered “off-sequence” if they received chemotherapy in 2L instead of </w:t>
      </w:r>
      <w:r w:rsidR="00D20C08">
        <w:rPr>
          <w:sz w:val="24"/>
          <w:szCs w:val="24"/>
        </w:rPr>
        <w:t>CPI</w:t>
      </w:r>
      <w:r w:rsidR="0056143A">
        <w:rPr>
          <w:sz w:val="24"/>
          <w:szCs w:val="24"/>
        </w:rPr>
        <w:t xml:space="preserve">. The hazard ratio </w:t>
      </w:r>
      <w:r w:rsidR="006D4E17">
        <w:rPr>
          <w:sz w:val="24"/>
          <w:szCs w:val="24"/>
        </w:rPr>
        <w:t xml:space="preserve">(HR) </w:t>
      </w:r>
      <w:r w:rsidR="0056143A">
        <w:rPr>
          <w:sz w:val="24"/>
          <w:szCs w:val="24"/>
        </w:rPr>
        <w:t>of our IPTW and fully-adjusted outcome model comparing 1L</w:t>
      </w:r>
      <w:r w:rsidR="00982392">
        <w:rPr>
          <w:sz w:val="24"/>
          <w:szCs w:val="24"/>
        </w:rPr>
        <w:t> </w:t>
      </w:r>
      <w:r w:rsidR="00D20C08">
        <w:rPr>
          <w:sz w:val="24"/>
          <w:szCs w:val="24"/>
        </w:rPr>
        <w:t>CPI</w:t>
      </w:r>
      <w:r w:rsidR="00982392">
        <w:rPr>
          <w:sz w:val="24"/>
          <w:szCs w:val="24"/>
        </w:rPr>
        <w:t> </w:t>
      </w:r>
      <w:r w:rsidR="0056143A">
        <w:rPr>
          <w:sz w:val="24"/>
          <w:szCs w:val="24"/>
        </w:rPr>
        <w:t xml:space="preserve">– 2L TT to a reference of 1L TT – 2L </w:t>
      </w:r>
      <w:r w:rsidR="00D20C08">
        <w:rPr>
          <w:sz w:val="24"/>
          <w:szCs w:val="24"/>
        </w:rPr>
        <w:t xml:space="preserve">CPI </w:t>
      </w:r>
      <w:r w:rsidR="0056143A">
        <w:rPr>
          <w:sz w:val="24"/>
          <w:szCs w:val="24"/>
        </w:rPr>
        <w:t xml:space="preserve">was </w:t>
      </w:r>
      <w:r w:rsidR="006D4E17">
        <w:rPr>
          <w:sz w:val="24"/>
          <w:szCs w:val="24"/>
        </w:rPr>
        <w:t>0.</w:t>
      </w:r>
      <w:r w:rsidR="006A2D45">
        <w:rPr>
          <w:sz w:val="24"/>
          <w:szCs w:val="24"/>
        </w:rPr>
        <w:t>86</w:t>
      </w:r>
      <w:r w:rsidR="006D4E17">
        <w:rPr>
          <w:sz w:val="24"/>
          <w:szCs w:val="24"/>
        </w:rPr>
        <w:t xml:space="preserve"> (95% confidence interval [CI] 0</w:t>
      </w:r>
      <w:r w:rsidR="006A2D45">
        <w:rPr>
          <w:sz w:val="24"/>
          <w:szCs w:val="24"/>
        </w:rPr>
        <w:t>.49</w:t>
      </w:r>
      <w:r w:rsidR="006D4E17">
        <w:rPr>
          <w:sz w:val="24"/>
          <w:szCs w:val="24"/>
        </w:rPr>
        <w:t xml:space="preserve">-1.51) in this sensitivity analysis, close to the primary analysis HR </w:t>
      </w:r>
      <w:r w:rsidR="006A2D45">
        <w:rPr>
          <w:sz w:val="24"/>
          <w:szCs w:val="24"/>
        </w:rPr>
        <w:t>o</w:t>
      </w:r>
      <w:r w:rsidR="006D4E17">
        <w:rPr>
          <w:sz w:val="24"/>
          <w:szCs w:val="24"/>
        </w:rPr>
        <w:t xml:space="preserve">f </w:t>
      </w:r>
      <w:r w:rsidR="009F5102">
        <w:rPr>
          <w:sz w:val="24"/>
          <w:szCs w:val="24"/>
        </w:rPr>
        <w:t>0.</w:t>
      </w:r>
      <w:r w:rsidR="00A435E6">
        <w:rPr>
          <w:sz w:val="24"/>
          <w:szCs w:val="24"/>
        </w:rPr>
        <w:t xml:space="preserve">90 </w:t>
      </w:r>
      <w:r w:rsidR="009F5102">
        <w:rPr>
          <w:sz w:val="24"/>
          <w:szCs w:val="24"/>
        </w:rPr>
        <w:t>(95% CI 0.</w:t>
      </w:r>
      <w:r w:rsidR="00A435E6">
        <w:rPr>
          <w:sz w:val="24"/>
          <w:szCs w:val="24"/>
        </w:rPr>
        <w:t>65</w:t>
      </w:r>
      <w:r w:rsidR="009F5102">
        <w:rPr>
          <w:sz w:val="24"/>
          <w:szCs w:val="24"/>
        </w:rPr>
        <w:t>-1.</w:t>
      </w:r>
      <w:r w:rsidR="00E868D5">
        <w:rPr>
          <w:sz w:val="24"/>
          <w:szCs w:val="24"/>
        </w:rPr>
        <w:t>26</w:t>
      </w:r>
      <w:r w:rsidR="009F5102">
        <w:rPr>
          <w:sz w:val="24"/>
          <w:szCs w:val="24"/>
        </w:rPr>
        <w:t>).</w:t>
      </w:r>
      <w:r w:rsidR="009A56CE">
        <w:rPr>
          <w:sz w:val="24"/>
          <w:szCs w:val="24"/>
        </w:rPr>
        <w:t xml:space="preserve"> We conclude that the design decision to keep off-sequence patients in our original analysis did have a major impact on our results.</w:t>
      </w:r>
    </w:p>
    <w:p w14:paraId="4564BC62" w14:textId="77777777" w:rsidR="00A71AFC" w:rsidRDefault="00A71AFC">
      <w:pPr>
        <w:rPr>
          <w:sz w:val="24"/>
          <w:szCs w:val="24"/>
        </w:rPr>
      </w:pPr>
    </w:p>
    <w:p w14:paraId="0C279D46" w14:textId="35088F1D" w:rsidR="00A71AFC" w:rsidRDefault="00A71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Sensitivity analysis </w:t>
      </w:r>
      <w:r w:rsidR="00C654E5">
        <w:rPr>
          <w:b/>
          <w:bCs/>
          <w:sz w:val="24"/>
          <w:szCs w:val="24"/>
        </w:rPr>
        <w:t>3: R</w:t>
      </w:r>
      <w:r>
        <w:rPr>
          <w:b/>
          <w:bCs/>
          <w:sz w:val="24"/>
          <w:szCs w:val="24"/>
        </w:rPr>
        <w:t>estricting to CPI patients receiving ipilimumab + nivolumab</w:t>
      </w:r>
    </w:p>
    <w:p w14:paraId="660DEAA2" w14:textId="77777777" w:rsidR="00C60816" w:rsidRDefault="00C60816">
      <w:pPr>
        <w:rPr>
          <w:sz w:val="24"/>
          <w:szCs w:val="24"/>
        </w:rPr>
      </w:pPr>
      <w:bookmarkStart w:id="0" w:name="_Hlk98245501"/>
    </w:p>
    <w:p w14:paraId="25F6A73C" w14:textId="73C3C49C" w:rsidR="0065383F" w:rsidRDefault="00C6081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Due to</w:t>
      </w:r>
      <w:r w:rsidR="00E84A51">
        <w:rPr>
          <w:sz w:val="24"/>
          <w:szCs w:val="24"/>
        </w:rPr>
        <w:t xml:space="preserve"> </w:t>
      </w:r>
      <w:r w:rsidR="00982392">
        <w:rPr>
          <w:sz w:val="24"/>
          <w:szCs w:val="24"/>
        </w:rPr>
        <w:t>potential</w:t>
      </w:r>
      <w:r w:rsidR="00E84A51">
        <w:rPr>
          <w:sz w:val="24"/>
          <w:szCs w:val="24"/>
        </w:rPr>
        <w:t xml:space="preserve"> difference</w:t>
      </w:r>
      <w:r w:rsidR="00E4792C">
        <w:rPr>
          <w:sz w:val="24"/>
          <w:szCs w:val="24"/>
        </w:rPr>
        <w:t>s</w:t>
      </w:r>
      <w:r w:rsidR="00E84A51">
        <w:rPr>
          <w:sz w:val="24"/>
          <w:szCs w:val="24"/>
        </w:rPr>
        <w:t xml:space="preserve"> in outcomes among </w:t>
      </w:r>
      <w:r w:rsidR="00696E4F">
        <w:rPr>
          <w:sz w:val="24"/>
          <w:szCs w:val="24"/>
        </w:rPr>
        <w:t xml:space="preserve">CPI </w:t>
      </w:r>
      <w:r w:rsidR="00B87A31">
        <w:rPr>
          <w:sz w:val="24"/>
          <w:szCs w:val="24"/>
        </w:rPr>
        <w:t>patients treated with dual anti-PD-1 and anti-CTLA-4 therapies compared to CPI patients treated with anti-PD-1 monotherapy, we conducted a third sensitivity analysis in or 1L study cohort in which the CPI population was limited to patients on ipilimumab/nivolumab</w:t>
      </w:r>
      <w:r w:rsidR="000B3C0B">
        <w:rPr>
          <w:sz w:val="24"/>
          <w:szCs w:val="24"/>
        </w:rPr>
        <w:t xml:space="preserve">. As reported in the main text, the results of this sensitivity analysis were qualitatively </w:t>
      </w:r>
      <w:proofErr w:type="gramStart"/>
      <w:r w:rsidR="000B3C0B">
        <w:rPr>
          <w:sz w:val="24"/>
          <w:szCs w:val="24"/>
        </w:rPr>
        <w:t>similar to</w:t>
      </w:r>
      <w:proofErr w:type="gramEnd"/>
      <w:r w:rsidR="000B3C0B">
        <w:rPr>
          <w:sz w:val="24"/>
          <w:szCs w:val="24"/>
        </w:rPr>
        <w:t xml:space="preserve"> those of our primary analysis (Supplemental Table 2, Supplemental Figures 1</w:t>
      </w:r>
      <w:r w:rsidR="00A96706">
        <w:rPr>
          <w:sz w:val="24"/>
          <w:szCs w:val="24"/>
        </w:rPr>
        <w:t xml:space="preserve"> and </w:t>
      </w:r>
      <w:r w:rsidR="000B3C0B">
        <w:rPr>
          <w:sz w:val="24"/>
          <w:szCs w:val="24"/>
        </w:rPr>
        <w:t>2)</w:t>
      </w:r>
      <w:r w:rsidR="00B87A31">
        <w:rPr>
          <w:sz w:val="24"/>
          <w:szCs w:val="24"/>
        </w:rPr>
        <w:t xml:space="preserve">. </w:t>
      </w:r>
      <w:bookmarkEnd w:id="0"/>
    </w:p>
    <w:p w14:paraId="42684E17" w14:textId="77777777" w:rsidR="00FE401B" w:rsidRDefault="00FE401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C2A7EE6" w14:textId="08AF2698" w:rsidR="00C45068" w:rsidRDefault="00C450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Supplemental Tables</w:t>
      </w:r>
    </w:p>
    <w:p w14:paraId="410B5FF9" w14:textId="77777777" w:rsidR="00C45068" w:rsidRDefault="00C45068">
      <w:pPr>
        <w:rPr>
          <w:b/>
          <w:bCs/>
          <w:sz w:val="24"/>
          <w:szCs w:val="24"/>
        </w:rPr>
      </w:pPr>
    </w:p>
    <w:p w14:paraId="6F0B3916" w14:textId="643A6CFE" w:rsidR="00475776" w:rsidRDefault="0047577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Table 1. </w:t>
      </w:r>
      <w:r w:rsidRPr="00475776">
        <w:rPr>
          <w:sz w:val="24"/>
          <w:szCs w:val="24"/>
        </w:rPr>
        <w:t xml:space="preserve">Comparison </w:t>
      </w:r>
      <w:r>
        <w:rPr>
          <w:sz w:val="24"/>
          <w:szCs w:val="24"/>
        </w:rPr>
        <w:t xml:space="preserve">of </w:t>
      </w:r>
      <w:r w:rsidRPr="00475776">
        <w:rPr>
          <w:sz w:val="24"/>
          <w:szCs w:val="24"/>
        </w:rPr>
        <w:t>statistical adjustment</w:t>
      </w:r>
      <w:r w:rsidR="00640401">
        <w:rPr>
          <w:sz w:val="24"/>
          <w:szCs w:val="24"/>
        </w:rPr>
        <w:t>s</w:t>
      </w:r>
      <w:r>
        <w:rPr>
          <w:sz w:val="24"/>
          <w:szCs w:val="24"/>
        </w:rPr>
        <w:t xml:space="preserve"> with and</w:t>
      </w:r>
      <w:r w:rsidRPr="00475776">
        <w:rPr>
          <w:sz w:val="24"/>
          <w:szCs w:val="24"/>
        </w:rPr>
        <w:t xml:space="preserve"> without inverse probability of treatment weighting (IPTW)</w:t>
      </w:r>
      <w:r>
        <w:rPr>
          <w:sz w:val="24"/>
          <w:szCs w:val="24"/>
        </w:rPr>
        <w:t>.</w:t>
      </w:r>
    </w:p>
    <w:p w14:paraId="5932C3AC" w14:textId="77777777" w:rsidR="00475776" w:rsidRDefault="00475776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5776" w14:paraId="5482A5C7" w14:textId="77777777" w:rsidTr="00511948"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B897A40" w14:textId="77777777" w:rsidR="00475776" w:rsidRPr="00330B09" w:rsidRDefault="00475776" w:rsidP="0051194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13" w:type="dxa"/>
            <w:gridSpan w:val="3"/>
          </w:tcPr>
          <w:p w14:paraId="342397C8" w14:textId="4AF28433" w:rsidR="00475776" w:rsidRPr="00330B09" w:rsidRDefault="00475776" w:rsidP="00511948">
            <w:pPr>
              <w:tabs>
                <w:tab w:val="left" w:pos="285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330B09">
              <w:rPr>
                <w:b/>
                <w:bCs/>
                <w:sz w:val="21"/>
                <w:szCs w:val="21"/>
              </w:rPr>
              <w:t xml:space="preserve">Hazard ratio (95 % confidence </w:t>
            </w:r>
            <w:proofErr w:type="gramStart"/>
            <w:r w:rsidRPr="00330B09">
              <w:rPr>
                <w:b/>
                <w:bCs/>
                <w:sz w:val="21"/>
                <w:szCs w:val="21"/>
              </w:rPr>
              <w:t>interval</w:t>
            </w:r>
            <w:r w:rsidR="00BF477B" w:rsidRPr="00330B09">
              <w:rPr>
                <w:b/>
                <w:bCs/>
                <w:sz w:val="21"/>
                <w:szCs w:val="21"/>
              </w:rPr>
              <w:t>)</w:t>
            </w:r>
            <w:r w:rsidR="00BF477B" w:rsidRPr="00BF477B">
              <w:rPr>
                <w:b/>
                <w:bCs/>
                <w:sz w:val="21"/>
                <w:szCs w:val="21"/>
                <w:vertAlign w:val="superscript"/>
              </w:rPr>
              <w:t>a</w:t>
            </w:r>
            <w:proofErr w:type="gramEnd"/>
          </w:p>
        </w:tc>
      </w:tr>
      <w:tr w:rsidR="00475776" w14:paraId="1BECEC38" w14:textId="77777777" w:rsidTr="00511948">
        <w:tc>
          <w:tcPr>
            <w:tcW w:w="2337" w:type="dxa"/>
            <w:vAlign w:val="center"/>
          </w:tcPr>
          <w:p w14:paraId="331EA021" w14:textId="77777777" w:rsidR="00475776" w:rsidRPr="00330B09" w:rsidRDefault="00475776" w:rsidP="00511948">
            <w:pPr>
              <w:jc w:val="center"/>
              <w:rPr>
                <w:b/>
                <w:bCs/>
                <w:sz w:val="21"/>
                <w:szCs w:val="21"/>
              </w:rPr>
            </w:pPr>
            <w:r w:rsidRPr="00330B09">
              <w:rPr>
                <w:b/>
                <w:bCs/>
                <w:sz w:val="21"/>
                <w:szCs w:val="21"/>
              </w:rPr>
              <w:t>Analysis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38F1EDDA" w14:textId="77777777" w:rsidR="00475776" w:rsidRPr="00330B09" w:rsidRDefault="00475776" w:rsidP="00511948">
            <w:pPr>
              <w:jc w:val="center"/>
              <w:rPr>
                <w:b/>
                <w:bCs/>
                <w:sz w:val="21"/>
                <w:szCs w:val="21"/>
              </w:rPr>
            </w:pPr>
            <w:r w:rsidRPr="00330B09">
              <w:rPr>
                <w:b/>
                <w:bCs/>
                <w:sz w:val="21"/>
                <w:szCs w:val="21"/>
              </w:rPr>
              <w:t>1L CPI vs TT</w:t>
            </w:r>
          </w:p>
        </w:tc>
        <w:tc>
          <w:tcPr>
            <w:tcW w:w="2338" w:type="dxa"/>
            <w:vAlign w:val="center"/>
          </w:tcPr>
          <w:p w14:paraId="343E9232" w14:textId="77777777" w:rsidR="00475776" w:rsidRPr="00330B09" w:rsidRDefault="00475776" w:rsidP="00511948">
            <w:pPr>
              <w:jc w:val="center"/>
              <w:rPr>
                <w:b/>
                <w:bCs/>
                <w:sz w:val="21"/>
                <w:szCs w:val="21"/>
              </w:rPr>
            </w:pPr>
            <w:r w:rsidRPr="00330B09">
              <w:rPr>
                <w:b/>
                <w:bCs/>
                <w:sz w:val="21"/>
                <w:szCs w:val="21"/>
              </w:rPr>
              <w:t>2L CPI vs TT</w:t>
            </w:r>
          </w:p>
        </w:tc>
        <w:tc>
          <w:tcPr>
            <w:tcW w:w="2338" w:type="dxa"/>
            <w:vAlign w:val="center"/>
          </w:tcPr>
          <w:p w14:paraId="5F7B6560" w14:textId="77777777" w:rsidR="00475776" w:rsidRPr="00330B09" w:rsidRDefault="00475776" w:rsidP="00511948">
            <w:pPr>
              <w:jc w:val="center"/>
              <w:rPr>
                <w:b/>
                <w:bCs/>
                <w:sz w:val="21"/>
                <w:szCs w:val="21"/>
              </w:rPr>
            </w:pPr>
            <w:r w:rsidRPr="00330B09">
              <w:rPr>
                <w:b/>
                <w:bCs/>
                <w:sz w:val="21"/>
                <w:szCs w:val="21"/>
              </w:rPr>
              <w:t xml:space="preserve">Practice </w:t>
            </w:r>
            <w:proofErr w:type="spellStart"/>
            <w:r w:rsidRPr="00330B09">
              <w:rPr>
                <w:b/>
                <w:bCs/>
                <w:sz w:val="21"/>
                <w:szCs w:val="21"/>
              </w:rPr>
              <w:t>subanalysis</w:t>
            </w:r>
            <w:proofErr w:type="spellEnd"/>
          </w:p>
        </w:tc>
      </w:tr>
      <w:tr w:rsidR="00475776" w14:paraId="05F47B0F" w14:textId="77777777" w:rsidTr="00511948">
        <w:tc>
          <w:tcPr>
            <w:tcW w:w="2337" w:type="dxa"/>
            <w:vAlign w:val="center"/>
          </w:tcPr>
          <w:p w14:paraId="6B2ED9BD" w14:textId="77777777" w:rsidR="00475776" w:rsidRPr="00330B09" w:rsidRDefault="00475776" w:rsidP="005119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IPTW weighted and adjusted</w:t>
            </w:r>
          </w:p>
        </w:tc>
        <w:tc>
          <w:tcPr>
            <w:tcW w:w="2337" w:type="dxa"/>
            <w:vAlign w:val="center"/>
          </w:tcPr>
          <w:p w14:paraId="7F6406BE" w14:textId="11510E2B" w:rsidR="00475776" w:rsidRPr="00475776" w:rsidRDefault="00475776" w:rsidP="00511948">
            <w:pPr>
              <w:jc w:val="center"/>
              <w:rPr>
                <w:sz w:val="21"/>
                <w:szCs w:val="21"/>
              </w:rPr>
            </w:pPr>
            <w:r w:rsidRPr="00475776">
              <w:rPr>
                <w:sz w:val="21"/>
                <w:szCs w:val="21"/>
              </w:rPr>
              <w:t>0.75 (0.66-0.87)</w:t>
            </w:r>
          </w:p>
        </w:tc>
        <w:tc>
          <w:tcPr>
            <w:tcW w:w="2338" w:type="dxa"/>
            <w:vAlign w:val="center"/>
          </w:tcPr>
          <w:p w14:paraId="3B639432" w14:textId="299EA727" w:rsidR="00475776" w:rsidRPr="00475776" w:rsidRDefault="000F10D9" w:rsidP="00511948">
            <w:pPr>
              <w:jc w:val="center"/>
              <w:rPr>
                <w:sz w:val="21"/>
                <w:szCs w:val="21"/>
              </w:rPr>
            </w:pPr>
            <w:r w:rsidRPr="000F10D9">
              <w:rPr>
                <w:sz w:val="21"/>
                <w:szCs w:val="21"/>
              </w:rPr>
              <w:t>1.19 (0.92-1.54)</w:t>
            </w:r>
          </w:p>
        </w:tc>
        <w:tc>
          <w:tcPr>
            <w:tcW w:w="2338" w:type="dxa"/>
            <w:vAlign w:val="center"/>
          </w:tcPr>
          <w:p w14:paraId="76390EAA" w14:textId="69AA30A0" w:rsidR="00475776" w:rsidRPr="00475776" w:rsidRDefault="00475776" w:rsidP="00511948">
            <w:pPr>
              <w:jc w:val="center"/>
              <w:rPr>
                <w:sz w:val="21"/>
                <w:szCs w:val="21"/>
              </w:rPr>
            </w:pPr>
            <w:r w:rsidRPr="00475776">
              <w:rPr>
                <w:sz w:val="21"/>
                <w:szCs w:val="21"/>
              </w:rPr>
              <w:t>0.9</w:t>
            </w:r>
            <w:r w:rsidR="00AF4717">
              <w:rPr>
                <w:sz w:val="21"/>
                <w:szCs w:val="21"/>
              </w:rPr>
              <w:t>0</w:t>
            </w:r>
            <w:r w:rsidRPr="00475776">
              <w:rPr>
                <w:sz w:val="21"/>
                <w:szCs w:val="21"/>
              </w:rPr>
              <w:t xml:space="preserve"> (0.</w:t>
            </w:r>
            <w:r w:rsidR="00AF4717">
              <w:rPr>
                <w:sz w:val="21"/>
                <w:szCs w:val="21"/>
              </w:rPr>
              <w:t>65</w:t>
            </w:r>
            <w:r w:rsidR="00082C7E">
              <w:rPr>
                <w:sz w:val="21"/>
                <w:szCs w:val="21"/>
              </w:rPr>
              <w:t>-</w:t>
            </w:r>
            <w:r w:rsidRPr="00475776">
              <w:rPr>
                <w:sz w:val="21"/>
                <w:szCs w:val="21"/>
              </w:rPr>
              <w:t>1.</w:t>
            </w:r>
            <w:r w:rsidR="00AF4717">
              <w:rPr>
                <w:sz w:val="21"/>
                <w:szCs w:val="21"/>
              </w:rPr>
              <w:t>26</w:t>
            </w:r>
            <w:r w:rsidRPr="00475776">
              <w:rPr>
                <w:sz w:val="21"/>
                <w:szCs w:val="21"/>
              </w:rPr>
              <w:t>)</w:t>
            </w:r>
          </w:p>
        </w:tc>
      </w:tr>
      <w:tr w:rsidR="00475776" w14:paraId="623EF8D9" w14:textId="77777777" w:rsidTr="000F10D9">
        <w:trPr>
          <w:trHeight w:val="637"/>
        </w:trPr>
        <w:tc>
          <w:tcPr>
            <w:tcW w:w="2337" w:type="dxa"/>
            <w:vAlign w:val="center"/>
          </w:tcPr>
          <w:p w14:paraId="0F21A620" w14:textId="77777777" w:rsidR="00475776" w:rsidRPr="00330B09" w:rsidRDefault="00475776" w:rsidP="005119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Adjusted only</w:t>
            </w:r>
          </w:p>
        </w:tc>
        <w:tc>
          <w:tcPr>
            <w:tcW w:w="2337" w:type="dxa"/>
            <w:vAlign w:val="center"/>
          </w:tcPr>
          <w:p w14:paraId="18EECB88" w14:textId="77777777" w:rsidR="00475776" w:rsidRPr="00475776" w:rsidRDefault="00475776" w:rsidP="00511948">
            <w:pPr>
              <w:jc w:val="center"/>
              <w:rPr>
                <w:sz w:val="21"/>
                <w:szCs w:val="21"/>
              </w:rPr>
            </w:pPr>
            <w:r w:rsidRPr="00475776">
              <w:rPr>
                <w:sz w:val="21"/>
                <w:szCs w:val="21"/>
              </w:rPr>
              <w:t>0.77 (0.62-0.95)</w:t>
            </w:r>
          </w:p>
        </w:tc>
        <w:tc>
          <w:tcPr>
            <w:tcW w:w="2338" w:type="dxa"/>
            <w:vAlign w:val="center"/>
          </w:tcPr>
          <w:p w14:paraId="1C02D2D6" w14:textId="77777777" w:rsidR="00475776" w:rsidRPr="00475776" w:rsidRDefault="00475776" w:rsidP="00511948">
            <w:pPr>
              <w:jc w:val="center"/>
              <w:rPr>
                <w:sz w:val="21"/>
                <w:szCs w:val="21"/>
              </w:rPr>
            </w:pPr>
            <w:r w:rsidRPr="00475776">
              <w:rPr>
                <w:sz w:val="21"/>
                <w:szCs w:val="21"/>
              </w:rPr>
              <w:t>1.14 (0.71-1.83)</w:t>
            </w:r>
          </w:p>
        </w:tc>
        <w:tc>
          <w:tcPr>
            <w:tcW w:w="2338" w:type="dxa"/>
            <w:vAlign w:val="center"/>
          </w:tcPr>
          <w:p w14:paraId="335F1896" w14:textId="77777777" w:rsidR="00475776" w:rsidRPr="00475776" w:rsidRDefault="00475776" w:rsidP="00511948">
            <w:pPr>
              <w:jc w:val="center"/>
              <w:rPr>
                <w:sz w:val="21"/>
                <w:szCs w:val="21"/>
              </w:rPr>
            </w:pPr>
            <w:r w:rsidRPr="00475776">
              <w:rPr>
                <w:sz w:val="21"/>
                <w:szCs w:val="21"/>
              </w:rPr>
              <w:t>0.97 (0.57-1.67)</w:t>
            </w:r>
          </w:p>
        </w:tc>
      </w:tr>
    </w:tbl>
    <w:p w14:paraId="3A0E1290" w14:textId="77777777" w:rsidR="00735F15" w:rsidRDefault="00735F15" w:rsidP="00475776">
      <w:pPr>
        <w:rPr>
          <w:sz w:val="20"/>
          <w:szCs w:val="20"/>
        </w:rPr>
      </w:pPr>
      <w:r>
        <w:rPr>
          <w:sz w:val="20"/>
          <w:szCs w:val="20"/>
        </w:rPr>
        <w:t>Abbreviations: 1L, first-line; 2L, second-line; CPI, checkpoint inhibitors; TT, targeted therapies.</w:t>
      </w:r>
    </w:p>
    <w:p w14:paraId="16B3B760" w14:textId="6F5F6762" w:rsidR="00475776" w:rsidRPr="00330B09" w:rsidRDefault="00BF477B" w:rsidP="00475776">
      <w:pPr>
        <w:rPr>
          <w:sz w:val="20"/>
          <w:szCs w:val="20"/>
        </w:rPr>
      </w:pPr>
      <w:r w:rsidRPr="00BF477B">
        <w:rPr>
          <w:sz w:val="20"/>
          <w:szCs w:val="20"/>
          <w:vertAlign w:val="superscript"/>
        </w:rPr>
        <w:t>a</w:t>
      </w:r>
      <w:r w:rsidRPr="00330B09">
        <w:rPr>
          <w:sz w:val="20"/>
          <w:szCs w:val="20"/>
        </w:rPr>
        <w:t xml:space="preserve"> </w:t>
      </w:r>
      <w:proofErr w:type="gramStart"/>
      <w:r w:rsidR="00475776" w:rsidRPr="00330B09">
        <w:rPr>
          <w:sz w:val="20"/>
          <w:szCs w:val="20"/>
        </w:rPr>
        <w:t>Hazard ratios</w:t>
      </w:r>
      <w:proofErr w:type="gramEnd"/>
      <w:r w:rsidR="00475776" w:rsidRPr="00330B09">
        <w:rPr>
          <w:sz w:val="20"/>
          <w:szCs w:val="20"/>
        </w:rPr>
        <w:t xml:space="preserve"> refer to the effect of checkpoint inhibitors with targeted therapy as the reference value</w:t>
      </w:r>
    </w:p>
    <w:p w14:paraId="7A1BEE78" w14:textId="1C99F402" w:rsidR="00475776" w:rsidRDefault="0047577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FA5D465" w14:textId="094012BF" w:rsidR="00E35285" w:rsidRPr="00E35285" w:rsidRDefault="004F3A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Supplemental </w:t>
      </w:r>
      <w:r w:rsidR="00E35285" w:rsidRPr="00E35285">
        <w:rPr>
          <w:b/>
          <w:bCs/>
          <w:sz w:val="24"/>
          <w:szCs w:val="24"/>
        </w:rPr>
        <w:t xml:space="preserve">Table </w:t>
      </w:r>
      <w:r w:rsidR="00475776">
        <w:rPr>
          <w:b/>
          <w:bCs/>
          <w:sz w:val="24"/>
          <w:szCs w:val="24"/>
        </w:rPr>
        <w:t>2</w:t>
      </w:r>
      <w:r w:rsidR="00C45068">
        <w:rPr>
          <w:b/>
          <w:bCs/>
          <w:sz w:val="24"/>
          <w:szCs w:val="24"/>
        </w:rPr>
        <w:t xml:space="preserve">. </w:t>
      </w:r>
      <w:r w:rsidR="00C45068">
        <w:rPr>
          <w:sz w:val="24"/>
          <w:szCs w:val="24"/>
        </w:rPr>
        <w:t xml:space="preserve">Baseline Characteristics of Patients With Advanced </w:t>
      </w:r>
      <w:r w:rsidR="00C45068">
        <w:rPr>
          <w:i/>
          <w:sz w:val="24"/>
          <w:szCs w:val="24"/>
        </w:rPr>
        <w:t>BRAF-</w:t>
      </w:r>
      <w:r w:rsidR="00C45068">
        <w:rPr>
          <w:sz w:val="24"/>
          <w:szCs w:val="24"/>
        </w:rPr>
        <w:t>Mt Melanoma by 1L Treatment</w:t>
      </w:r>
    </w:p>
    <w:tbl>
      <w:tblPr>
        <w:tblW w:w="10184" w:type="dxa"/>
        <w:tblLayout w:type="fixed"/>
        <w:tblLook w:val="0400" w:firstRow="0" w:lastRow="0" w:firstColumn="0" w:lastColumn="0" w:noHBand="0" w:noVBand="1"/>
      </w:tblPr>
      <w:tblGrid>
        <w:gridCol w:w="3818"/>
        <w:gridCol w:w="2419"/>
        <w:gridCol w:w="2304"/>
        <w:gridCol w:w="1643"/>
      </w:tblGrid>
      <w:tr w:rsidR="00A71AFC" w14:paraId="5C79A9AA" w14:textId="77777777" w:rsidTr="00C45068">
        <w:trPr>
          <w:trHeight w:val="4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27FA5" w14:textId="77777777" w:rsidR="00A71AFC" w:rsidRDefault="00A71AFC" w:rsidP="0068399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A87A985" w14:textId="0C27AC2E" w:rsidR="00A71AFC" w:rsidRDefault="001C4058" w:rsidP="00683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Ipilimumab/</w:t>
            </w:r>
            <w:r w:rsidR="00E35285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nivolumab</w:t>
            </w:r>
          </w:p>
          <w:p w14:paraId="317F1F38" w14:textId="756D042B" w:rsidR="00A71AFC" w:rsidRDefault="00A71AFC" w:rsidP="00683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(n = </w:t>
            </w:r>
            <w:r w:rsidR="00E35285">
              <w:rPr>
                <w:b/>
                <w:color w:val="000000"/>
              </w:rPr>
              <w:t>278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DD8141" w14:textId="77777777" w:rsidR="00A71AFC" w:rsidRDefault="00A71AFC" w:rsidP="00683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TT</w:t>
            </w:r>
          </w:p>
          <w:p w14:paraId="70B4999D" w14:textId="2E4A1531" w:rsidR="00A71AFC" w:rsidRDefault="00A71AFC" w:rsidP="00683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(n = </w:t>
            </w:r>
            <w:r w:rsidR="00E35285">
              <w:rPr>
                <w:b/>
                <w:color w:val="000000"/>
              </w:rPr>
              <w:t>357</w:t>
            </w:r>
            <w:r>
              <w:rPr>
                <w:b/>
                <w:color w:val="000000"/>
              </w:rPr>
              <w:t xml:space="preserve">)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B7617BE" w14:textId="77777777" w:rsidR="00A71AFC" w:rsidRDefault="00A71AFC" w:rsidP="0068399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i/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 Value</w:t>
            </w:r>
          </w:p>
        </w:tc>
      </w:tr>
      <w:tr w:rsidR="00A71AFC" w14:paraId="488793D7" w14:textId="77777777" w:rsidTr="00C45068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ED033" w14:textId="77777777" w:rsidR="00A71AFC" w:rsidRDefault="00A71AFC" w:rsidP="00683995">
            <w:pPr>
              <w:spacing w:line="480" w:lineRule="auto"/>
            </w:pPr>
            <w:r>
              <w:rPr>
                <w:b/>
                <w:color w:val="000000"/>
              </w:rPr>
              <w:t>Age at diagnosis,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360E84" w14:textId="77777777" w:rsidR="00A71AFC" w:rsidRDefault="00A71AFC" w:rsidP="00683995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7BD90" w14:textId="77777777" w:rsidR="00A71AFC" w:rsidRDefault="00A71AFC" w:rsidP="00683995">
            <w:pPr>
              <w:spacing w:line="480" w:lineRule="auto"/>
              <w:jc w:val="center"/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00E77" w14:textId="77777777" w:rsidR="00A71AFC" w:rsidRDefault="00A71AFC" w:rsidP="00683995">
            <w:pPr>
              <w:spacing w:line="480" w:lineRule="auto"/>
              <w:jc w:val="center"/>
            </w:pPr>
          </w:p>
        </w:tc>
      </w:tr>
      <w:tr w:rsidR="00E35285" w14:paraId="6D90E922" w14:textId="77777777" w:rsidTr="00C45068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F8A2E" w14:textId="77777777" w:rsidR="00E35285" w:rsidRDefault="00E35285" w:rsidP="00E35285">
            <w:pPr>
              <w:spacing w:line="480" w:lineRule="auto"/>
              <w:ind w:left="113"/>
              <w:rPr>
                <w:b/>
                <w:color w:val="000000"/>
              </w:rPr>
            </w:pPr>
            <w:r>
              <w:rPr>
                <w:color w:val="000000"/>
              </w:rPr>
              <w:t>&lt; 65 years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A4CFD7" w14:textId="14B99922" w:rsidR="00E35285" w:rsidRPr="008101D0" w:rsidRDefault="00E35285" w:rsidP="00D00D3B">
            <w:pPr>
              <w:spacing w:line="480" w:lineRule="auto"/>
              <w:jc w:val="center"/>
            </w:pPr>
            <w:r w:rsidRPr="008101D0">
              <w:rPr>
                <w:color w:val="000000"/>
              </w:rPr>
              <w:t>181 (65.1)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C64FBD" w14:textId="07D2526C" w:rsidR="00E35285" w:rsidRPr="008101D0" w:rsidRDefault="00E35285" w:rsidP="00D00D3B">
            <w:pPr>
              <w:spacing w:line="480" w:lineRule="auto"/>
              <w:jc w:val="center"/>
            </w:pPr>
            <w:r w:rsidRPr="008101D0">
              <w:rPr>
                <w:color w:val="000000"/>
              </w:rPr>
              <w:t>208 (58.3)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DB6F6" w14:textId="7D9CDC0D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.094</w:t>
            </w:r>
          </w:p>
        </w:tc>
      </w:tr>
      <w:tr w:rsidR="00A71AFC" w14:paraId="309511F2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C186" w14:textId="77777777" w:rsidR="00A71AFC" w:rsidRDefault="00A71AFC" w:rsidP="00FE401B">
            <w:pPr>
              <w:spacing w:line="480" w:lineRule="auto"/>
            </w:pPr>
            <w:r>
              <w:rPr>
                <w:b/>
                <w:color w:val="000000"/>
              </w:rPr>
              <w:t>Sex,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91B66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D23A5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D5A10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</w:tr>
      <w:tr w:rsidR="00E35285" w14:paraId="50A4A406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E4DC0" w14:textId="77777777" w:rsidR="00E35285" w:rsidRDefault="00E35285" w:rsidP="00FE401B">
            <w:pPr>
              <w:spacing w:line="480" w:lineRule="auto"/>
              <w:ind w:left="113"/>
              <w:rPr>
                <w:b/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99A9D" w14:textId="2C87DF7D" w:rsidR="00E35285" w:rsidRPr="008101D0" w:rsidRDefault="00E35285" w:rsidP="00D00D3B">
            <w:pPr>
              <w:spacing w:line="480" w:lineRule="auto"/>
              <w:jc w:val="center"/>
            </w:pPr>
            <w:r w:rsidRPr="008101D0">
              <w:rPr>
                <w:color w:val="000000"/>
              </w:rPr>
              <w:t>203 (73.0)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8D470A" w14:textId="4AF09897" w:rsidR="00E35285" w:rsidRPr="008101D0" w:rsidRDefault="00E35285" w:rsidP="00D00D3B">
            <w:pPr>
              <w:spacing w:line="480" w:lineRule="auto"/>
              <w:jc w:val="center"/>
            </w:pPr>
            <w:r w:rsidRPr="008101D0">
              <w:rPr>
                <w:color w:val="000000"/>
              </w:rPr>
              <w:t>231 (64.7)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B017C" w14:textId="6171AFCD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.026</w:t>
            </w:r>
          </w:p>
        </w:tc>
      </w:tr>
      <w:tr w:rsidR="00A71AFC" w14:paraId="72E04A04" w14:textId="77777777" w:rsidTr="00FE401B">
        <w:trPr>
          <w:trHeight w:val="49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559F0" w14:textId="77777777" w:rsidR="00A71AFC" w:rsidRDefault="00A71AFC" w:rsidP="00FE401B">
            <w:pPr>
              <w:spacing w:line="480" w:lineRule="auto"/>
            </w:pPr>
            <w:r>
              <w:rPr>
                <w:b/>
                <w:color w:val="000000"/>
              </w:rPr>
              <w:t>Region,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82B46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7E30E329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787B8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4E6E6001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65EF1C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109302D4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</w:tr>
      <w:tr w:rsidR="00E35285" w14:paraId="79170C03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8474D7" w14:textId="77777777" w:rsidR="00E35285" w:rsidRDefault="00E35285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Midwest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31978" w14:textId="29CA4858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33 (11.9)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7507BB" w14:textId="2B207B5A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68 (19.0)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66395" w14:textId="0BA98CE0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.001</w:t>
            </w:r>
          </w:p>
        </w:tc>
      </w:tr>
      <w:tr w:rsidR="00E35285" w14:paraId="65C696F4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34DAD6" w14:textId="77777777" w:rsidR="00E35285" w:rsidRDefault="00E35285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Northeast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BBEE13" w14:textId="793085A7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37 (13.3)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940CC" w14:textId="513FF6ED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20 (5.6)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27892E" w14:textId="77777777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E35285" w14:paraId="624CAA0B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9A088D" w14:textId="77777777" w:rsidR="00E35285" w:rsidRDefault="00E35285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South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6D101" w14:textId="3AD93028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121 (43.5)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CCEDA7" w14:textId="1A08958A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150 (42.0)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C5F4C9" w14:textId="77777777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E35285" w14:paraId="6150BC49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45ED5" w14:textId="77777777" w:rsidR="00E35285" w:rsidRDefault="00E35285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West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56EE5E" w14:textId="5F006E78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47 (16.9)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034F95" w14:textId="047B077D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77 (21.6)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10F340" w14:textId="77777777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E35285" w14:paraId="6C759435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414DB" w14:textId="77777777" w:rsidR="00E35285" w:rsidRDefault="00E35285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Unknown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11BAE" w14:textId="3426CED1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40 (14.4)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FC172" w14:textId="5011F14F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42 (11.8)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D0715" w14:textId="77777777" w:rsidR="00E35285" w:rsidRPr="008101D0" w:rsidRDefault="00E35285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A71AFC" w14:paraId="2AB7E5E3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39E73" w14:textId="77777777" w:rsidR="00A71AFC" w:rsidRDefault="00A71AFC" w:rsidP="00FE401B">
            <w:pPr>
              <w:spacing w:line="480" w:lineRule="auto"/>
            </w:pPr>
            <w:r>
              <w:rPr>
                <w:b/>
                <w:color w:val="000000"/>
              </w:rPr>
              <w:t>Practice type,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2A2E0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364F6A61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B0E095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5FA489B2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35C23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213288D4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</w:tr>
      <w:tr w:rsidR="006A511F" w14:paraId="51208CCF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FB0A22" w14:textId="77777777" w:rsidR="006A511F" w:rsidRDefault="006A511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Academic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09DEF" w14:textId="6C90DCF7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37 (13.3)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79CBD" w14:textId="38282CEC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34 (9.5)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4BA00" w14:textId="594EB670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.162</w:t>
            </w:r>
          </w:p>
        </w:tc>
      </w:tr>
      <w:tr w:rsidR="006A511F" w14:paraId="21178541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C6AFF2" w14:textId="77777777" w:rsidR="006A511F" w:rsidRDefault="006A511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Community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58D372" w14:textId="38AEF660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241 (86.7)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491E8" w14:textId="3590748D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323 (90.5)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4E54C9" w14:textId="77777777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A71AFC" w14:paraId="4796C458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FC71D" w14:textId="77777777" w:rsidR="00A71AFC" w:rsidRDefault="00A71AFC" w:rsidP="00FE401B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of initial diagnosis,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6555C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7FE5A29A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BFBA3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26116246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3EAE7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3F8760BB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3D4BB7" w14:paraId="143FAC63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738B6" w14:textId="77777777" w:rsidR="003D4BB7" w:rsidRDefault="003D4BB7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>Before 2010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4788AB" w14:textId="07EB9CC9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31 (11.2)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2C6FD" w14:textId="61B90EAE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44 (12.3)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A89A99" w14:textId="5A6C2A70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.489</w:t>
            </w:r>
          </w:p>
        </w:tc>
      </w:tr>
      <w:tr w:rsidR="003D4BB7" w14:paraId="266C7445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50C68" w14:textId="77777777" w:rsidR="003D4BB7" w:rsidRDefault="003D4BB7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2010-2014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9E5B2" w14:textId="0CFCC4A3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51 (18.3)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DB76E" w14:textId="0606968B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77 (21.6)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2C1AA" w14:textId="77777777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3D4BB7" w14:paraId="4F015D10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548EB" w14:textId="77777777" w:rsidR="003D4BB7" w:rsidRDefault="003D4BB7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B2EA6" w14:textId="75115392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196 (70.5)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95086" w14:textId="44C15303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236 (66.1)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9303B1" w14:textId="77777777" w:rsidR="003D4BB7" w:rsidRPr="008101D0" w:rsidRDefault="003D4BB7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A71AFC" w14:paraId="7D33971B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5C1EC2" w14:textId="77777777" w:rsidR="00A71AFC" w:rsidRDefault="00A71AFC" w:rsidP="00FE401B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PD-L1, n (</w:t>
            </w:r>
            <w:proofErr w:type="gramStart"/>
            <w:r>
              <w:rPr>
                <w:b/>
                <w:color w:val="000000"/>
              </w:rPr>
              <w:t>%)</w:t>
            </w:r>
            <w:r>
              <w:rPr>
                <w:b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4BA31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6D37A8BE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161AF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4C1D3656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A7130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66950026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6A511F" w14:paraId="3831CCA7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8D6D4" w14:textId="77777777" w:rsidR="006A511F" w:rsidRDefault="006A511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64BC6" w14:textId="0A0DD89A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19 (6.8)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5ACB7" w14:textId="0B842957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14 (3.9)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1FD4C1" w14:textId="5BF635D0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.257</w:t>
            </w:r>
          </w:p>
        </w:tc>
      </w:tr>
      <w:tr w:rsidR="006A511F" w14:paraId="59FC8487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4E2A8" w14:textId="77777777" w:rsidR="006A511F" w:rsidRDefault="006A511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82584" w14:textId="7C60B031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26 (9.4)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414AB" w14:textId="4D6A01FE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  <w:vertAlign w:val="superscript"/>
              </w:rPr>
            </w:pPr>
            <w:r w:rsidRPr="008101D0">
              <w:rPr>
                <w:color w:val="000000"/>
              </w:rPr>
              <w:t>33 (9.2)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59A430" w14:textId="77777777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6A511F" w14:paraId="03DD2016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506A2" w14:textId="77777777" w:rsidR="006A511F" w:rsidRDefault="006A511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Unknown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C5BA7" w14:textId="5712C062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233 (83.8)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4F799" w14:textId="03EC97B0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310 (86.8)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B9202" w14:textId="77777777" w:rsidR="006A511F" w:rsidRPr="008101D0" w:rsidRDefault="006A511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A71AFC" w14:paraId="4F52D4C7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498CC" w14:textId="77777777" w:rsidR="00A71AFC" w:rsidRDefault="00A71AFC" w:rsidP="00FE401B">
            <w:pPr>
              <w:spacing w:line="480" w:lineRule="auto"/>
            </w:pPr>
            <w:r>
              <w:rPr>
                <w:b/>
                <w:color w:val="000000"/>
              </w:rPr>
              <w:t>LDH, n (%)</w:t>
            </w:r>
          </w:p>
          <w:p w14:paraId="7806BBC6" w14:textId="77777777" w:rsidR="00A71AFC" w:rsidRDefault="00A71AFC" w:rsidP="00FE401B">
            <w:pPr>
              <w:spacing w:line="480" w:lineRule="auto"/>
              <w:ind w:left="113"/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E89D3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06DA36E7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8E7D3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4562746D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94D4A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7EB70BF6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</w:tr>
      <w:tr w:rsidR="00F62BDF" w14:paraId="415F0945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9AC3D" w14:textId="77777777" w:rsidR="00F62BDF" w:rsidRDefault="00F62BD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Normal/low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1160BF" w14:textId="549D5666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123 (44.2)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96F41" w14:textId="6545EE2B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97 (27.2)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DF1B9" w14:textId="5FB82474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&lt; .001</w:t>
            </w:r>
          </w:p>
        </w:tc>
      </w:tr>
      <w:tr w:rsidR="00F62BDF" w14:paraId="06F46673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F36558" w14:textId="77777777" w:rsidR="00F62BDF" w:rsidRDefault="00F62BD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Above normal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3D389" w14:textId="097B2885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43 (15.5)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6FE44" w14:textId="03D5A60B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73 (20.4)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56C32" w14:textId="77777777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F62BDF" w14:paraId="5148CED0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B0AAA" w14:textId="77777777" w:rsidR="00F62BDF" w:rsidRDefault="00F62BDF" w:rsidP="00FE401B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Missing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50122" w14:textId="28D2DEE4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112 (40.3)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296C57" w14:textId="4EB4688F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187 (52.4)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2E0A2B" w14:textId="77777777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A71AFC" w14:paraId="00DE8854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2EE6E" w14:textId="77777777" w:rsidR="00A71AFC" w:rsidRDefault="00A71AFC" w:rsidP="00FE401B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ECOG PS,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1EF3E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6173EBF9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0901E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5D158E83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91999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3B27CC89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F62BDF" w14:paraId="5317E135" w14:textId="77777777" w:rsidTr="00C45068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0A8D9" w14:textId="77777777" w:rsidR="00F62BDF" w:rsidRDefault="00F62BDF" w:rsidP="00F62BDF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0-1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FA7EBA" w14:textId="727EDF70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173 (62.2)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C682E" w14:textId="4FF3F28A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200 (56.0)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598E9" w14:textId="1FEE44B0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.014</w:t>
            </w:r>
          </w:p>
        </w:tc>
      </w:tr>
      <w:tr w:rsidR="00F62BDF" w14:paraId="0EDCA1EF" w14:textId="77777777" w:rsidTr="00C45068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7A1CB" w14:textId="77777777" w:rsidR="00F62BDF" w:rsidRDefault="00F62BDF" w:rsidP="00F62BDF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2+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76C608" w14:textId="60B6B6F1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15 (5.4)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80036" w14:textId="638F9361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43 (12.0)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D199F" w14:textId="77777777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F62BDF" w14:paraId="4F27425E" w14:textId="77777777" w:rsidTr="00C45068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3D1801" w14:textId="77777777" w:rsidR="00F62BDF" w:rsidRDefault="00F62BDF" w:rsidP="00F62BDF">
            <w:pPr>
              <w:spacing w:line="48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Unknown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EB175" w14:textId="5FA53407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90 (32.4)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AC034" w14:textId="5D34AE73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114 (31.9)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2C578A" w14:textId="77777777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F62BDF" w14:paraId="5FE3B352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9E5F1" w14:textId="77777777" w:rsidR="00F62BDF" w:rsidRDefault="00F62BDF" w:rsidP="00FE401B">
            <w:pPr>
              <w:spacing w:line="480" w:lineRule="auto"/>
            </w:pPr>
            <w:r>
              <w:rPr>
                <w:b/>
                <w:color w:val="000000"/>
              </w:rPr>
              <w:t>Albumin, mean (SD)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72791" w14:textId="607B3E08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40.1 (6.4)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5B76C" w14:textId="0530B414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37.6 (5.7)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3A8A99" w14:textId="6401D8FC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&lt; .001</w:t>
            </w:r>
          </w:p>
        </w:tc>
      </w:tr>
      <w:tr w:rsidR="00A71AFC" w14:paraId="7F725167" w14:textId="77777777" w:rsidTr="00FE401B">
        <w:trPr>
          <w:trHeight w:val="79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34348" w14:textId="77777777" w:rsidR="00A71AFC" w:rsidRDefault="00A71AFC" w:rsidP="00FE401B">
            <w:pPr>
              <w:spacing w:line="480" w:lineRule="auto"/>
            </w:pPr>
            <w:r>
              <w:rPr>
                <w:b/>
                <w:color w:val="000000"/>
              </w:rPr>
              <w:lastRenderedPageBreak/>
              <w:t xml:space="preserve">Metastases, n (%)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8E99D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6AC6F84F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30EB74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65C5AB9D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58438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  <w:p w14:paraId="4ABE3E8C" w14:textId="77777777" w:rsidR="00A71AFC" w:rsidRPr="008101D0" w:rsidRDefault="00A71AFC" w:rsidP="00D00D3B">
            <w:pPr>
              <w:spacing w:line="480" w:lineRule="auto"/>
              <w:jc w:val="center"/>
            </w:pPr>
          </w:p>
        </w:tc>
      </w:tr>
      <w:tr w:rsidR="00F62BDF" w14:paraId="628F98B9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9E6BC" w14:textId="77777777" w:rsidR="00F62BDF" w:rsidRDefault="00F62BDF" w:rsidP="00FE401B">
            <w:pPr>
              <w:spacing w:line="480" w:lineRule="auto"/>
              <w:rPr>
                <w:b/>
                <w:color w:val="000000"/>
              </w:rPr>
            </w:pPr>
            <w:r>
              <w:rPr>
                <w:color w:val="000000"/>
              </w:rPr>
              <w:t>&lt; 3 metastases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5A021" w14:textId="76778E51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172 (61.9)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CBFB2" w14:textId="68E23F29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205 (57.4)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2E1DC" w14:textId="786BCAA4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.293</w:t>
            </w:r>
          </w:p>
        </w:tc>
      </w:tr>
      <w:tr w:rsidR="00F62BDF" w14:paraId="31C51617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2EF50" w14:textId="77777777" w:rsidR="00F62BDF" w:rsidRDefault="00F62BDF" w:rsidP="00FE401B">
            <w:pPr>
              <w:spacing w:line="480" w:lineRule="auto"/>
              <w:rPr>
                <w:b/>
                <w:color w:val="000000"/>
              </w:rPr>
            </w:pPr>
            <w:r>
              <w:rPr>
                <w:color w:val="000000"/>
              </w:rPr>
              <w:t>With liver metastases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039E70" w14:textId="62BDB6DE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73 (26.3)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20860" w14:textId="380486C6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117 (32.8)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6834F9" w14:textId="6A4C7C89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.081</w:t>
            </w:r>
          </w:p>
        </w:tc>
      </w:tr>
      <w:tr w:rsidR="00F62BDF" w14:paraId="02C39987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D3DD4" w14:textId="77777777" w:rsidR="00F62BDF" w:rsidRDefault="00F62BDF" w:rsidP="00FE401B">
            <w:pPr>
              <w:spacing w:line="480" w:lineRule="auto"/>
              <w:rPr>
                <w:b/>
                <w:color w:val="000000"/>
              </w:rPr>
            </w:pPr>
            <w:r>
              <w:rPr>
                <w:color w:val="000000"/>
              </w:rPr>
              <w:t>With brain/CNS metastases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9E72C" w14:textId="4B01BC79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95 (34.2)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6783F" w14:textId="0177D086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108 (30.3)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CFECFE" w14:textId="4C22545F" w:rsidR="00F62BDF" w:rsidRPr="008101D0" w:rsidRDefault="00F62BDF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.304</w:t>
            </w:r>
          </w:p>
        </w:tc>
      </w:tr>
      <w:tr w:rsidR="00A71AFC" w14:paraId="1A851E02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58DF0" w14:textId="77777777" w:rsidR="00A71AFC" w:rsidRDefault="00A71AFC" w:rsidP="00FE401B">
            <w:pPr>
              <w:spacing w:line="480" w:lineRule="auto"/>
              <w:rPr>
                <w:color w:val="000000"/>
              </w:rPr>
            </w:pPr>
            <w:r>
              <w:rPr>
                <w:b/>
                <w:color w:val="000000"/>
              </w:rPr>
              <w:t>Stage at initial diagnosis, n (%)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2E504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8971B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9B9AE" w14:textId="77777777" w:rsidR="00A71AFC" w:rsidRPr="008101D0" w:rsidRDefault="00A71AFC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595A70" w14:paraId="4A2853FB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DCE560" w14:textId="77777777" w:rsidR="00595A70" w:rsidRDefault="00595A70" w:rsidP="00FE401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88BFC" w14:textId="3050B597" w:rsidR="00595A70" w:rsidRPr="008101D0" w:rsidRDefault="00FE401B" w:rsidP="00D00D3B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NS</w:t>
            </w:r>
            <w:r w:rsidRPr="005C7E95">
              <w:rPr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F22FA" w14:textId="642B7C62" w:rsidR="00595A70" w:rsidRPr="008101D0" w:rsidRDefault="00FE401B" w:rsidP="00D00D3B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NS</w:t>
            </w:r>
            <w:r w:rsidRPr="005C7E95">
              <w:rPr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DC841" w14:textId="61F144DA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.038</w:t>
            </w:r>
          </w:p>
        </w:tc>
      </w:tr>
      <w:tr w:rsidR="00595A70" w14:paraId="2C245748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AB375" w14:textId="77777777" w:rsidR="00595A70" w:rsidRDefault="00595A70" w:rsidP="00FE401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338DD" w14:textId="6D95C671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27 (9.7)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195A50" w14:textId="3B347B05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33 (9.2)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A9BB6" w14:textId="77777777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595A70" w14:paraId="781EAA92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5278C" w14:textId="77777777" w:rsidR="00595A70" w:rsidRDefault="00595A70" w:rsidP="00FE401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AE24A" w14:textId="7393C96B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40 (14.4)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80A77" w14:textId="110752A0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42 (11.8)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61D4C" w14:textId="77777777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595A70" w14:paraId="12C5486C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2AB8F" w14:textId="77777777" w:rsidR="00595A70" w:rsidRDefault="00595A70" w:rsidP="00FE401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C64FD" w14:textId="60A71B80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42 (15.1)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B2828" w14:textId="1EF8CBCE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93 (26.1)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07640" w14:textId="77777777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595A70" w14:paraId="112FCEC7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8228A" w14:textId="77777777" w:rsidR="00595A70" w:rsidRDefault="00595A70" w:rsidP="00FE401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D1D0A9" w14:textId="6775C8B9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112 (40.3)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EDD00" w14:textId="67E25FF8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121 (33.9)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B141A3" w14:textId="77777777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595A70" w14:paraId="1E848E6E" w14:textId="77777777" w:rsidTr="00FE401B">
        <w:trPr>
          <w:trHeight w:val="46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1C637C" w14:textId="77777777" w:rsidR="00595A70" w:rsidRDefault="00595A70" w:rsidP="00FE401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Unknown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178EB" w14:textId="7B796750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56 (20.1)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8A65E" w14:textId="116CB49D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  <w:r w:rsidRPr="008101D0">
              <w:rPr>
                <w:color w:val="000000"/>
              </w:rPr>
              <w:t>66 (18.5)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31333" w14:textId="77777777" w:rsidR="00595A70" w:rsidRPr="008101D0" w:rsidRDefault="00595A70" w:rsidP="00D00D3B">
            <w:pPr>
              <w:spacing w:line="480" w:lineRule="auto"/>
              <w:jc w:val="center"/>
              <w:rPr>
                <w:color w:val="000000"/>
              </w:rPr>
            </w:pPr>
          </w:p>
        </w:tc>
      </w:tr>
    </w:tbl>
    <w:p w14:paraId="1299DA9C" w14:textId="1959038C" w:rsidR="0065383F" w:rsidRDefault="0065383F"/>
    <w:p w14:paraId="77163EC1" w14:textId="0281224B" w:rsidR="00FE401B" w:rsidRDefault="00FE401B" w:rsidP="00FE401B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>Abbreviations: 1L, first-line; CNS, central nervous system; ECOG PS, Eastern Cooperative Oncology Group performance status; LDH, lactate dehydrogenase; NS, not shown; PD-L1, programmed cell death 1 ligand 1; TT, targeted therapies</w:t>
      </w:r>
      <w:r>
        <w:rPr>
          <w:sz w:val="24"/>
          <w:szCs w:val="24"/>
        </w:rPr>
        <w:t xml:space="preserve">. </w:t>
      </w:r>
    </w:p>
    <w:p w14:paraId="2B727A8F" w14:textId="77777777" w:rsidR="00FE401B" w:rsidRDefault="00FE401B" w:rsidP="00FE401B">
      <w:pPr>
        <w:spacing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</w:t>
      </w:r>
      <w:r w:rsidRPr="00885B15">
        <w:rPr>
          <w:sz w:val="20"/>
          <w:szCs w:val="20"/>
        </w:rPr>
        <w:t>PD-L1 positivity defined as &gt; 1% tumor cells staining positively with ≥ 1+ intensity using Dako 22C3 and Ventana SP142 platforms.</w:t>
      </w:r>
    </w:p>
    <w:p w14:paraId="7310FF71" w14:textId="61D490F2" w:rsidR="003B10B8" w:rsidRDefault="00FE401B" w:rsidP="00FE401B">
      <w:pPr>
        <w:spacing w:line="240" w:lineRule="auto"/>
        <w:rPr>
          <w:sz w:val="24"/>
          <w:szCs w:val="24"/>
        </w:rPr>
      </w:pPr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 Value suppressed to minimize the risk of patient reidentification from cells with small counts</w:t>
      </w:r>
      <w:r w:rsidR="003B10B8">
        <w:rPr>
          <w:sz w:val="24"/>
          <w:szCs w:val="24"/>
        </w:rPr>
        <w:br w:type="page"/>
      </w:r>
    </w:p>
    <w:p w14:paraId="0D30657B" w14:textId="7CC9C167" w:rsidR="00ED6626" w:rsidRPr="00ED6626" w:rsidRDefault="00ED6626" w:rsidP="00DF0A7E">
      <w:pPr>
        <w:spacing w:line="240" w:lineRule="auto"/>
        <w:rPr>
          <w:sz w:val="24"/>
          <w:szCs w:val="24"/>
        </w:rPr>
      </w:pPr>
    </w:p>
    <w:sectPr w:rsidR="00ED6626" w:rsidRPr="00ED662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6AF9" w14:textId="77777777" w:rsidR="001828AD" w:rsidRDefault="001828AD" w:rsidP="00C61E3E">
      <w:pPr>
        <w:spacing w:line="240" w:lineRule="auto"/>
      </w:pPr>
      <w:r>
        <w:separator/>
      </w:r>
    </w:p>
  </w:endnote>
  <w:endnote w:type="continuationSeparator" w:id="0">
    <w:p w14:paraId="20166AD1" w14:textId="77777777" w:rsidR="001828AD" w:rsidRDefault="001828AD" w:rsidP="00C6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8603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5CC45D" w14:textId="519B59A3" w:rsidR="00C61E3E" w:rsidRDefault="00C61E3E" w:rsidP="00692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FA5A08" w14:textId="77777777" w:rsidR="00C61E3E" w:rsidRDefault="00C61E3E" w:rsidP="00C61E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7825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9A855" w14:textId="4AD88A64" w:rsidR="00C61E3E" w:rsidRDefault="00C61E3E" w:rsidP="00692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B0FF2A" w14:textId="77777777" w:rsidR="00C61E3E" w:rsidRDefault="00C61E3E" w:rsidP="00C61E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7A3E" w14:textId="77777777" w:rsidR="001828AD" w:rsidRDefault="001828AD" w:rsidP="00C61E3E">
      <w:pPr>
        <w:spacing w:line="240" w:lineRule="auto"/>
      </w:pPr>
      <w:r>
        <w:separator/>
      </w:r>
    </w:p>
  </w:footnote>
  <w:footnote w:type="continuationSeparator" w:id="0">
    <w:p w14:paraId="27E14D80" w14:textId="77777777" w:rsidR="001828AD" w:rsidRDefault="001828AD" w:rsidP="00C61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2"/>
    <w:rsid w:val="00004687"/>
    <w:rsid w:val="000426D7"/>
    <w:rsid w:val="00062F00"/>
    <w:rsid w:val="00082C7E"/>
    <w:rsid w:val="000B3C0B"/>
    <w:rsid w:val="000C6128"/>
    <w:rsid w:val="000F10D9"/>
    <w:rsid w:val="0014403C"/>
    <w:rsid w:val="00154CA3"/>
    <w:rsid w:val="001828AD"/>
    <w:rsid w:val="001C4058"/>
    <w:rsid w:val="001C5C8E"/>
    <w:rsid w:val="00255FBD"/>
    <w:rsid w:val="00276A82"/>
    <w:rsid w:val="002A5337"/>
    <w:rsid w:val="00310DA9"/>
    <w:rsid w:val="00330B09"/>
    <w:rsid w:val="00334CDA"/>
    <w:rsid w:val="00353296"/>
    <w:rsid w:val="003B10B8"/>
    <w:rsid w:val="003D4BB7"/>
    <w:rsid w:val="00403F97"/>
    <w:rsid w:val="0040558A"/>
    <w:rsid w:val="00442465"/>
    <w:rsid w:val="00475776"/>
    <w:rsid w:val="004F3AEF"/>
    <w:rsid w:val="00502F0F"/>
    <w:rsid w:val="00514E8F"/>
    <w:rsid w:val="00557385"/>
    <w:rsid w:val="0056143A"/>
    <w:rsid w:val="00587935"/>
    <w:rsid w:val="00591137"/>
    <w:rsid w:val="00595A70"/>
    <w:rsid w:val="00611CB3"/>
    <w:rsid w:val="00640401"/>
    <w:rsid w:val="0065383F"/>
    <w:rsid w:val="00696E4F"/>
    <w:rsid w:val="006A2D45"/>
    <w:rsid w:val="006A511F"/>
    <w:rsid w:val="006C7996"/>
    <w:rsid w:val="006D4E17"/>
    <w:rsid w:val="00713E71"/>
    <w:rsid w:val="00735F15"/>
    <w:rsid w:val="007F70A4"/>
    <w:rsid w:val="008101D0"/>
    <w:rsid w:val="0085313A"/>
    <w:rsid w:val="00890EA2"/>
    <w:rsid w:val="008F5A14"/>
    <w:rsid w:val="00982392"/>
    <w:rsid w:val="009A56CE"/>
    <w:rsid w:val="009E271F"/>
    <w:rsid w:val="009F5102"/>
    <w:rsid w:val="00A435E6"/>
    <w:rsid w:val="00A63BE6"/>
    <w:rsid w:val="00A71AFC"/>
    <w:rsid w:val="00A876E0"/>
    <w:rsid w:val="00A96706"/>
    <w:rsid w:val="00A96FC0"/>
    <w:rsid w:val="00AA3782"/>
    <w:rsid w:val="00AF0E17"/>
    <w:rsid w:val="00AF4717"/>
    <w:rsid w:val="00B651B5"/>
    <w:rsid w:val="00B71131"/>
    <w:rsid w:val="00B87A31"/>
    <w:rsid w:val="00BC0CCB"/>
    <w:rsid w:val="00BE7BA7"/>
    <w:rsid w:val="00BF477B"/>
    <w:rsid w:val="00C45068"/>
    <w:rsid w:val="00C5760B"/>
    <w:rsid w:val="00C60816"/>
    <w:rsid w:val="00C61E3E"/>
    <w:rsid w:val="00C654E5"/>
    <w:rsid w:val="00C8411E"/>
    <w:rsid w:val="00C93644"/>
    <w:rsid w:val="00C96C41"/>
    <w:rsid w:val="00CC16FA"/>
    <w:rsid w:val="00D00D3B"/>
    <w:rsid w:val="00D20C08"/>
    <w:rsid w:val="00D364E6"/>
    <w:rsid w:val="00D77C0B"/>
    <w:rsid w:val="00DB2CB4"/>
    <w:rsid w:val="00DE23FA"/>
    <w:rsid w:val="00DF0A7E"/>
    <w:rsid w:val="00E10EAC"/>
    <w:rsid w:val="00E3230B"/>
    <w:rsid w:val="00E33B38"/>
    <w:rsid w:val="00E35285"/>
    <w:rsid w:val="00E41514"/>
    <w:rsid w:val="00E43383"/>
    <w:rsid w:val="00E4792C"/>
    <w:rsid w:val="00E76701"/>
    <w:rsid w:val="00E84A51"/>
    <w:rsid w:val="00E868D5"/>
    <w:rsid w:val="00EC78A2"/>
    <w:rsid w:val="00ED6626"/>
    <w:rsid w:val="00F62BDF"/>
    <w:rsid w:val="00F7764F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6251"/>
  <w15:chartTrackingRefBased/>
  <w15:docId w15:val="{743DE57E-122F-B846-A20E-F10FD99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3F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C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B4"/>
    <w:rPr>
      <w:rFonts w:ascii="Times New Roman" w:eastAsia="Arial" w:hAnsi="Times New Roman" w:cs="Times New Roman"/>
      <w:sz w:val="18"/>
      <w:szCs w:val="18"/>
      <w:lang w:val="en" w:eastAsia="en-GB"/>
    </w:rPr>
  </w:style>
  <w:style w:type="table" w:styleId="TableGrid">
    <w:name w:val="Table Grid"/>
    <w:basedOn w:val="TableNormal"/>
    <w:uiPriority w:val="39"/>
    <w:rsid w:val="0033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1E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3E"/>
    <w:rPr>
      <w:rFonts w:ascii="Arial" w:eastAsia="Arial" w:hAnsi="Arial" w:cs="Arial"/>
      <w:sz w:val="22"/>
      <w:szCs w:val="22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1E3E"/>
  </w:style>
  <w:style w:type="paragraph" w:styleId="Header">
    <w:name w:val="header"/>
    <w:basedOn w:val="Normal"/>
    <w:link w:val="HeaderChar"/>
    <w:uiPriority w:val="99"/>
    <w:unhideWhenUsed/>
    <w:rsid w:val="00C936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44"/>
    <w:rPr>
      <w:rFonts w:ascii="Arial" w:eastAsia="Arial" w:hAnsi="Arial" w:cs="Arial"/>
      <w:sz w:val="22"/>
      <w:szCs w:val="22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5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C8E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C8E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514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776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Secrest, Matt {MDBW~South San Francisco}</dc:creator>
  <cp:keywords/>
  <dc:description/>
  <cp:lastModifiedBy>Johanna Todd</cp:lastModifiedBy>
  <cp:revision>3</cp:revision>
  <dcterms:created xsi:type="dcterms:W3CDTF">2022-03-31T11:56:00Z</dcterms:created>
  <dcterms:modified xsi:type="dcterms:W3CDTF">2022-03-31T11:58:00Z</dcterms:modified>
</cp:coreProperties>
</file>