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ED85" w14:textId="77777777" w:rsidR="00E67946" w:rsidRPr="00733887" w:rsidRDefault="00E67946" w:rsidP="00E67946">
      <w:pPr>
        <w:pStyle w:val="Heading1"/>
      </w:pPr>
      <w:r w:rsidRPr="00733887">
        <w:t>Supplemental Material</w:t>
      </w:r>
    </w:p>
    <w:p w14:paraId="4F0DF769" w14:textId="77777777" w:rsidR="00E67946" w:rsidRDefault="00E67946" w:rsidP="00E67946">
      <w:pPr>
        <w:pStyle w:val="Heading2"/>
      </w:pPr>
      <w:r>
        <w:t xml:space="preserve">Supplemental Table 1. Physician characteristics. </w:t>
      </w:r>
    </w:p>
    <w:tbl>
      <w:tblPr>
        <w:tblW w:w="8440" w:type="dxa"/>
        <w:tblBorders>
          <w:top w:val="single" w:sz="12" w:space="0" w:color="000000"/>
          <w:bottom w:val="single" w:sz="12" w:space="0" w:color="000000"/>
          <w:insideH w:val="single" w:sz="2" w:space="0" w:color="DDDDDD"/>
        </w:tblBorders>
        <w:tblLook w:val="04A0" w:firstRow="1" w:lastRow="0" w:firstColumn="1" w:lastColumn="0" w:noHBand="0" w:noVBand="1"/>
      </w:tblPr>
      <w:tblGrid>
        <w:gridCol w:w="6530"/>
        <w:gridCol w:w="951"/>
        <w:gridCol w:w="959"/>
      </w:tblGrid>
      <w:tr w:rsidR="00E67946" w:rsidRPr="002F6F69" w14:paraId="69DA14F2" w14:textId="77777777" w:rsidTr="008D4D8A">
        <w:trPr>
          <w:tblHeader/>
        </w:trPr>
        <w:tc>
          <w:tcPr>
            <w:tcW w:w="6530" w:type="dxa"/>
            <w:tcBorders>
              <w:top w:val="single" w:sz="12" w:space="0" w:color="000000"/>
              <w:bottom w:val="single" w:sz="2" w:space="0" w:color="DDDDDD"/>
            </w:tcBorders>
            <w:shd w:val="clear" w:color="auto" w:fill="E6E6E6"/>
            <w:noWrap/>
            <w:vAlign w:val="bottom"/>
            <w:hideMark/>
          </w:tcPr>
          <w:p w14:paraId="65D946CB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Total physician sample (N)</w:t>
            </w:r>
          </w:p>
        </w:tc>
        <w:tc>
          <w:tcPr>
            <w:tcW w:w="951" w:type="dxa"/>
            <w:tcBorders>
              <w:top w:val="single" w:sz="12" w:space="0" w:color="000000"/>
              <w:bottom w:val="single" w:sz="2" w:space="0" w:color="DDDDDD"/>
            </w:tcBorders>
            <w:shd w:val="clear" w:color="auto" w:fill="E6E6E6"/>
            <w:noWrap/>
            <w:vAlign w:val="bottom"/>
            <w:hideMark/>
          </w:tcPr>
          <w:p w14:paraId="5B7DB6CE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155</w:t>
            </w:r>
          </w:p>
        </w:tc>
        <w:tc>
          <w:tcPr>
            <w:tcW w:w="959" w:type="dxa"/>
            <w:tcBorders>
              <w:top w:val="single" w:sz="12" w:space="0" w:color="000000"/>
              <w:bottom w:val="single" w:sz="2" w:space="0" w:color="DDDDDD"/>
            </w:tcBorders>
            <w:shd w:val="clear" w:color="auto" w:fill="E6E6E6"/>
            <w:noWrap/>
            <w:vAlign w:val="bottom"/>
            <w:hideMark/>
          </w:tcPr>
          <w:p w14:paraId="00DAED9B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100.0%</w:t>
            </w:r>
          </w:p>
        </w:tc>
      </w:tr>
      <w:tr w:rsidR="00E67946" w:rsidRPr="002F6F69" w14:paraId="2685E1AE" w14:textId="77777777" w:rsidTr="008D4D8A">
        <w:tc>
          <w:tcPr>
            <w:tcW w:w="6530" w:type="dxa"/>
            <w:tcBorders>
              <w:top w:val="single" w:sz="2" w:space="0" w:color="DDDDDD"/>
            </w:tcBorders>
            <w:shd w:val="clear" w:color="auto" w:fill="auto"/>
            <w:noWrap/>
            <w:hideMark/>
          </w:tcPr>
          <w:p w14:paraId="6E62663F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2" w:space="0" w:color="DDDDDD"/>
            </w:tcBorders>
            <w:shd w:val="clear" w:color="auto" w:fill="auto"/>
            <w:noWrap/>
            <w:hideMark/>
          </w:tcPr>
          <w:p w14:paraId="4FF97E7D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DDDDDD"/>
            </w:tcBorders>
            <w:shd w:val="clear" w:color="auto" w:fill="auto"/>
            <w:hideMark/>
          </w:tcPr>
          <w:p w14:paraId="31766823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7D266329" w14:textId="77777777" w:rsidTr="008D4D8A">
        <w:tc>
          <w:tcPr>
            <w:tcW w:w="6530" w:type="dxa"/>
            <w:shd w:val="clear" w:color="auto" w:fill="auto"/>
            <w:hideMark/>
          </w:tcPr>
          <w:p w14:paraId="792F9751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Number of patients with MF treated in the past 12 months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31CCE6BA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1CBC416B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3CCAAE96" w14:textId="77777777" w:rsidTr="008D4D8A">
        <w:tc>
          <w:tcPr>
            <w:tcW w:w="6530" w:type="dxa"/>
            <w:shd w:val="clear" w:color="auto" w:fill="auto"/>
            <w:noWrap/>
            <w:hideMark/>
          </w:tcPr>
          <w:p w14:paraId="44B70C10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Mean (SD)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3D569881" w14:textId="77777777" w:rsidR="00E67946" w:rsidRPr="002F6F69" w:rsidRDefault="00E67946" w:rsidP="008D4D8A">
            <w:pPr>
              <w:spacing w:line="240" w:lineRule="auto"/>
              <w:ind w:firstLineChars="100" w:firstLine="201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34.86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E256CC6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33.28</w:t>
            </w:r>
          </w:p>
        </w:tc>
      </w:tr>
      <w:tr w:rsidR="00E67946" w:rsidRPr="002F6F69" w14:paraId="481B6511" w14:textId="77777777" w:rsidTr="008D4D8A">
        <w:tc>
          <w:tcPr>
            <w:tcW w:w="6530" w:type="dxa"/>
            <w:shd w:val="clear" w:color="auto" w:fill="auto"/>
            <w:noWrap/>
            <w:hideMark/>
          </w:tcPr>
          <w:p w14:paraId="46989558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Median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66A63D8A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25.00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1293B88B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18A40D14" w14:textId="77777777" w:rsidTr="008D4D8A">
        <w:tc>
          <w:tcPr>
            <w:tcW w:w="6530" w:type="dxa"/>
            <w:shd w:val="clear" w:color="auto" w:fill="auto"/>
            <w:noWrap/>
            <w:hideMark/>
          </w:tcPr>
          <w:p w14:paraId="5E011C55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Q1, Q3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6BA8DCF1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4830F140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50.00</w:t>
            </w:r>
          </w:p>
        </w:tc>
      </w:tr>
      <w:tr w:rsidR="00E67946" w:rsidRPr="002F6F69" w14:paraId="5D7A4246" w14:textId="77777777" w:rsidTr="008D4D8A">
        <w:tc>
          <w:tcPr>
            <w:tcW w:w="6530" w:type="dxa"/>
            <w:shd w:val="clear" w:color="auto" w:fill="auto"/>
            <w:noWrap/>
            <w:hideMark/>
          </w:tcPr>
          <w:p w14:paraId="68967029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6E59C210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0476D29B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73238074" w14:textId="77777777" w:rsidTr="008D4D8A">
        <w:tc>
          <w:tcPr>
            <w:tcW w:w="6530" w:type="dxa"/>
            <w:shd w:val="clear" w:color="auto" w:fill="auto"/>
            <w:noWrap/>
            <w:hideMark/>
          </w:tcPr>
          <w:p w14:paraId="364D5996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Primary medical specialty (n, %)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5072A762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598C36E9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4234F150" w14:textId="77777777" w:rsidTr="008D4D8A">
        <w:tc>
          <w:tcPr>
            <w:tcW w:w="6530" w:type="dxa"/>
            <w:shd w:val="clear" w:color="auto" w:fill="auto"/>
            <w:noWrap/>
            <w:hideMark/>
          </w:tcPr>
          <w:p w14:paraId="3403CCFD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Hematologist oncologist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10DBE0A7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114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5E4618DE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73.6%</w:t>
            </w:r>
          </w:p>
        </w:tc>
      </w:tr>
      <w:tr w:rsidR="00E67946" w:rsidRPr="002F6F69" w14:paraId="7AD0E3D9" w14:textId="77777777" w:rsidTr="008D4D8A">
        <w:tc>
          <w:tcPr>
            <w:tcW w:w="6530" w:type="dxa"/>
            <w:shd w:val="clear" w:color="auto" w:fill="auto"/>
            <w:noWrap/>
            <w:hideMark/>
          </w:tcPr>
          <w:p w14:paraId="041A5CCA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Hematology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26652E1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2A863CA2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24.5%</w:t>
            </w:r>
          </w:p>
        </w:tc>
      </w:tr>
      <w:tr w:rsidR="00E67946" w:rsidRPr="002F6F69" w14:paraId="4F6814CD" w14:textId="77777777" w:rsidTr="008D4D8A">
        <w:tc>
          <w:tcPr>
            <w:tcW w:w="6530" w:type="dxa"/>
            <w:shd w:val="clear" w:color="auto" w:fill="auto"/>
            <w:noWrap/>
            <w:hideMark/>
          </w:tcPr>
          <w:p w14:paraId="3AC1FA3D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Medical oncologist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3EA9BA1F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10560770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1.9%</w:t>
            </w:r>
          </w:p>
        </w:tc>
      </w:tr>
      <w:tr w:rsidR="00E67946" w:rsidRPr="002F6F69" w14:paraId="6FBD2B24" w14:textId="77777777" w:rsidTr="008D4D8A">
        <w:tc>
          <w:tcPr>
            <w:tcW w:w="6530" w:type="dxa"/>
            <w:shd w:val="clear" w:color="auto" w:fill="auto"/>
            <w:hideMark/>
          </w:tcPr>
          <w:p w14:paraId="66F2D064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1" w:type="dxa"/>
            <w:shd w:val="clear" w:color="auto" w:fill="auto"/>
            <w:hideMark/>
          </w:tcPr>
          <w:p w14:paraId="0C3176F4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60AD3453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0A28150C" w14:textId="77777777" w:rsidTr="008D4D8A">
        <w:tc>
          <w:tcPr>
            <w:tcW w:w="6530" w:type="dxa"/>
            <w:shd w:val="clear" w:color="auto" w:fill="auto"/>
            <w:hideMark/>
          </w:tcPr>
          <w:p w14:paraId="472CFFDC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Primary practice setting (n, %)</w:t>
            </w:r>
          </w:p>
        </w:tc>
        <w:tc>
          <w:tcPr>
            <w:tcW w:w="951" w:type="dxa"/>
            <w:shd w:val="clear" w:color="auto" w:fill="auto"/>
            <w:hideMark/>
          </w:tcPr>
          <w:p w14:paraId="24607776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23D3A9DC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7456E4D9" w14:textId="77777777" w:rsidTr="008D4D8A">
        <w:tc>
          <w:tcPr>
            <w:tcW w:w="6530" w:type="dxa"/>
            <w:shd w:val="clear" w:color="000000" w:fill="FFFFFF"/>
            <w:noWrap/>
            <w:hideMark/>
          </w:tcPr>
          <w:p w14:paraId="3EBC22B5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2F6F69">
              <w:rPr>
                <w:rFonts w:ascii="Arial" w:hAnsi="Arial" w:cs="Arial"/>
                <w:i/>
                <w:iCs/>
                <w:sz w:val="20"/>
              </w:rPr>
              <w:t>United States</w:t>
            </w:r>
          </w:p>
        </w:tc>
        <w:tc>
          <w:tcPr>
            <w:tcW w:w="951" w:type="dxa"/>
            <w:shd w:val="clear" w:color="auto" w:fill="auto"/>
            <w:hideMark/>
          </w:tcPr>
          <w:p w14:paraId="528C602E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6E52AA29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049B8623" w14:textId="77777777" w:rsidTr="008D4D8A">
        <w:tc>
          <w:tcPr>
            <w:tcW w:w="6530" w:type="dxa"/>
            <w:shd w:val="clear" w:color="auto" w:fill="auto"/>
            <w:hideMark/>
          </w:tcPr>
          <w:p w14:paraId="44963FB5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Cancer center/tertiary referral treatment center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5316EBBA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15E2AC5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29.3%</w:t>
            </w:r>
          </w:p>
        </w:tc>
      </w:tr>
      <w:tr w:rsidR="00E67946" w:rsidRPr="002F6F69" w14:paraId="35A1B24B" w14:textId="77777777" w:rsidTr="008D4D8A">
        <w:tc>
          <w:tcPr>
            <w:tcW w:w="6530" w:type="dxa"/>
            <w:shd w:val="clear" w:color="auto" w:fill="auto"/>
            <w:hideMark/>
          </w:tcPr>
          <w:p w14:paraId="5D759387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Other academic/teaching hospital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2A97F55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B8698D3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14.6%</w:t>
            </w:r>
          </w:p>
        </w:tc>
      </w:tr>
      <w:tr w:rsidR="00E67946" w:rsidRPr="002F6F69" w14:paraId="29B076AC" w14:textId="77777777" w:rsidTr="008D4D8A">
        <w:tc>
          <w:tcPr>
            <w:tcW w:w="6530" w:type="dxa"/>
            <w:shd w:val="clear" w:color="auto" w:fill="auto"/>
            <w:hideMark/>
          </w:tcPr>
          <w:p w14:paraId="1741B759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Other nonteaching hospital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4F238B7A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21AA9F5D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4.9%</w:t>
            </w:r>
          </w:p>
        </w:tc>
      </w:tr>
      <w:tr w:rsidR="00E67946" w:rsidRPr="002F6F69" w14:paraId="7FF4FE34" w14:textId="77777777" w:rsidTr="008D4D8A">
        <w:tc>
          <w:tcPr>
            <w:tcW w:w="6530" w:type="dxa"/>
            <w:shd w:val="clear" w:color="auto" w:fill="auto"/>
            <w:hideMark/>
          </w:tcPr>
          <w:p w14:paraId="71C56DB0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Private hospital or clinic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3E0DE489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6052F51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48.8%</w:t>
            </w:r>
          </w:p>
        </w:tc>
      </w:tr>
      <w:tr w:rsidR="00E67946" w:rsidRPr="002F6F69" w14:paraId="6C507C0B" w14:textId="77777777" w:rsidTr="008D4D8A">
        <w:tc>
          <w:tcPr>
            <w:tcW w:w="6530" w:type="dxa"/>
            <w:shd w:val="clear" w:color="auto" w:fill="auto"/>
            <w:hideMark/>
          </w:tcPr>
          <w:p w14:paraId="74C9118A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60B2D6B0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47E30C02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2.4%</w:t>
            </w:r>
          </w:p>
        </w:tc>
      </w:tr>
      <w:tr w:rsidR="00E67946" w:rsidRPr="002F6F69" w14:paraId="52D476DD" w14:textId="77777777" w:rsidTr="008D4D8A">
        <w:tc>
          <w:tcPr>
            <w:tcW w:w="6530" w:type="dxa"/>
            <w:shd w:val="clear" w:color="000000" w:fill="FFFFFF"/>
            <w:noWrap/>
            <w:hideMark/>
          </w:tcPr>
          <w:p w14:paraId="66B3B199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2F6F69">
              <w:rPr>
                <w:rFonts w:ascii="Arial" w:hAnsi="Arial" w:cs="Arial"/>
                <w:i/>
                <w:iCs/>
                <w:sz w:val="20"/>
              </w:rPr>
              <w:t>United Kingdom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16B12150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2457AEAA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21C2E15C" w14:textId="77777777" w:rsidTr="008D4D8A">
        <w:tc>
          <w:tcPr>
            <w:tcW w:w="6530" w:type="dxa"/>
            <w:shd w:val="clear" w:color="auto" w:fill="auto"/>
            <w:hideMark/>
          </w:tcPr>
          <w:p w14:paraId="3BE0E496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 xml:space="preserve">Specialist cancer center/tertiary referral treatment </w:t>
            </w:r>
            <w:proofErr w:type="spellStart"/>
            <w:r w:rsidRPr="002F6F69">
              <w:rPr>
                <w:rFonts w:ascii="Arial" w:hAnsi="Arial" w:cs="Arial"/>
                <w:sz w:val="20"/>
              </w:rPr>
              <w:t>centre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hideMark/>
          </w:tcPr>
          <w:p w14:paraId="3DAE2256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5C6820E5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22.7%</w:t>
            </w:r>
          </w:p>
        </w:tc>
      </w:tr>
      <w:tr w:rsidR="00E67946" w:rsidRPr="002F6F69" w14:paraId="6C46FC30" w14:textId="77777777" w:rsidTr="008D4D8A">
        <w:tc>
          <w:tcPr>
            <w:tcW w:w="6530" w:type="dxa"/>
            <w:shd w:val="clear" w:color="auto" w:fill="auto"/>
            <w:hideMark/>
          </w:tcPr>
          <w:p w14:paraId="4C4C5D0A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Other academic/teaching hospital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89A2193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C06CF2E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63.6%</w:t>
            </w:r>
          </w:p>
        </w:tc>
      </w:tr>
      <w:tr w:rsidR="00E67946" w:rsidRPr="002F6F69" w14:paraId="6EC99414" w14:textId="77777777" w:rsidTr="008D4D8A">
        <w:tc>
          <w:tcPr>
            <w:tcW w:w="6530" w:type="dxa"/>
            <w:shd w:val="clear" w:color="auto" w:fill="auto"/>
            <w:hideMark/>
          </w:tcPr>
          <w:p w14:paraId="7A45AD87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Other nonteaching hospital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5E1F0A0E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67D19838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13.6%</w:t>
            </w:r>
          </w:p>
        </w:tc>
      </w:tr>
      <w:tr w:rsidR="00E67946" w:rsidRPr="002F6F69" w14:paraId="29B0CA31" w14:textId="77777777" w:rsidTr="008D4D8A">
        <w:tc>
          <w:tcPr>
            <w:tcW w:w="6530" w:type="dxa"/>
            <w:shd w:val="clear" w:color="000000" w:fill="FFFFFF"/>
            <w:noWrap/>
            <w:hideMark/>
          </w:tcPr>
          <w:p w14:paraId="4642A725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2F6F69">
              <w:rPr>
                <w:rFonts w:ascii="Arial" w:hAnsi="Arial" w:cs="Arial"/>
                <w:i/>
                <w:iCs/>
                <w:sz w:val="20"/>
              </w:rPr>
              <w:t>Germany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613153B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2522234B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51AE8957" w14:textId="77777777" w:rsidTr="008D4D8A">
        <w:tc>
          <w:tcPr>
            <w:tcW w:w="6530" w:type="dxa"/>
            <w:shd w:val="clear" w:color="auto" w:fill="auto"/>
            <w:hideMark/>
          </w:tcPr>
          <w:p w14:paraId="7E497A63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2F6F69">
              <w:rPr>
                <w:rFonts w:ascii="Arial" w:hAnsi="Arial" w:cs="Arial"/>
                <w:sz w:val="20"/>
              </w:rPr>
              <w:t>Umfassendes</w:t>
            </w:r>
            <w:proofErr w:type="spellEnd"/>
            <w:r w:rsidRPr="002F6F6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6F69">
              <w:rPr>
                <w:rFonts w:ascii="Arial" w:hAnsi="Arial" w:cs="Arial"/>
                <w:sz w:val="20"/>
              </w:rPr>
              <w:t>Krebszentrum</w:t>
            </w:r>
            <w:proofErr w:type="spellEnd"/>
            <w:r w:rsidRPr="002F6F69">
              <w:rPr>
                <w:rFonts w:ascii="Arial" w:hAnsi="Arial" w:cs="Arial"/>
                <w:sz w:val="20"/>
              </w:rPr>
              <w:t xml:space="preserve"> (cancer center)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63E917D5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00442791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10.7%</w:t>
            </w:r>
          </w:p>
        </w:tc>
      </w:tr>
      <w:tr w:rsidR="00E67946" w:rsidRPr="002F6F69" w14:paraId="2E1BF0B1" w14:textId="77777777" w:rsidTr="008D4D8A">
        <w:tc>
          <w:tcPr>
            <w:tcW w:w="6530" w:type="dxa"/>
            <w:shd w:val="clear" w:color="auto" w:fill="auto"/>
            <w:hideMark/>
          </w:tcPr>
          <w:p w14:paraId="2FD7BA21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2F6F69">
              <w:rPr>
                <w:rFonts w:ascii="Arial" w:hAnsi="Arial" w:cs="Arial"/>
                <w:sz w:val="20"/>
              </w:rPr>
              <w:t>Universitätsklinikum</w:t>
            </w:r>
            <w:proofErr w:type="spellEnd"/>
            <w:r w:rsidRPr="002F6F69">
              <w:rPr>
                <w:rFonts w:ascii="Arial" w:hAnsi="Arial" w:cs="Arial"/>
                <w:sz w:val="20"/>
              </w:rPr>
              <w:t xml:space="preserve"> (university hospital)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20C5EF5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2FA37DC0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32.1%</w:t>
            </w:r>
          </w:p>
        </w:tc>
      </w:tr>
      <w:tr w:rsidR="00E67946" w:rsidRPr="002F6F69" w14:paraId="4523EE04" w14:textId="77777777" w:rsidTr="008D4D8A">
        <w:tc>
          <w:tcPr>
            <w:tcW w:w="6530" w:type="dxa"/>
            <w:shd w:val="clear" w:color="auto" w:fill="auto"/>
            <w:hideMark/>
          </w:tcPr>
          <w:p w14:paraId="00ED7ACA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2F6F69">
              <w:rPr>
                <w:rFonts w:ascii="Arial" w:hAnsi="Arial" w:cs="Arial"/>
                <w:sz w:val="20"/>
              </w:rPr>
              <w:t>Allgemeines</w:t>
            </w:r>
            <w:proofErr w:type="spellEnd"/>
            <w:r w:rsidRPr="002F6F6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6F69">
              <w:rPr>
                <w:rFonts w:ascii="Arial" w:hAnsi="Arial" w:cs="Arial"/>
                <w:sz w:val="20"/>
              </w:rPr>
              <w:t>Krankenhaus</w:t>
            </w:r>
            <w:proofErr w:type="spellEnd"/>
            <w:r w:rsidRPr="002F6F69">
              <w:rPr>
                <w:rFonts w:ascii="Arial" w:hAnsi="Arial" w:cs="Arial"/>
                <w:sz w:val="20"/>
              </w:rPr>
              <w:t xml:space="preserve"> (general hospital)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318C4B9C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6E3D6A4D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21.4%</w:t>
            </w:r>
          </w:p>
        </w:tc>
      </w:tr>
      <w:tr w:rsidR="00E67946" w:rsidRPr="002F6F69" w14:paraId="40D834B8" w14:textId="77777777" w:rsidTr="008D4D8A">
        <w:tc>
          <w:tcPr>
            <w:tcW w:w="6530" w:type="dxa"/>
            <w:shd w:val="clear" w:color="auto" w:fill="auto"/>
            <w:hideMark/>
          </w:tcPr>
          <w:p w14:paraId="0E6EF030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2F6F69">
              <w:rPr>
                <w:rFonts w:ascii="Arial" w:hAnsi="Arial" w:cs="Arial"/>
                <w:sz w:val="20"/>
              </w:rPr>
              <w:t>Niedergelassen</w:t>
            </w:r>
            <w:proofErr w:type="spellEnd"/>
            <w:r w:rsidRPr="002F6F69">
              <w:rPr>
                <w:rFonts w:ascii="Arial" w:hAnsi="Arial" w:cs="Arial"/>
                <w:sz w:val="20"/>
              </w:rPr>
              <w:t xml:space="preserve"> or Praxis/</w:t>
            </w:r>
            <w:proofErr w:type="spellStart"/>
            <w:r w:rsidRPr="002F6F69">
              <w:rPr>
                <w:rFonts w:ascii="Arial" w:hAnsi="Arial" w:cs="Arial"/>
                <w:sz w:val="20"/>
              </w:rPr>
              <w:t>Gruppenpraxis</w:t>
            </w:r>
            <w:proofErr w:type="spellEnd"/>
            <w:r w:rsidRPr="002F6F69">
              <w:rPr>
                <w:rFonts w:ascii="Arial" w:hAnsi="Arial" w:cs="Arial"/>
                <w:sz w:val="20"/>
              </w:rPr>
              <w:t xml:space="preserve"> (individual or group practice)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51012805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46925B4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28.6%</w:t>
            </w:r>
          </w:p>
        </w:tc>
      </w:tr>
      <w:tr w:rsidR="00E67946" w:rsidRPr="002F6F69" w14:paraId="65299A7B" w14:textId="77777777" w:rsidTr="008D4D8A">
        <w:tc>
          <w:tcPr>
            <w:tcW w:w="6530" w:type="dxa"/>
            <w:shd w:val="clear" w:color="auto" w:fill="auto"/>
            <w:hideMark/>
          </w:tcPr>
          <w:p w14:paraId="416B57E0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2F6F69">
              <w:rPr>
                <w:rFonts w:ascii="Arial" w:hAnsi="Arial" w:cs="Arial"/>
                <w:sz w:val="20"/>
              </w:rPr>
              <w:t>Krankenhausambulanz</w:t>
            </w:r>
            <w:proofErr w:type="spellEnd"/>
            <w:r w:rsidRPr="002F6F69">
              <w:rPr>
                <w:rFonts w:ascii="Arial" w:hAnsi="Arial" w:cs="Arial"/>
                <w:sz w:val="20"/>
              </w:rPr>
              <w:t xml:space="preserve"> (hospital outpatient)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4E170ED5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65A0CEC7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0.0%</w:t>
            </w:r>
          </w:p>
        </w:tc>
      </w:tr>
      <w:tr w:rsidR="00E67946" w:rsidRPr="002F6F69" w14:paraId="5A04A561" w14:textId="77777777" w:rsidTr="008D4D8A">
        <w:tc>
          <w:tcPr>
            <w:tcW w:w="6530" w:type="dxa"/>
            <w:shd w:val="clear" w:color="auto" w:fill="auto"/>
            <w:hideMark/>
          </w:tcPr>
          <w:p w14:paraId="081859FF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proofErr w:type="spellStart"/>
            <w:r w:rsidRPr="002F6F69">
              <w:rPr>
                <w:rFonts w:ascii="Arial" w:hAnsi="Arial" w:cs="Arial"/>
                <w:sz w:val="20"/>
              </w:rPr>
              <w:t>Medizinisches</w:t>
            </w:r>
            <w:proofErr w:type="spellEnd"/>
            <w:r w:rsidRPr="002F6F6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6F69">
              <w:rPr>
                <w:rFonts w:ascii="Arial" w:hAnsi="Arial" w:cs="Arial"/>
                <w:sz w:val="20"/>
              </w:rPr>
              <w:t>Versorgungszentrum</w:t>
            </w:r>
            <w:proofErr w:type="spellEnd"/>
            <w:r w:rsidRPr="002F6F69">
              <w:rPr>
                <w:rFonts w:ascii="Arial" w:hAnsi="Arial" w:cs="Arial"/>
                <w:sz w:val="20"/>
              </w:rPr>
              <w:t xml:space="preserve"> (medical care center)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9414209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478F282A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7.1%</w:t>
            </w:r>
          </w:p>
        </w:tc>
      </w:tr>
      <w:tr w:rsidR="00E67946" w:rsidRPr="002F6F69" w14:paraId="5CB9C7D7" w14:textId="77777777" w:rsidTr="008D4D8A">
        <w:tc>
          <w:tcPr>
            <w:tcW w:w="6530" w:type="dxa"/>
            <w:shd w:val="clear" w:color="000000" w:fill="FFFFFF"/>
            <w:noWrap/>
            <w:hideMark/>
          </w:tcPr>
          <w:p w14:paraId="7F495712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2F6F69">
              <w:rPr>
                <w:rFonts w:ascii="Arial" w:hAnsi="Arial" w:cs="Arial"/>
                <w:i/>
                <w:iCs/>
                <w:sz w:val="20"/>
              </w:rPr>
              <w:t>Spain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3B9E4FC4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4366E05A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7525C9C8" w14:textId="77777777" w:rsidTr="008D4D8A">
        <w:tc>
          <w:tcPr>
            <w:tcW w:w="6530" w:type="dxa"/>
            <w:shd w:val="clear" w:color="auto" w:fill="auto"/>
            <w:hideMark/>
          </w:tcPr>
          <w:p w14:paraId="5E347991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Cancer center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1E289030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1530331E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3.3%</w:t>
            </w:r>
          </w:p>
        </w:tc>
      </w:tr>
      <w:tr w:rsidR="00E67946" w:rsidRPr="002F6F69" w14:paraId="6794EDC5" w14:textId="77777777" w:rsidTr="008D4D8A">
        <w:tc>
          <w:tcPr>
            <w:tcW w:w="6530" w:type="dxa"/>
            <w:shd w:val="clear" w:color="auto" w:fill="auto"/>
            <w:hideMark/>
          </w:tcPr>
          <w:p w14:paraId="45BAED39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Public academic/teaching hospital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F2B8F61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52856C1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76.7%</w:t>
            </w:r>
          </w:p>
        </w:tc>
      </w:tr>
      <w:tr w:rsidR="00E67946" w:rsidRPr="002F6F69" w14:paraId="541AAFAD" w14:textId="77777777" w:rsidTr="008D4D8A">
        <w:tc>
          <w:tcPr>
            <w:tcW w:w="6530" w:type="dxa"/>
            <w:shd w:val="clear" w:color="auto" w:fill="auto"/>
            <w:hideMark/>
          </w:tcPr>
          <w:p w14:paraId="57729F98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Other public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63615BD0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290C3359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20.0%</w:t>
            </w:r>
          </w:p>
        </w:tc>
      </w:tr>
      <w:tr w:rsidR="00E67946" w:rsidRPr="002F6F69" w14:paraId="0E826CB9" w14:textId="77777777" w:rsidTr="008D4D8A">
        <w:tc>
          <w:tcPr>
            <w:tcW w:w="6530" w:type="dxa"/>
            <w:shd w:val="clear" w:color="auto" w:fill="auto"/>
            <w:hideMark/>
          </w:tcPr>
          <w:p w14:paraId="1ED27197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Private charity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A5C7D5C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1941DB30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0.0%</w:t>
            </w:r>
          </w:p>
        </w:tc>
      </w:tr>
      <w:tr w:rsidR="00E67946" w:rsidRPr="002F6F69" w14:paraId="5B675350" w14:textId="77777777" w:rsidTr="008D4D8A">
        <w:tc>
          <w:tcPr>
            <w:tcW w:w="6530" w:type="dxa"/>
            <w:shd w:val="clear" w:color="auto" w:fill="auto"/>
            <w:hideMark/>
          </w:tcPr>
          <w:p w14:paraId="3C91B618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Private non-charity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3D039C19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4E883BB4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0.0%</w:t>
            </w:r>
          </w:p>
        </w:tc>
      </w:tr>
      <w:tr w:rsidR="00E67946" w:rsidRPr="002F6F69" w14:paraId="1F66EE00" w14:textId="77777777" w:rsidTr="008D4D8A">
        <w:tc>
          <w:tcPr>
            <w:tcW w:w="6530" w:type="dxa"/>
            <w:shd w:val="clear" w:color="auto" w:fill="auto"/>
            <w:hideMark/>
          </w:tcPr>
          <w:p w14:paraId="25F4059F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1D886B46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15880CFC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0.0%</w:t>
            </w:r>
          </w:p>
        </w:tc>
      </w:tr>
      <w:tr w:rsidR="00E67946" w:rsidRPr="002F6F69" w14:paraId="681CDD6F" w14:textId="77777777" w:rsidTr="008D4D8A">
        <w:tc>
          <w:tcPr>
            <w:tcW w:w="6530" w:type="dxa"/>
            <w:shd w:val="clear" w:color="000000" w:fill="FFFFFF"/>
            <w:noWrap/>
            <w:hideMark/>
          </w:tcPr>
          <w:p w14:paraId="4AC5304B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2F6F69">
              <w:rPr>
                <w:rFonts w:ascii="Arial" w:hAnsi="Arial" w:cs="Arial"/>
                <w:i/>
                <w:iCs/>
                <w:sz w:val="20"/>
              </w:rPr>
              <w:t>Canada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9DA933A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214ED3B7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497BB26A" w14:textId="77777777" w:rsidTr="008D4D8A">
        <w:tc>
          <w:tcPr>
            <w:tcW w:w="6530" w:type="dxa"/>
            <w:shd w:val="clear" w:color="auto" w:fill="auto"/>
            <w:hideMark/>
          </w:tcPr>
          <w:p w14:paraId="3667CFE1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Cancer center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479EBB70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2F898337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50.0%</w:t>
            </w:r>
          </w:p>
        </w:tc>
      </w:tr>
      <w:tr w:rsidR="00E67946" w:rsidRPr="002F6F69" w14:paraId="130CE7DC" w14:textId="77777777" w:rsidTr="008D4D8A">
        <w:tc>
          <w:tcPr>
            <w:tcW w:w="6530" w:type="dxa"/>
            <w:shd w:val="clear" w:color="auto" w:fill="auto"/>
            <w:hideMark/>
          </w:tcPr>
          <w:p w14:paraId="297879C1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Academic/teaching hospital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DE3B483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7390BF6F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40.0%</w:t>
            </w:r>
          </w:p>
        </w:tc>
      </w:tr>
      <w:tr w:rsidR="00E67946" w:rsidRPr="002F6F69" w14:paraId="4A140CBC" w14:textId="77777777" w:rsidTr="008D4D8A">
        <w:tc>
          <w:tcPr>
            <w:tcW w:w="6530" w:type="dxa"/>
            <w:shd w:val="clear" w:color="auto" w:fill="auto"/>
            <w:hideMark/>
          </w:tcPr>
          <w:p w14:paraId="71279100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Community/non-teaching hospital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15F2A20A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183F28FC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10.0%</w:t>
            </w:r>
          </w:p>
        </w:tc>
      </w:tr>
      <w:tr w:rsidR="00E67946" w:rsidRPr="002F6F69" w14:paraId="56FCE132" w14:textId="77777777" w:rsidTr="008D4D8A">
        <w:tc>
          <w:tcPr>
            <w:tcW w:w="6530" w:type="dxa"/>
            <w:shd w:val="clear" w:color="000000" w:fill="FFFFFF"/>
            <w:noWrap/>
            <w:hideMark/>
          </w:tcPr>
          <w:p w14:paraId="7E39632E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2F6F69">
              <w:rPr>
                <w:rFonts w:ascii="Arial" w:hAnsi="Arial" w:cs="Arial"/>
                <w:i/>
                <w:iCs/>
                <w:sz w:val="20"/>
              </w:rPr>
              <w:t>France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7A9EE893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D4D3BD3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 </w:t>
            </w:r>
          </w:p>
        </w:tc>
      </w:tr>
      <w:tr w:rsidR="00E67946" w:rsidRPr="002F6F69" w14:paraId="37EA5392" w14:textId="77777777" w:rsidTr="008D4D8A">
        <w:tc>
          <w:tcPr>
            <w:tcW w:w="6530" w:type="dxa"/>
            <w:shd w:val="clear" w:color="auto" w:fill="auto"/>
            <w:hideMark/>
          </w:tcPr>
          <w:p w14:paraId="3E58294F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Specialized cancer hospital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573595FD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DC7E007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8.3%</w:t>
            </w:r>
          </w:p>
        </w:tc>
      </w:tr>
      <w:tr w:rsidR="00E67946" w:rsidRPr="002F6F69" w14:paraId="44BD43A6" w14:textId="77777777" w:rsidTr="008D4D8A">
        <w:tc>
          <w:tcPr>
            <w:tcW w:w="6530" w:type="dxa"/>
            <w:shd w:val="clear" w:color="auto" w:fill="auto"/>
            <w:hideMark/>
          </w:tcPr>
          <w:p w14:paraId="3394D883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University or regional hospital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7042F693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53FA4F33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F6F69">
              <w:rPr>
                <w:rFonts w:ascii="Arial" w:hAnsi="Arial" w:cs="Arial"/>
                <w:b/>
                <w:bCs/>
                <w:sz w:val="20"/>
              </w:rPr>
              <w:t>54.2%</w:t>
            </w:r>
          </w:p>
        </w:tc>
      </w:tr>
      <w:tr w:rsidR="00E67946" w:rsidRPr="002F6F69" w14:paraId="59B3B479" w14:textId="77777777" w:rsidTr="008D4D8A">
        <w:tc>
          <w:tcPr>
            <w:tcW w:w="6530" w:type="dxa"/>
            <w:shd w:val="clear" w:color="auto" w:fill="auto"/>
            <w:hideMark/>
          </w:tcPr>
          <w:p w14:paraId="2BD91544" w14:textId="77777777" w:rsidR="00E67946" w:rsidRPr="002F6F69" w:rsidRDefault="00E67946" w:rsidP="008D4D8A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General hospital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4211A300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9A713E9" w14:textId="77777777" w:rsidR="00E67946" w:rsidRPr="002F6F69" w:rsidRDefault="00E67946" w:rsidP="008D4D8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F6F69">
              <w:rPr>
                <w:rFonts w:ascii="Arial" w:hAnsi="Arial" w:cs="Arial"/>
                <w:sz w:val="20"/>
              </w:rPr>
              <w:t>37.5%</w:t>
            </w:r>
          </w:p>
        </w:tc>
      </w:tr>
    </w:tbl>
    <w:p w14:paraId="388058BF" w14:textId="77777777" w:rsidR="009135FA" w:rsidRDefault="009135FA" w:rsidP="00E67946">
      <w:pPr>
        <w:pStyle w:val="Heading2"/>
      </w:pPr>
    </w:p>
    <w:p w14:paraId="7806601C" w14:textId="7A3E0630" w:rsidR="00E67946" w:rsidRPr="00733887" w:rsidRDefault="00E67946" w:rsidP="00E67946">
      <w:pPr>
        <w:pStyle w:val="Heading2"/>
      </w:pPr>
      <w:r w:rsidRPr="00733887">
        <w:t xml:space="preserve">Supplemental Table </w:t>
      </w:r>
      <w:r>
        <w:t>2.</w:t>
      </w:r>
      <w:r w:rsidRPr="00733887">
        <w:t xml:space="preserve"> Symptom characteristics and distribution</w:t>
      </w:r>
      <w:r>
        <w:t xml:space="preserve"> at </w:t>
      </w:r>
      <w:proofErr w:type="spellStart"/>
      <w:r>
        <w:t>ruxolitinib</w:t>
      </w:r>
      <w:proofErr w:type="spellEnd"/>
      <w:r>
        <w:t xml:space="preserve"> initiation</w:t>
      </w:r>
      <w:r w:rsidRPr="00733887">
        <w:t xml:space="preserve">. </w:t>
      </w:r>
    </w:p>
    <w:p w14:paraId="27A20D5B" w14:textId="77777777" w:rsidR="00E67946" w:rsidRPr="00733887" w:rsidRDefault="00E67946" w:rsidP="00E67946"/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2" w:space="0" w:color="DDDDD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49"/>
        <w:gridCol w:w="2977"/>
      </w:tblGrid>
      <w:tr w:rsidR="00E67946" w:rsidRPr="00733887" w14:paraId="02D999E5" w14:textId="77777777" w:rsidTr="008D4D8A">
        <w:trPr>
          <w:cantSplit/>
          <w:tblHeader/>
        </w:trPr>
        <w:tc>
          <w:tcPr>
            <w:tcW w:w="3351" w:type="pct"/>
            <w:tcBorders>
              <w:top w:val="single" w:sz="12" w:space="0" w:color="000000"/>
              <w:bottom w:val="single" w:sz="2" w:space="0" w:color="DDDDDD"/>
            </w:tcBorders>
            <w:shd w:val="clear" w:color="auto" w:fill="D9D9D9" w:themeFill="background1" w:themeFillShade="D9"/>
            <w:vAlign w:val="bottom"/>
          </w:tcPr>
          <w:p w14:paraId="0EE72737" w14:textId="77777777" w:rsidR="00E67946" w:rsidRPr="00733887" w:rsidRDefault="00E67946" w:rsidP="008D4D8A">
            <w:pPr>
              <w:pStyle w:val="Tableheadings"/>
              <w:jc w:val="left"/>
            </w:pPr>
            <w:r w:rsidRPr="00733887">
              <w:t>MF-related symptoms, n (%)</w:t>
            </w:r>
          </w:p>
        </w:tc>
        <w:tc>
          <w:tcPr>
            <w:tcW w:w="1649" w:type="pct"/>
            <w:tcBorders>
              <w:top w:val="single" w:sz="12" w:space="0" w:color="000000"/>
              <w:bottom w:val="single" w:sz="2" w:space="0" w:color="DDDDDD"/>
            </w:tcBorders>
            <w:shd w:val="clear" w:color="auto" w:fill="D9D9D9" w:themeFill="background1" w:themeFillShade="D9"/>
            <w:vAlign w:val="bottom"/>
          </w:tcPr>
          <w:p w14:paraId="54D82393" w14:textId="77777777" w:rsidR="00E67946" w:rsidRPr="00733887" w:rsidRDefault="00E67946" w:rsidP="008D4D8A">
            <w:pPr>
              <w:pStyle w:val="Tableheadings"/>
            </w:pPr>
            <w:r w:rsidRPr="00733887">
              <w:t>All Patients (N = 469)</w:t>
            </w:r>
          </w:p>
        </w:tc>
      </w:tr>
      <w:tr w:rsidR="00E67946" w:rsidRPr="00733887" w14:paraId="0F06A047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70F19159" w14:textId="77777777" w:rsidR="00E67946" w:rsidRPr="00733887" w:rsidRDefault="00E67946" w:rsidP="008D4D8A">
            <w:pPr>
              <w:pStyle w:val="Tabletextindented"/>
            </w:pPr>
            <w:r w:rsidRPr="00733887">
              <w:t>Fatigue</w:t>
            </w:r>
          </w:p>
        </w:tc>
        <w:tc>
          <w:tcPr>
            <w:tcW w:w="1649" w:type="pct"/>
            <w:shd w:val="clear" w:color="auto" w:fill="auto"/>
          </w:tcPr>
          <w:p w14:paraId="7E61F526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398 (84.9)</w:t>
            </w:r>
          </w:p>
        </w:tc>
      </w:tr>
      <w:tr w:rsidR="00E67946" w:rsidRPr="00733887" w14:paraId="358E61D7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0C3F85CF" w14:textId="77777777" w:rsidR="00E67946" w:rsidRPr="00733887" w:rsidRDefault="00E67946" w:rsidP="008D4D8A">
            <w:pPr>
              <w:pStyle w:val="Tabletextindented"/>
            </w:pPr>
            <w:r w:rsidRPr="00733887">
              <w:t>Early satiety</w:t>
            </w:r>
          </w:p>
        </w:tc>
        <w:tc>
          <w:tcPr>
            <w:tcW w:w="1649" w:type="pct"/>
            <w:shd w:val="clear" w:color="auto" w:fill="auto"/>
          </w:tcPr>
          <w:p w14:paraId="7BFD0AA5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213 (45.4)</w:t>
            </w:r>
          </w:p>
        </w:tc>
      </w:tr>
      <w:tr w:rsidR="00E67946" w:rsidRPr="00733887" w14:paraId="315F29A0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324C3F5C" w14:textId="77777777" w:rsidR="00E67946" w:rsidRPr="00733887" w:rsidRDefault="00E67946" w:rsidP="008D4D8A">
            <w:pPr>
              <w:pStyle w:val="Tabletextindented"/>
            </w:pPr>
            <w:r w:rsidRPr="00733887">
              <w:t>Abdominal discomfort</w:t>
            </w:r>
          </w:p>
        </w:tc>
        <w:tc>
          <w:tcPr>
            <w:tcW w:w="1649" w:type="pct"/>
            <w:shd w:val="clear" w:color="auto" w:fill="auto"/>
          </w:tcPr>
          <w:p w14:paraId="3227867D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294 (62.7)</w:t>
            </w:r>
          </w:p>
        </w:tc>
      </w:tr>
      <w:tr w:rsidR="00E67946" w:rsidRPr="00733887" w14:paraId="3F606681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2ACCAC27" w14:textId="77777777" w:rsidR="00E67946" w:rsidRPr="00733887" w:rsidRDefault="00E67946" w:rsidP="008D4D8A">
            <w:pPr>
              <w:pStyle w:val="Tabletextindented"/>
            </w:pPr>
            <w:r w:rsidRPr="00733887">
              <w:t>Inactivity</w:t>
            </w:r>
          </w:p>
        </w:tc>
        <w:tc>
          <w:tcPr>
            <w:tcW w:w="1649" w:type="pct"/>
            <w:shd w:val="clear" w:color="auto" w:fill="auto"/>
          </w:tcPr>
          <w:p w14:paraId="08F52385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141 (30.1)</w:t>
            </w:r>
          </w:p>
        </w:tc>
      </w:tr>
      <w:tr w:rsidR="00E67946" w:rsidRPr="00733887" w14:paraId="674BE4AB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70493DC0" w14:textId="77777777" w:rsidR="00E67946" w:rsidRPr="00733887" w:rsidRDefault="00E67946" w:rsidP="008D4D8A">
            <w:pPr>
              <w:pStyle w:val="Tabletextindented"/>
            </w:pPr>
            <w:r w:rsidRPr="00733887">
              <w:t>Problems with concentration</w:t>
            </w:r>
          </w:p>
        </w:tc>
        <w:tc>
          <w:tcPr>
            <w:tcW w:w="1649" w:type="pct"/>
            <w:shd w:val="clear" w:color="auto" w:fill="auto"/>
          </w:tcPr>
          <w:p w14:paraId="44D2D540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83 (17.7)</w:t>
            </w:r>
          </w:p>
        </w:tc>
      </w:tr>
      <w:tr w:rsidR="00E67946" w:rsidRPr="00733887" w14:paraId="05AD0057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65906DF4" w14:textId="77777777" w:rsidR="00E67946" w:rsidRPr="00733887" w:rsidRDefault="00E67946" w:rsidP="008D4D8A">
            <w:pPr>
              <w:pStyle w:val="Tabletextindented"/>
            </w:pPr>
            <w:r w:rsidRPr="00733887">
              <w:t>Numbness/tingling (in hands/feet)</w:t>
            </w:r>
          </w:p>
        </w:tc>
        <w:tc>
          <w:tcPr>
            <w:tcW w:w="1649" w:type="pct"/>
            <w:shd w:val="clear" w:color="auto" w:fill="auto"/>
          </w:tcPr>
          <w:p w14:paraId="70D710D0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46 (9.8)</w:t>
            </w:r>
          </w:p>
        </w:tc>
      </w:tr>
      <w:tr w:rsidR="00E67946" w:rsidRPr="00733887" w14:paraId="12FA62CD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58F2B7FC" w14:textId="77777777" w:rsidR="00E67946" w:rsidRPr="00733887" w:rsidRDefault="00E67946" w:rsidP="008D4D8A">
            <w:pPr>
              <w:pStyle w:val="Tabletextindented"/>
            </w:pPr>
            <w:r w:rsidRPr="00733887">
              <w:t>Night sweats</w:t>
            </w:r>
          </w:p>
        </w:tc>
        <w:tc>
          <w:tcPr>
            <w:tcW w:w="1649" w:type="pct"/>
            <w:shd w:val="clear" w:color="auto" w:fill="auto"/>
          </w:tcPr>
          <w:p w14:paraId="72892918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242 (51.6)</w:t>
            </w:r>
          </w:p>
        </w:tc>
      </w:tr>
      <w:tr w:rsidR="00E67946" w:rsidRPr="00733887" w14:paraId="055311B4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2AAD074C" w14:textId="77777777" w:rsidR="00E67946" w:rsidRPr="00733887" w:rsidRDefault="00E67946" w:rsidP="008D4D8A">
            <w:pPr>
              <w:pStyle w:val="Tabletextindented"/>
            </w:pPr>
            <w:r w:rsidRPr="00733887">
              <w:t>Itching/pruritus</w:t>
            </w:r>
          </w:p>
        </w:tc>
        <w:tc>
          <w:tcPr>
            <w:tcW w:w="1649" w:type="pct"/>
            <w:shd w:val="clear" w:color="auto" w:fill="auto"/>
          </w:tcPr>
          <w:p w14:paraId="4AFDCA9F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147 (31.3)</w:t>
            </w:r>
          </w:p>
        </w:tc>
      </w:tr>
      <w:tr w:rsidR="00E67946" w:rsidRPr="00733887" w14:paraId="45439F49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5EDAD4FF" w14:textId="77777777" w:rsidR="00E67946" w:rsidRPr="00733887" w:rsidRDefault="00E67946" w:rsidP="008D4D8A">
            <w:pPr>
              <w:pStyle w:val="Tabletextindented"/>
            </w:pPr>
            <w:r w:rsidRPr="00733887">
              <w:t>Bone pain</w:t>
            </w:r>
          </w:p>
        </w:tc>
        <w:tc>
          <w:tcPr>
            <w:tcW w:w="1649" w:type="pct"/>
            <w:shd w:val="clear" w:color="auto" w:fill="auto"/>
          </w:tcPr>
          <w:p w14:paraId="0C2A13BB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103 (22)</w:t>
            </w:r>
          </w:p>
        </w:tc>
      </w:tr>
      <w:tr w:rsidR="00E67946" w:rsidRPr="00733887" w14:paraId="76E3B29B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4E428FC1" w14:textId="77777777" w:rsidR="00E67946" w:rsidRPr="00733887" w:rsidRDefault="00E67946" w:rsidP="008D4D8A">
            <w:pPr>
              <w:pStyle w:val="Tabletextindented"/>
            </w:pPr>
            <w:r w:rsidRPr="00733887">
              <w:t>Fever</w:t>
            </w:r>
          </w:p>
        </w:tc>
        <w:tc>
          <w:tcPr>
            <w:tcW w:w="1649" w:type="pct"/>
            <w:shd w:val="clear" w:color="auto" w:fill="auto"/>
          </w:tcPr>
          <w:p w14:paraId="6A91CFF4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89 (19)</w:t>
            </w:r>
          </w:p>
        </w:tc>
      </w:tr>
      <w:tr w:rsidR="00E67946" w:rsidRPr="00733887" w14:paraId="2E18C02F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1847E4E3" w14:textId="77777777" w:rsidR="00E67946" w:rsidRPr="00733887" w:rsidRDefault="00E67946" w:rsidP="008D4D8A">
            <w:pPr>
              <w:pStyle w:val="Tabletextindented"/>
            </w:pPr>
            <w:r w:rsidRPr="00733887">
              <w:t xml:space="preserve">Unintentional weight loss in the last 6 </w:t>
            </w:r>
            <w:proofErr w:type="spellStart"/>
            <w:r w:rsidRPr="00733887">
              <w:t>mo</w:t>
            </w:r>
            <w:proofErr w:type="spellEnd"/>
          </w:p>
        </w:tc>
        <w:tc>
          <w:tcPr>
            <w:tcW w:w="1649" w:type="pct"/>
            <w:shd w:val="clear" w:color="auto" w:fill="auto"/>
          </w:tcPr>
          <w:p w14:paraId="1924A69E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183 (39)</w:t>
            </w:r>
          </w:p>
        </w:tc>
      </w:tr>
      <w:tr w:rsidR="00E67946" w:rsidRPr="00733887" w14:paraId="21C404D1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06919B2D" w14:textId="77777777" w:rsidR="00E67946" w:rsidRPr="00733887" w:rsidRDefault="00E67946" w:rsidP="008D4D8A">
            <w:pPr>
              <w:pStyle w:val="Tabletextindented"/>
            </w:pPr>
            <w:r w:rsidRPr="00733887">
              <w:t>Not evaluated</w:t>
            </w:r>
          </w:p>
        </w:tc>
        <w:tc>
          <w:tcPr>
            <w:tcW w:w="1649" w:type="pct"/>
            <w:shd w:val="clear" w:color="auto" w:fill="auto"/>
          </w:tcPr>
          <w:p w14:paraId="1AFAC77F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10 (2.1)</w:t>
            </w:r>
          </w:p>
        </w:tc>
      </w:tr>
      <w:tr w:rsidR="00E67946" w:rsidRPr="00733887" w14:paraId="246B7FE1" w14:textId="77777777" w:rsidTr="008D4D8A">
        <w:trPr>
          <w:cantSplit/>
        </w:trPr>
        <w:tc>
          <w:tcPr>
            <w:tcW w:w="3351" w:type="pct"/>
            <w:shd w:val="clear" w:color="auto" w:fill="auto"/>
          </w:tcPr>
          <w:p w14:paraId="77F989CF" w14:textId="77777777" w:rsidR="00E67946" w:rsidRPr="00733887" w:rsidRDefault="00E67946" w:rsidP="008D4D8A">
            <w:pPr>
              <w:pStyle w:val="Tabletextindented"/>
            </w:pPr>
            <w:r w:rsidRPr="00733887">
              <w:t>Unknown</w:t>
            </w:r>
          </w:p>
        </w:tc>
        <w:tc>
          <w:tcPr>
            <w:tcW w:w="1649" w:type="pct"/>
            <w:shd w:val="clear" w:color="auto" w:fill="auto"/>
          </w:tcPr>
          <w:p w14:paraId="3B28B9C5" w14:textId="77777777" w:rsidR="00E67946" w:rsidRPr="00733887" w:rsidRDefault="00E67946" w:rsidP="008D4D8A">
            <w:pPr>
              <w:pStyle w:val="Tabletext"/>
              <w:jc w:val="center"/>
            </w:pPr>
            <w:r w:rsidRPr="00733887">
              <w:t>8 (1.7)</w:t>
            </w:r>
          </w:p>
        </w:tc>
      </w:tr>
    </w:tbl>
    <w:p w14:paraId="4B158EE3" w14:textId="77777777" w:rsidR="00E67946" w:rsidRPr="00733887" w:rsidRDefault="00E67946" w:rsidP="00E67946"/>
    <w:p w14:paraId="1517847E" w14:textId="77777777" w:rsidR="00E67946" w:rsidRPr="00733887" w:rsidRDefault="00E67946" w:rsidP="00E67946"/>
    <w:p w14:paraId="42428A13" w14:textId="77777777" w:rsidR="00E67946" w:rsidRPr="00733887" w:rsidRDefault="00E67946" w:rsidP="00E67946">
      <w:pPr>
        <w:spacing w:line="240" w:lineRule="auto"/>
        <w:rPr>
          <w:rFonts w:ascii="Arial" w:hAnsi="Arial"/>
          <w:b/>
        </w:rPr>
      </w:pPr>
      <w:r w:rsidRPr="00733887">
        <w:br w:type="page"/>
      </w:r>
    </w:p>
    <w:p w14:paraId="0DB7CC81" w14:textId="77777777" w:rsidR="00E67946" w:rsidRPr="00733887" w:rsidRDefault="00E67946" w:rsidP="00E67946">
      <w:pPr>
        <w:pStyle w:val="tabfigtitle"/>
      </w:pPr>
      <w:r w:rsidRPr="00733887">
        <w:lastRenderedPageBreak/>
        <w:t xml:space="preserve">Supplemental Table </w:t>
      </w:r>
      <w:r>
        <w:t>3</w:t>
      </w:r>
      <w:r w:rsidRPr="00733887">
        <w:t>. Factors Associated with Risk of Survival Including Receipt of Subsequent MF Treatment</w:t>
      </w:r>
    </w:p>
    <w:tbl>
      <w:tblPr>
        <w:tblStyle w:val="TableGrid"/>
        <w:tblW w:w="5000" w:type="pct"/>
        <w:tblBorders>
          <w:top w:val="single" w:sz="12" w:space="0" w:color="000000"/>
          <w:left w:val="none" w:sz="0" w:space="0" w:color="auto"/>
          <w:bottom w:val="single" w:sz="12" w:space="0" w:color="000000"/>
          <w:right w:val="none" w:sz="0" w:space="0" w:color="auto"/>
          <w:insideH w:val="single" w:sz="2" w:space="0" w:color="DDDDDD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2953"/>
        <w:gridCol w:w="1775"/>
      </w:tblGrid>
      <w:tr w:rsidR="00E67946" w:rsidRPr="00733887" w14:paraId="37A4E53A" w14:textId="77777777" w:rsidTr="008D4D8A">
        <w:trPr>
          <w:cantSplit/>
          <w:tblHeader/>
        </w:trPr>
        <w:tc>
          <w:tcPr>
            <w:tcW w:w="4461" w:type="dxa"/>
            <w:tcBorders>
              <w:top w:val="single" w:sz="12" w:space="0" w:color="000000"/>
              <w:bottom w:val="single" w:sz="2" w:space="0" w:color="DDDDDD"/>
            </w:tcBorders>
            <w:shd w:val="clear" w:color="auto" w:fill="E6E6E6"/>
            <w:vAlign w:val="bottom"/>
          </w:tcPr>
          <w:p w14:paraId="5F2D1CEB" w14:textId="77777777" w:rsidR="00E67946" w:rsidRPr="00733887" w:rsidRDefault="00E67946" w:rsidP="008D4D8A">
            <w:pPr>
              <w:pStyle w:val="Tableheadings"/>
              <w:jc w:val="left"/>
            </w:pPr>
            <w:r w:rsidRPr="00733887">
              <w:t>Covariate</w:t>
            </w:r>
          </w:p>
        </w:tc>
        <w:tc>
          <w:tcPr>
            <w:tcW w:w="3062" w:type="dxa"/>
            <w:tcBorders>
              <w:top w:val="single" w:sz="12" w:space="0" w:color="000000"/>
              <w:bottom w:val="single" w:sz="2" w:space="0" w:color="DDDDDD"/>
            </w:tcBorders>
            <w:shd w:val="clear" w:color="auto" w:fill="E6E6E6"/>
            <w:vAlign w:val="bottom"/>
          </w:tcPr>
          <w:p w14:paraId="60BB5C14" w14:textId="77777777" w:rsidR="00E67946" w:rsidRPr="00733887" w:rsidRDefault="00E67946" w:rsidP="008D4D8A">
            <w:pPr>
              <w:pStyle w:val="Tableheadings"/>
            </w:pPr>
            <w:r w:rsidRPr="00733887">
              <w:t>HR (95% CI)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2" w:space="0" w:color="DDDDDD"/>
            </w:tcBorders>
            <w:shd w:val="clear" w:color="auto" w:fill="E6E6E6"/>
            <w:vAlign w:val="bottom"/>
          </w:tcPr>
          <w:p w14:paraId="0EC85D03" w14:textId="77777777" w:rsidR="00E67946" w:rsidRPr="00733887" w:rsidRDefault="00E67946" w:rsidP="008D4D8A">
            <w:pPr>
              <w:pStyle w:val="Tableheadings"/>
            </w:pPr>
            <w:r w:rsidRPr="00733887">
              <w:rPr>
                <w:i/>
                <w:iCs/>
              </w:rPr>
              <w:t>P</w:t>
            </w:r>
            <w:r w:rsidRPr="00733887">
              <w:t xml:space="preserve"> Value</w:t>
            </w:r>
          </w:p>
        </w:tc>
      </w:tr>
      <w:tr w:rsidR="00E67946" w:rsidRPr="00733887" w14:paraId="2A4B224F" w14:textId="77777777" w:rsidTr="008D4D8A">
        <w:trPr>
          <w:cantSplit/>
        </w:trPr>
        <w:tc>
          <w:tcPr>
            <w:tcW w:w="4461" w:type="dxa"/>
            <w:tcBorders>
              <w:top w:val="single" w:sz="2" w:space="0" w:color="DDDDDD"/>
            </w:tcBorders>
            <w:shd w:val="clear" w:color="auto" w:fill="auto"/>
          </w:tcPr>
          <w:p w14:paraId="4BFAB132" w14:textId="77777777" w:rsidR="00E67946" w:rsidRPr="00733887" w:rsidRDefault="00E67946" w:rsidP="008D4D8A">
            <w:pPr>
              <w:pStyle w:val="Tabletext"/>
            </w:pPr>
            <w:r w:rsidRPr="00733887">
              <w:t>Age group at initial primary MF or secondary MF diagnosis, y</w:t>
            </w:r>
          </w:p>
        </w:tc>
        <w:tc>
          <w:tcPr>
            <w:tcW w:w="3062" w:type="dxa"/>
            <w:tcBorders>
              <w:top w:val="single" w:sz="2" w:space="0" w:color="DDDDDD"/>
            </w:tcBorders>
            <w:shd w:val="clear" w:color="auto" w:fill="auto"/>
            <w:vAlign w:val="bottom"/>
          </w:tcPr>
          <w:p w14:paraId="6B6C9DCF" w14:textId="77777777" w:rsidR="00E67946" w:rsidRPr="00733887" w:rsidRDefault="00E67946" w:rsidP="008D4D8A">
            <w:pPr>
              <w:pStyle w:val="tabfigtitle"/>
              <w:spacing w:before="0" w:line="24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733887">
              <w:rPr>
                <w:rFonts w:cs="Arial"/>
                <w:b w:val="0"/>
                <w:bCs/>
                <w:color w:val="000000"/>
                <w:sz w:val="20"/>
              </w:rPr>
              <w:t> </w:t>
            </w:r>
          </w:p>
        </w:tc>
        <w:tc>
          <w:tcPr>
            <w:tcW w:w="1837" w:type="dxa"/>
            <w:tcBorders>
              <w:top w:val="single" w:sz="2" w:space="0" w:color="DDDDDD"/>
            </w:tcBorders>
            <w:shd w:val="clear" w:color="auto" w:fill="auto"/>
            <w:vAlign w:val="bottom"/>
          </w:tcPr>
          <w:p w14:paraId="40EEF573" w14:textId="77777777" w:rsidR="00E67946" w:rsidRPr="00733887" w:rsidRDefault="00E67946" w:rsidP="008D4D8A">
            <w:pPr>
              <w:pStyle w:val="tabfigtitle"/>
              <w:spacing w:before="0" w:line="24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733887">
              <w:rPr>
                <w:rFonts w:cs="Arial"/>
                <w:b w:val="0"/>
                <w:bCs/>
                <w:color w:val="000000"/>
                <w:sz w:val="20"/>
              </w:rPr>
              <w:t> </w:t>
            </w:r>
          </w:p>
        </w:tc>
      </w:tr>
      <w:tr w:rsidR="00E67946" w:rsidRPr="00733887" w14:paraId="5A7E9541" w14:textId="77777777" w:rsidTr="008D4D8A">
        <w:trPr>
          <w:cantSplit/>
          <w:trHeight w:val="256"/>
        </w:trPr>
        <w:tc>
          <w:tcPr>
            <w:tcW w:w="4461" w:type="dxa"/>
            <w:shd w:val="clear" w:color="auto" w:fill="auto"/>
          </w:tcPr>
          <w:p w14:paraId="1F6FE8E6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≥ 65</w:t>
            </w:r>
          </w:p>
        </w:tc>
        <w:tc>
          <w:tcPr>
            <w:tcW w:w="3062" w:type="dxa"/>
            <w:shd w:val="clear" w:color="auto" w:fill="auto"/>
          </w:tcPr>
          <w:p w14:paraId="23467BE0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1.00</w:t>
            </w:r>
          </w:p>
        </w:tc>
        <w:tc>
          <w:tcPr>
            <w:tcW w:w="1837" w:type="dxa"/>
            <w:shd w:val="clear" w:color="auto" w:fill="auto"/>
          </w:tcPr>
          <w:p w14:paraId="620AFC51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39E35641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4530B2AF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&lt;65</w:t>
            </w:r>
          </w:p>
        </w:tc>
        <w:tc>
          <w:tcPr>
            <w:tcW w:w="3062" w:type="dxa"/>
            <w:shd w:val="clear" w:color="auto" w:fill="auto"/>
          </w:tcPr>
          <w:p w14:paraId="7843B5C4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0.43 (0.32-0.57)</w:t>
            </w:r>
          </w:p>
        </w:tc>
        <w:tc>
          <w:tcPr>
            <w:tcW w:w="1837" w:type="dxa"/>
            <w:shd w:val="clear" w:color="auto" w:fill="auto"/>
          </w:tcPr>
          <w:p w14:paraId="58A12A5F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&lt;0.0001</w:t>
            </w:r>
          </w:p>
        </w:tc>
      </w:tr>
      <w:tr w:rsidR="00E67946" w:rsidRPr="00733887" w14:paraId="4A2417D8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6170C9FD" w14:textId="77777777" w:rsidR="00E67946" w:rsidRPr="00733887" w:rsidRDefault="00E67946" w:rsidP="008D4D8A">
            <w:pPr>
              <w:pStyle w:val="Tabletext"/>
            </w:pPr>
            <w:r w:rsidRPr="00733887">
              <w:t>Gender</w:t>
            </w:r>
          </w:p>
        </w:tc>
        <w:tc>
          <w:tcPr>
            <w:tcW w:w="3062" w:type="dxa"/>
            <w:shd w:val="clear" w:color="auto" w:fill="auto"/>
          </w:tcPr>
          <w:p w14:paraId="3F01C89A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42797FAE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1BB222B0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65B386F1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Male</w:t>
            </w:r>
          </w:p>
        </w:tc>
        <w:tc>
          <w:tcPr>
            <w:tcW w:w="3062" w:type="dxa"/>
            <w:shd w:val="clear" w:color="auto" w:fill="auto"/>
          </w:tcPr>
          <w:p w14:paraId="334CC4B6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1.00</w:t>
            </w:r>
          </w:p>
        </w:tc>
        <w:tc>
          <w:tcPr>
            <w:tcW w:w="1837" w:type="dxa"/>
            <w:shd w:val="clear" w:color="auto" w:fill="auto"/>
          </w:tcPr>
          <w:p w14:paraId="232348F2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09862F94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1BE98B50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Female</w:t>
            </w:r>
          </w:p>
        </w:tc>
        <w:tc>
          <w:tcPr>
            <w:tcW w:w="3062" w:type="dxa"/>
            <w:shd w:val="clear" w:color="auto" w:fill="auto"/>
          </w:tcPr>
          <w:p w14:paraId="69923994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0.89 (0.68-1.17)</w:t>
            </w:r>
          </w:p>
        </w:tc>
        <w:tc>
          <w:tcPr>
            <w:tcW w:w="1837" w:type="dxa"/>
            <w:shd w:val="clear" w:color="auto" w:fill="auto"/>
          </w:tcPr>
          <w:p w14:paraId="29B7C17A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0.3922</w:t>
            </w:r>
          </w:p>
        </w:tc>
      </w:tr>
      <w:tr w:rsidR="00E67946" w:rsidRPr="00733887" w14:paraId="594B414A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7BDBF476" w14:textId="77777777" w:rsidR="00E67946" w:rsidRPr="00733887" w:rsidRDefault="00E67946" w:rsidP="008D4D8A">
            <w:pPr>
              <w:pStyle w:val="Tabletext"/>
              <w:rPr>
                <w:vertAlign w:val="superscript"/>
              </w:rPr>
            </w:pPr>
            <w:r w:rsidRPr="00733887">
              <w:t xml:space="preserve">Receipt of MF-related treatment before </w:t>
            </w:r>
            <w:proofErr w:type="spellStart"/>
            <w:r w:rsidRPr="00733887">
              <w:t>ruxolitinib</w:t>
            </w:r>
            <w:proofErr w:type="spellEnd"/>
            <w:r w:rsidRPr="00733887">
              <w:t xml:space="preserve"> </w:t>
            </w:r>
            <w:proofErr w:type="spellStart"/>
            <w:r w:rsidRPr="00733887">
              <w:t>initiation</w:t>
            </w:r>
            <w:r w:rsidRPr="0073388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3062" w:type="dxa"/>
            <w:shd w:val="clear" w:color="auto" w:fill="auto"/>
          </w:tcPr>
          <w:p w14:paraId="403E5FCF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33EE554D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19EFA22C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37149750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No</w:t>
            </w:r>
          </w:p>
        </w:tc>
        <w:tc>
          <w:tcPr>
            <w:tcW w:w="3062" w:type="dxa"/>
            <w:shd w:val="clear" w:color="auto" w:fill="auto"/>
          </w:tcPr>
          <w:p w14:paraId="2BFDB354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1.00</w:t>
            </w:r>
          </w:p>
        </w:tc>
        <w:tc>
          <w:tcPr>
            <w:tcW w:w="1837" w:type="dxa"/>
            <w:shd w:val="clear" w:color="auto" w:fill="auto"/>
          </w:tcPr>
          <w:p w14:paraId="3ED55A22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3BB25AD0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192D20F8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Yes</w:t>
            </w:r>
          </w:p>
        </w:tc>
        <w:tc>
          <w:tcPr>
            <w:tcW w:w="3062" w:type="dxa"/>
            <w:shd w:val="clear" w:color="auto" w:fill="auto"/>
          </w:tcPr>
          <w:p w14:paraId="7356794C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1.12 (0.86-1.46)</w:t>
            </w:r>
          </w:p>
        </w:tc>
        <w:tc>
          <w:tcPr>
            <w:tcW w:w="1837" w:type="dxa"/>
            <w:shd w:val="clear" w:color="auto" w:fill="auto"/>
          </w:tcPr>
          <w:p w14:paraId="57784315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0.4112</w:t>
            </w:r>
          </w:p>
        </w:tc>
      </w:tr>
      <w:tr w:rsidR="00E67946" w:rsidRPr="00733887" w14:paraId="6927FA11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4452C3C4" w14:textId="77777777" w:rsidR="00E67946" w:rsidRPr="00733887" w:rsidRDefault="00E67946" w:rsidP="008D4D8A">
            <w:pPr>
              <w:pStyle w:val="Tabletext"/>
            </w:pPr>
            <w:r w:rsidRPr="00733887">
              <w:t xml:space="preserve">Risk status at </w:t>
            </w:r>
            <w:proofErr w:type="spellStart"/>
            <w:r w:rsidRPr="00733887">
              <w:t>ruxolitinib</w:t>
            </w:r>
            <w:proofErr w:type="spellEnd"/>
            <w:r w:rsidRPr="00733887">
              <w:t xml:space="preserve"> initiation</w:t>
            </w:r>
          </w:p>
        </w:tc>
        <w:tc>
          <w:tcPr>
            <w:tcW w:w="3062" w:type="dxa"/>
            <w:shd w:val="clear" w:color="auto" w:fill="auto"/>
          </w:tcPr>
          <w:p w14:paraId="362D06C1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7868D7B4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1238C65F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3DB14ABF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 xml:space="preserve">Intermediate </w:t>
            </w:r>
            <w:proofErr w:type="spellStart"/>
            <w:r w:rsidRPr="00733887">
              <w:t>risk</w:t>
            </w:r>
            <w:r w:rsidRPr="0073388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3062" w:type="dxa"/>
            <w:shd w:val="clear" w:color="auto" w:fill="auto"/>
          </w:tcPr>
          <w:p w14:paraId="558D62CB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1.00</w:t>
            </w:r>
          </w:p>
        </w:tc>
        <w:tc>
          <w:tcPr>
            <w:tcW w:w="1837" w:type="dxa"/>
            <w:shd w:val="clear" w:color="auto" w:fill="auto"/>
          </w:tcPr>
          <w:p w14:paraId="2C13E4AF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0D11E083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271EF837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High/very high risk</w:t>
            </w:r>
          </w:p>
        </w:tc>
        <w:tc>
          <w:tcPr>
            <w:tcW w:w="3062" w:type="dxa"/>
            <w:shd w:val="clear" w:color="auto" w:fill="auto"/>
          </w:tcPr>
          <w:p w14:paraId="6A251751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1.48 (1.10-1.98)</w:t>
            </w:r>
          </w:p>
        </w:tc>
        <w:tc>
          <w:tcPr>
            <w:tcW w:w="1837" w:type="dxa"/>
            <w:shd w:val="clear" w:color="auto" w:fill="auto"/>
          </w:tcPr>
          <w:p w14:paraId="2BFC6741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0.0085</w:t>
            </w:r>
          </w:p>
        </w:tc>
      </w:tr>
      <w:tr w:rsidR="00E67946" w:rsidRPr="00733887" w14:paraId="38E7F840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01DEC867" w14:textId="77777777" w:rsidR="00E67946" w:rsidRPr="00733887" w:rsidRDefault="00E67946" w:rsidP="008D4D8A">
            <w:pPr>
              <w:pStyle w:val="Tabletext"/>
            </w:pPr>
            <w:r w:rsidRPr="00733887">
              <w:t xml:space="preserve">Physical evaluation at </w:t>
            </w:r>
            <w:proofErr w:type="spellStart"/>
            <w:r w:rsidRPr="00733887">
              <w:t>ruxolitinib</w:t>
            </w:r>
            <w:proofErr w:type="spellEnd"/>
            <w:r w:rsidRPr="00733887">
              <w:t xml:space="preserve"> Initiation</w:t>
            </w:r>
          </w:p>
        </w:tc>
        <w:tc>
          <w:tcPr>
            <w:tcW w:w="3062" w:type="dxa"/>
            <w:shd w:val="clear" w:color="auto" w:fill="auto"/>
          </w:tcPr>
          <w:p w14:paraId="5ABABD7B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4903FC04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1543D33F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362B7E13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Very mild or mild splenomegaly</w:t>
            </w:r>
          </w:p>
        </w:tc>
        <w:tc>
          <w:tcPr>
            <w:tcW w:w="3062" w:type="dxa"/>
            <w:shd w:val="clear" w:color="auto" w:fill="auto"/>
          </w:tcPr>
          <w:p w14:paraId="3D907C0A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1.00</w:t>
            </w:r>
          </w:p>
        </w:tc>
        <w:tc>
          <w:tcPr>
            <w:tcW w:w="1837" w:type="dxa"/>
            <w:shd w:val="clear" w:color="auto" w:fill="auto"/>
          </w:tcPr>
          <w:p w14:paraId="6AF35D01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5E9C89DF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660BD04E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Moderate splenomegaly</w:t>
            </w:r>
          </w:p>
        </w:tc>
        <w:tc>
          <w:tcPr>
            <w:tcW w:w="3062" w:type="dxa"/>
            <w:shd w:val="clear" w:color="auto" w:fill="auto"/>
          </w:tcPr>
          <w:p w14:paraId="6E4337EB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1.35 (0.82-2.22)</w:t>
            </w:r>
          </w:p>
        </w:tc>
        <w:tc>
          <w:tcPr>
            <w:tcW w:w="1837" w:type="dxa"/>
            <w:shd w:val="clear" w:color="auto" w:fill="auto"/>
          </w:tcPr>
          <w:p w14:paraId="23C52EAE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0.2460</w:t>
            </w:r>
          </w:p>
        </w:tc>
      </w:tr>
      <w:tr w:rsidR="00E67946" w:rsidRPr="00733887" w14:paraId="50D4FB54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366226D9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Severe splenomegaly</w:t>
            </w:r>
          </w:p>
        </w:tc>
        <w:tc>
          <w:tcPr>
            <w:tcW w:w="3062" w:type="dxa"/>
            <w:shd w:val="clear" w:color="auto" w:fill="auto"/>
          </w:tcPr>
          <w:p w14:paraId="6E792FD1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1.30 (0.91-1.85)</w:t>
            </w:r>
          </w:p>
        </w:tc>
        <w:tc>
          <w:tcPr>
            <w:tcW w:w="1837" w:type="dxa"/>
            <w:shd w:val="clear" w:color="auto" w:fill="auto"/>
          </w:tcPr>
          <w:p w14:paraId="3A2C4EBA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0.1560</w:t>
            </w:r>
          </w:p>
        </w:tc>
      </w:tr>
      <w:tr w:rsidR="00E67946" w:rsidRPr="00733887" w14:paraId="60B7AB87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15BAA37B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Unknown/not assessed</w:t>
            </w:r>
          </w:p>
        </w:tc>
        <w:tc>
          <w:tcPr>
            <w:tcW w:w="3062" w:type="dxa"/>
            <w:shd w:val="clear" w:color="auto" w:fill="auto"/>
          </w:tcPr>
          <w:p w14:paraId="341E509E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2.26 (1.46-3.49)</w:t>
            </w:r>
          </w:p>
        </w:tc>
        <w:tc>
          <w:tcPr>
            <w:tcW w:w="1837" w:type="dxa"/>
            <w:shd w:val="clear" w:color="auto" w:fill="auto"/>
          </w:tcPr>
          <w:p w14:paraId="0A079A50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0.0003</w:t>
            </w:r>
          </w:p>
        </w:tc>
      </w:tr>
      <w:tr w:rsidR="00E67946" w:rsidRPr="00733887" w14:paraId="1A4A8725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013C4A4A" w14:textId="77777777" w:rsidR="00E67946" w:rsidRPr="00733887" w:rsidRDefault="00E67946" w:rsidP="008D4D8A">
            <w:pPr>
              <w:pStyle w:val="Tabletext"/>
            </w:pPr>
            <w:r w:rsidRPr="00733887">
              <w:t xml:space="preserve">Platelet count at </w:t>
            </w:r>
            <w:proofErr w:type="spellStart"/>
            <w:r w:rsidRPr="00733887">
              <w:t>ruxolitinib</w:t>
            </w:r>
            <w:proofErr w:type="spellEnd"/>
            <w:r w:rsidRPr="00733887">
              <w:t xml:space="preserve"> initiation</w:t>
            </w:r>
          </w:p>
        </w:tc>
        <w:tc>
          <w:tcPr>
            <w:tcW w:w="3062" w:type="dxa"/>
            <w:shd w:val="clear" w:color="auto" w:fill="auto"/>
          </w:tcPr>
          <w:p w14:paraId="00FAB01C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2C42D0A1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5B1DA9E8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382F48AE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&lt;100 10</w:t>
            </w:r>
            <w:r w:rsidRPr="00733887">
              <w:rPr>
                <w:vertAlign w:val="superscript"/>
              </w:rPr>
              <w:t>9</w:t>
            </w:r>
            <w:r w:rsidRPr="00733887">
              <w:t>/L</w:t>
            </w:r>
          </w:p>
        </w:tc>
        <w:tc>
          <w:tcPr>
            <w:tcW w:w="3062" w:type="dxa"/>
            <w:shd w:val="clear" w:color="auto" w:fill="auto"/>
          </w:tcPr>
          <w:p w14:paraId="0904202E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1.00</w:t>
            </w:r>
          </w:p>
        </w:tc>
        <w:tc>
          <w:tcPr>
            <w:tcW w:w="1837" w:type="dxa"/>
            <w:shd w:val="clear" w:color="auto" w:fill="auto"/>
          </w:tcPr>
          <w:p w14:paraId="7E534226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6EB74C33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1C0C1E19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100-200 10</w:t>
            </w:r>
            <w:r w:rsidRPr="00733887">
              <w:rPr>
                <w:vertAlign w:val="superscript"/>
              </w:rPr>
              <w:t>9</w:t>
            </w:r>
            <w:r w:rsidRPr="00733887">
              <w:t>/L</w:t>
            </w:r>
          </w:p>
        </w:tc>
        <w:tc>
          <w:tcPr>
            <w:tcW w:w="3062" w:type="dxa"/>
            <w:shd w:val="clear" w:color="auto" w:fill="auto"/>
          </w:tcPr>
          <w:p w14:paraId="17EB5F61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1.24 (0.89-1.71)</w:t>
            </w:r>
          </w:p>
        </w:tc>
        <w:tc>
          <w:tcPr>
            <w:tcW w:w="1837" w:type="dxa"/>
            <w:shd w:val="clear" w:color="auto" w:fill="auto"/>
          </w:tcPr>
          <w:p w14:paraId="3BB6CBDA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0.2011</w:t>
            </w:r>
          </w:p>
        </w:tc>
      </w:tr>
      <w:tr w:rsidR="00E67946" w:rsidRPr="00733887" w14:paraId="5EB4964E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08F330D9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&gt;200 10</w:t>
            </w:r>
            <w:r w:rsidRPr="00733887">
              <w:rPr>
                <w:vertAlign w:val="superscript"/>
              </w:rPr>
              <w:t>9</w:t>
            </w:r>
            <w:r w:rsidRPr="00733887">
              <w:t>/L</w:t>
            </w:r>
          </w:p>
        </w:tc>
        <w:tc>
          <w:tcPr>
            <w:tcW w:w="3062" w:type="dxa"/>
            <w:shd w:val="clear" w:color="auto" w:fill="auto"/>
          </w:tcPr>
          <w:p w14:paraId="74A5B318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0.59 (0.40-0.87)</w:t>
            </w:r>
          </w:p>
        </w:tc>
        <w:tc>
          <w:tcPr>
            <w:tcW w:w="1837" w:type="dxa"/>
            <w:shd w:val="clear" w:color="auto" w:fill="auto"/>
          </w:tcPr>
          <w:p w14:paraId="13D49DC0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0.0083</w:t>
            </w:r>
          </w:p>
        </w:tc>
      </w:tr>
      <w:tr w:rsidR="00E67946" w:rsidRPr="00733887" w14:paraId="56B96CF0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50F71A15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 xml:space="preserve">Unknown or not assessed </w:t>
            </w:r>
          </w:p>
        </w:tc>
        <w:tc>
          <w:tcPr>
            <w:tcW w:w="3062" w:type="dxa"/>
            <w:shd w:val="clear" w:color="auto" w:fill="auto"/>
          </w:tcPr>
          <w:p w14:paraId="32B0791D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2.18 (0.84-5.66)</w:t>
            </w:r>
          </w:p>
        </w:tc>
        <w:tc>
          <w:tcPr>
            <w:tcW w:w="1837" w:type="dxa"/>
            <w:shd w:val="clear" w:color="auto" w:fill="auto"/>
          </w:tcPr>
          <w:p w14:paraId="37230D13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0.1107</w:t>
            </w:r>
          </w:p>
        </w:tc>
      </w:tr>
      <w:tr w:rsidR="00E67946" w:rsidRPr="00733887" w14:paraId="18DC2CB9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229527A1" w14:textId="77777777" w:rsidR="00E67946" w:rsidRPr="00733887" w:rsidRDefault="00E67946" w:rsidP="008D4D8A">
            <w:pPr>
              <w:pStyle w:val="Tabletext"/>
            </w:pPr>
            <w:proofErr w:type="spellStart"/>
            <w:r w:rsidRPr="00733887">
              <w:t>Charlson</w:t>
            </w:r>
            <w:proofErr w:type="spellEnd"/>
            <w:r w:rsidRPr="00733887">
              <w:t xml:space="preserve"> Comorbidity Index score</w:t>
            </w:r>
          </w:p>
        </w:tc>
        <w:tc>
          <w:tcPr>
            <w:tcW w:w="3062" w:type="dxa"/>
            <w:shd w:val="clear" w:color="auto" w:fill="auto"/>
          </w:tcPr>
          <w:p w14:paraId="4F1E094E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4E57C98E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686C33AE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51AC6A68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0</w:t>
            </w:r>
          </w:p>
        </w:tc>
        <w:tc>
          <w:tcPr>
            <w:tcW w:w="3062" w:type="dxa"/>
            <w:shd w:val="clear" w:color="auto" w:fill="auto"/>
          </w:tcPr>
          <w:p w14:paraId="5E7AF045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1.00</w:t>
            </w:r>
          </w:p>
        </w:tc>
        <w:tc>
          <w:tcPr>
            <w:tcW w:w="1837" w:type="dxa"/>
            <w:shd w:val="clear" w:color="auto" w:fill="auto"/>
          </w:tcPr>
          <w:p w14:paraId="2D6074C3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5E4B4DFE" w14:textId="77777777" w:rsidTr="008D4D8A">
        <w:trPr>
          <w:cantSplit/>
          <w:trHeight w:val="247"/>
        </w:trPr>
        <w:tc>
          <w:tcPr>
            <w:tcW w:w="4461" w:type="dxa"/>
            <w:shd w:val="clear" w:color="auto" w:fill="auto"/>
          </w:tcPr>
          <w:p w14:paraId="1A07880F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1</w:t>
            </w:r>
          </w:p>
        </w:tc>
        <w:tc>
          <w:tcPr>
            <w:tcW w:w="3062" w:type="dxa"/>
            <w:shd w:val="clear" w:color="auto" w:fill="auto"/>
          </w:tcPr>
          <w:p w14:paraId="2DFB65DE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1.90 (1.27-2.84)</w:t>
            </w:r>
          </w:p>
        </w:tc>
        <w:tc>
          <w:tcPr>
            <w:tcW w:w="1837" w:type="dxa"/>
            <w:shd w:val="clear" w:color="auto" w:fill="auto"/>
          </w:tcPr>
          <w:p w14:paraId="207FB4E4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0.0017</w:t>
            </w:r>
          </w:p>
        </w:tc>
      </w:tr>
      <w:tr w:rsidR="00E67946" w:rsidRPr="00733887" w14:paraId="2E360FF1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09FBE7D6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2</w:t>
            </w:r>
          </w:p>
        </w:tc>
        <w:tc>
          <w:tcPr>
            <w:tcW w:w="3062" w:type="dxa"/>
            <w:shd w:val="clear" w:color="auto" w:fill="auto"/>
          </w:tcPr>
          <w:p w14:paraId="1FF9B910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2.37 (1.55-3.62)</w:t>
            </w:r>
          </w:p>
        </w:tc>
        <w:tc>
          <w:tcPr>
            <w:tcW w:w="1837" w:type="dxa"/>
            <w:shd w:val="clear" w:color="auto" w:fill="auto"/>
          </w:tcPr>
          <w:p w14:paraId="4A3D56C1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&lt;0.0001</w:t>
            </w:r>
          </w:p>
        </w:tc>
      </w:tr>
      <w:tr w:rsidR="00E67946" w:rsidRPr="00733887" w14:paraId="130E2FD0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6B0E649E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≥ 3</w:t>
            </w:r>
          </w:p>
        </w:tc>
        <w:tc>
          <w:tcPr>
            <w:tcW w:w="3062" w:type="dxa"/>
            <w:shd w:val="clear" w:color="auto" w:fill="auto"/>
          </w:tcPr>
          <w:p w14:paraId="2236F9F6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2.91 (1.89-4.47)</w:t>
            </w:r>
          </w:p>
        </w:tc>
        <w:tc>
          <w:tcPr>
            <w:tcW w:w="1837" w:type="dxa"/>
            <w:shd w:val="clear" w:color="auto" w:fill="auto"/>
          </w:tcPr>
          <w:p w14:paraId="32200FE2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&lt;0.0001</w:t>
            </w:r>
          </w:p>
        </w:tc>
      </w:tr>
      <w:tr w:rsidR="00E67946" w:rsidRPr="00733887" w14:paraId="7FA3036F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224D08D2" w14:textId="77777777" w:rsidR="00E67946" w:rsidRPr="00733887" w:rsidRDefault="00E67946" w:rsidP="008D4D8A">
            <w:pPr>
              <w:pStyle w:val="Tabletext"/>
            </w:pPr>
            <w:r w:rsidRPr="00733887">
              <w:t xml:space="preserve">Performance status at start of </w:t>
            </w:r>
            <w:proofErr w:type="spellStart"/>
            <w:r w:rsidRPr="00733887">
              <w:t>ruxolitinib</w:t>
            </w:r>
            <w:proofErr w:type="spellEnd"/>
            <w:r w:rsidRPr="00733887">
              <w:t xml:space="preserve"> </w:t>
            </w:r>
            <w:proofErr w:type="spellStart"/>
            <w:r w:rsidRPr="00733887">
              <w:t>treatment</w:t>
            </w:r>
            <w:r w:rsidRPr="00733887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3062" w:type="dxa"/>
            <w:shd w:val="clear" w:color="auto" w:fill="auto"/>
            <w:vAlign w:val="bottom"/>
          </w:tcPr>
          <w:p w14:paraId="005813FE" w14:textId="77777777" w:rsidR="00E67946" w:rsidRPr="00733887" w:rsidRDefault="00E67946" w:rsidP="008D4D8A">
            <w:pPr>
              <w:pStyle w:val="tabfigtitle"/>
              <w:spacing w:before="0" w:line="24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733887">
              <w:rPr>
                <w:rFonts w:cs="Arial"/>
                <w:b w:val="0"/>
                <w:bCs/>
                <w:color w:val="000000"/>
                <w:sz w:val="20"/>
              </w:rPr>
              <w:t> </w:t>
            </w:r>
          </w:p>
        </w:tc>
        <w:tc>
          <w:tcPr>
            <w:tcW w:w="1837" w:type="dxa"/>
            <w:shd w:val="clear" w:color="auto" w:fill="auto"/>
            <w:vAlign w:val="bottom"/>
          </w:tcPr>
          <w:p w14:paraId="4E03B77D" w14:textId="77777777" w:rsidR="00E67946" w:rsidRPr="00733887" w:rsidRDefault="00E67946" w:rsidP="008D4D8A">
            <w:pPr>
              <w:pStyle w:val="tabfigtitle"/>
              <w:spacing w:before="0" w:line="24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733887">
              <w:rPr>
                <w:rFonts w:cs="Arial"/>
                <w:b w:val="0"/>
                <w:bCs/>
                <w:color w:val="000000"/>
                <w:sz w:val="20"/>
              </w:rPr>
              <w:t> </w:t>
            </w:r>
          </w:p>
        </w:tc>
      </w:tr>
      <w:tr w:rsidR="00E67946" w:rsidRPr="00733887" w14:paraId="121107AD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2BC7BD6D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0,1</w:t>
            </w:r>
          </w:p>
        </w:tc>
        <w:tc>
          <w:tcPr>
            <w:tcW w:w="3062" w:type="dxa"/>
            <w:shd w:val="clear" w:color="auto" w:fill="auto"/>
          </w:tcPr>
          <w:p w14:paraId="28BABB11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1.00</w:t>
            </w:r>
          </w:p>
        </w:tc>
        <w:tc>
          <w:tcPr>
            <w:tcW w:w="1837" w:type="dxa"/>
            <w:shd w:val="clear" w:color="auto" w:fill="auto"/>
          </w:tcPr>
          <w:p w14:paraId="1EA7450F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3056EEA3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3260264E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2,3,4</w:t>
            </w:r>
          </w:p>
        </w:tc>
        <w:tc>
          <w:tcPr>
            <w:tcW w:w="3062" w:type="dxa"/>
            <w:shd w:val="clear" w:color="auto" w:fill="auto"/>
          </w:tcPr>
          <w:p w14:paraId="2DAA497E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2.29 (1.68-3.10)</w:t>
            </w:r>
          </w:p>
        </w:tc>
        <w:tc>
          <w:tcPr>
            <w:tcW w:w="1837" w:type="dxa"/>
            <w:shd w:val="clear" w:color="auto" w:fill="auto"/>
          </w:tcPr>
          <w:p w14:paraId="78D2215D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&lt;0.0001</w:t>
            </w:r>
          </w:p>
        </w:tc>
      </w:tr>
      <w:tr w:rsidR="00E67946" w:rsidRPr="00733887" w14:paraId="7BE46691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120DB4D1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Unknown/missing</w:t>
            </w:r>
          </w:p>
        </w:tc>
        <w:tc>
          <w:tcPr>
            <w:tcW w:w="3062" w:type="dxa"/>
            <w:shd w:val="clear" w:color="auto" w:fill="auto"/>
          </w:tcPr>
          <w:p w14:paraId="32DE61FC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1.85 (1.29-2.67)</w:t>
            </w:r>
          </w:p>
        </w:tc>
        <w:tc>
          <w:tcPr>
            <w:tcW w:w="1837" w:type="dxa"/>
            <w:shd w:val="clear" w:color="auto" w:fill="auto"/>
          </w:tcPr>
          <w:p w14:paraId="1861D2E5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0.0009</w:t>
            </w:r>
          </w:p>
        </w:tc>
      </w:tr>
      <w:tr w:rsidR="00E67946" w:rsidRPr="00733887" w14:paraId="04F21DE8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043FBE8B" w14:textId="77777777" w:rsidR="00E67946" w:rsidRPr="00733887" w:rsidRDefault="00E67946" w:rsidP="008D4D8A">
            <w:pPr>
              <w:pStyle w:val="Tabletext"/>
            </w:pPr>
            <w:r w:rsidRPr="00733887">
              <w:lastRenderedPageBreak/>
              <w:t xml:space="preserve">Received recommended dose at </w:t>
            </w:r>
            <w:proofErr w:type="spellStart"/>
            <w:r w:rsidRPr="00733887">
              <w:t>ruxolitinib</w:t>
            </w:r>
            <w:proofErr w:type="spellEnd"/>
            <w:r w:rsidRPr="00733887">
              <w:t xml:space="preserve"> initiation</w:t>
            </w:r>
          </w:p>
        </w:tc>
        <w:tc>
          <w:tcPr>
            <w:tcW w:w="3062" w:type="dxa"/>
            <w:shd w:val="clear" w:color="auto" w:fill="auto"/>
          </w:tcPr>
          <w:p w14:paraId="1C7D8356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16242D7F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604A9FA1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57720CAB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No</w:t>
            </w:r>
          </w:p>
        </w:tc>
        <w:tc>
          <w:tcPr>
            <w:tcW w:w="3062" w:type="dxa"/>
            <w:shd w:val="clear" w:color="auto" w:fill="auto"/>
          </w:tcPr>
          <w:p w14:paraId="4D5CEF96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1.00</w:t>
            </w:r>
          </w:p>
        </w:tc>
        <w:tc>
          <w:tcPr>
            <w:tcW w:w="1837" w:type="dxa"/>
            <w:shd w:val="clear" w:color="auto" w:fill="auto"/>
          </w:tcPr>
          <w:p w14:paraId="016023D0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2E57CB5E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29DABEC1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Yes</w:t>
            </w:r>
          </w:p>
        </w:tc>
        <w:tc>
          <w:tcPr>
            <w:tcW w:w="3062" w:type="dxa"/>
            <w:shd w:val="clear" w:color="auto" w:fill="auto"/>
          </w:tcPr>
          <w:p w14:paraId="47D4BA32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0.91 (0.41-2.00)</w:t>
            </w:r>
          </w:p>
        </w:tc>
        <w:tc>
          <w:tcPr>
            <w:tcW w:w="1837" w:type="dxa"/>
            <w:shd w:val="clear" w:color="auto" w:fill="auto"/>
          </w:tcPr>
          <w:p w14:paraId="46F7DFF6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0.8088</w:t>
            </w:r>
          </w:p>
        </w:tc>
      </w:tr>
      <w:tr w:rsidR="00E67946" w:rsidRPr="00733887" w14:paraId="08E50E36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7921974F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Unknown/missing</w:t>
            </w:r>
          </w:p>
        </w:tc>
        <w:tc>
          <w:tcPr>
            <w:tcW w:w="3062" w:type="dxa"/>
            <w:shd w:val="clear" w:color="auto" w:fill="auto"/>
          </w:tcPr>
          <w:p w14:paraId="18B69A74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0.93 (0.70-1.23)</w:t>
            </w:r>
          </w:p>
        </w:tc>
        <w:tc>
          <w:tcPr>
            <w:tcW w:w="1837" w:type="dxa"/>
            <w:shd w:val="clear" w:color="auto" w:fill="auto"/>
          </w:tcPr>
          <w:p w14:paraId="30500538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0.6119</w:t>
            </w:r>
          </w:p>
        </w:tc>
      </w:tr>
      <w:tr w:rsidR="00E67946" w:rsidRPr="00733887" w14:paraId="1BA6AD46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565EF16D" w14:textId="77777777" w:rsidR="00E67946" w:rsidRPr="00733887" w:rsidRDefault="00E67946" w:rsidP="008D4D8A">
            <w:pPr>
              <w:pStyle w:val="Tabletext"/>
              <w:rPr>
                <w:vertAlign w:val="superscript"/>
              </w:rPr>
            </w:pPr>
            <w:r w:rsidRPr="00733887">
              <w:t xml:space="preserve">Received MF-related subsequent </w:t>
            </w:r>
            <w:proofErr w:type="spellStart"/>
            <w:proofErr w:type="gramStart"/>
            <w:r w:rsidRPr="00733887">
              <w:t>treatment</w:t>
            </w:r>
            <w:r w:rsidRPr="00733887">
              <w:rPr>
                <w:vertAlign w:val="superscript"/>
              </w:rPr>
              <w:t>d,e</w:t>
            </w:r>
            <w:proofErr w:type="spellEnd"/>
            <w:proofErr w:type="gramEnd"/>
          </w:p>
        </w:tc>
        <w:tc>
          <w:tcPr>
            <w:tcW w:w="3062" w:type="dxa"/>
            <w:shd w:val="clear" w:color="auto" w:fill="auto"/>
          </w:tcPr>
          <w:p w14:paraId="1360CB33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03602CE3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06884D9D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645221BB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No</w:t>
            </w:r>
          </w:p>
        </w:tc>
        <w:tc>
          <w:tcPr>
            <w:tcW w:w="3062" w:type="dxa"/>
            <w:shd w:val="clear" w:color="auto" w:fill="auto"/>
          </w:tcPr>
          <w:p w14:paraId="3DE4F1D4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1.00</w:t>
            </w:r>
          </w:p>
        </w:tc>
        <w:tc>
          <w:tcPr>
            <w:tcW w:w="1837" w:type="dxa"/>
            <w:shd w:val="clear" w:color="auto" w:fill="auto"/>
          </w:tcPr>
          <w:p w14:paraId="131E2544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</w:p>
        </w:tc>
      </w:tr>
      <w:tr w:rsidR="00E67946" w:rsidRPr="00733887" w14:paraId="3F3262FC" w14:textId="77777777" w:rsidTr="008D4D8A">
        <w:trPr>
          <w:cantSplit/>
        </w:trPr>
        <w:tc>
          <w:tcPr>
            <w:tcW w:w="4461" w:type="dxa"/>
            <w:shd w:val="clear" w:color="auto" w:fill="auto"/>
          </w:tcPr>
          <w:p w14:paraId="36164472" w14:textId="77777777" w:rsidR="00E67946" w:rsidRPr="00733887" w:rsidRDefault="00E67946" w:rsidP="008D4D8A">
            <w:pPr>
              <w:pStyle w:val="Tabletextindented"/>
              <w:rPr>
                <w:b/>
              </w:rPr>
            </w:pPr>
            <w:r w:rsidRPr="00733887">
              <w:t>Yes</w:t>
            </w:r>
          </w:p>
        </w:tc>
        <w:tc>
          <w:tcPr>
            <w:tcW w:w="3062" w:type="dxa"/>
            <w:shd w:val="clear" w:color="auto" w:fill="auto"/>
          </w:tcPr>
          <w:p w14:paraId="0F4C9D0A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1.37 (0.78-2.41)</w:t>
            </w:r>
          </w:p>
        </w:tc>
        <w:tc>
          <w:tcPr>
            <w:tcW w:w="1837" w:type="dxa"/>
            <w:shd w:val="clear" w:color="auto" w:fill="auto"/>
          </w:tcPr>
          <w:p w14:paraId="09313106" w14:textId="77777777" w:rsidR="00E67946" w:rsidRPr="00733887" w:rsidRDefault="00E67946" w:rsidP="008D4D8A">
            <w:pPr>
              <w:pStyle w:val="Tabletext"/>
              <w:jc w:val="center"/>
              <w:rPr>
                <w:b/>
              </w:rPr>
            </w:pPr>
            <w:r w:rsidRPr="00733887">
              <w:t>0.2754</w:t>
            </w:r>
          </w:p>
        </w:tc>
      </w:tr>
    </w:tbl>
    <w:p w14:paraId="0B0C330B" w14:textId="77777777" w:rsidR="00E67946" w:rsidRPr="00733887" w:rsidRDefault="00E67946" w:rsidP="00E67946">
      <w:pPr>
        <w:pStyle w:val="tabfignote"/>
        <w:spacing w:line="240" w:lineRule="auto"/>
      </w:pPr>
      <w:r w:rsidRPr="00733887">
        <w:t>CI, confidence interval; HR, hazard ratio; MF, myelofibrosis.</w:t>
      </w:r>
    </w:p>
    <w:p w14:paraId="6E0EEA23" w14:textId="77777777" w:rsidR="00E67946" w:rsidRPr="00733887" w:rsidRDefault="00E67946" w:rsidP="00E67946">
      <w:pPr>
        <w:pStyle w:val="tabfignote"/>
        <w:spacing w:line="240" w:lineRule="auto"/>
      </w:pPr>
      <w:proofErr w:type="spellStart"/>
      <w:r w:rsidRPr="00733887">
        <w:rPr>
          <w:vertAlign w:val="superscript"/>
        </w:rPr>
        <w:t>a</w:t>
      </w:r>
      <w:r w:rsidRPr="00733887">
        <w:t>MF</w:t>
      </w:r>
      <w:proofErr w:type="spellEnd"/>
      <w:r w:rsidRPr="00733887">
        <w:t>-related treatments include hydroxyurea, busulfan, cytarabine, melphalan, azacytidine, decitabine.</w:t>
      </w:r>
    </w:p>
    <w:p w14:paraId="4D3922F2" w14:textId="77777777" w:rsidR="00E67946" w:rsidRPr="00733887" w:rsidRDefault="00E67946" w:rsidP="00E67946">
      <w:pPr>
        <w:pStyle w:val="tabfignote"/>
        <w:spacing w:line="240" w:lineRule="auto"/>
      </w:pPr>
      <w:proofErr w:type="spellStart"/>
      <w:r w:rsidRPr="00733887">
        <w:rPr>
          <w:vertAlign w:val="superscript"/>
        </w:rPr>
        <w:t>b</w:t>
      </w:r>
      <w:r w:rsidRPr="00733887">
        <w:t>Intermediate</w:t>
      </w:r>
      <w:proofErr w:type="spellEnd"/>
      <w:r w:rsidRPr="00733887">
        <w:t xml:space="preserve"> risk category contains 2 patients who were classified as low risk at </w:t>
      </w:r>
      <w:proofErr w:type="spellStart"/>
      <w:r w:rsidRPr="00733887">
        <w:t>ruxolitinib</w:t>
      </w:r>
      <w:proofErr w:type="spellEnd"/>
      <w:r w:rsidRPr="00733887">
        <w:t xml:space="preserve"> initiation, and patients with missing risk status at </w:t>
      </w:r>
      <w:proofErr w:type="spellStart"/>
      <w:r w:rsidRPr="00733887">
        <w:t>ruxolitinib</w:t>
      </w:r>
      <w:proofErr w:type="spellEnd"/>
      <w:r w:rsidRPr="00733887">
        <w:t xml:space="preserve"> initiation (n = 31) were assigned their risk status at time of myelofibrosis diagnosis.</w:t>
      </w:r>
    </w:p>
    <w:p w14:paraId="23FE7CDA" w14:textId="77777777" w:rsidR="00E67946" w:rsidRPr="00733887" w:rsidRDefault="00E67946" w:rsidP="00E67946">
      <w:pPr>
        <w:pStyle w:val="tabfignote"/>
        <w:spacing w:line="240" w:lineRule="auto"/>
      </w:pPr>
      <w:proofErr w:type="spellStart"/>
      <w:r w:rsidRPr="00733887">
        <w:rPr>
          <w:vertAlign w:val="superscript"/>
        </w:rPr>
        <w:t>c</w:t>
      </w:r>
      <w:r w:rsidRPr="00733887">
        <w:t>Karnofsky</w:t>
      </w:r>
      <w:proofErr w:type="spellEnd"/>
      <w:r w:rsidRPr="00733887">
        <w:t xml:space="preserve"> score converted to the Eastern Cooperative Oncology Group scale.</w:t>
      </w:r>
    </w:p>
    <w:p w14:paraId="75086FFD" w14:textId="77777777" w:rsidR="00E67946" w:rsidRPr="00733887" w:rsidRDefault="00E67946" w:rsidP="00E67946">
      <w:pPr>
        <w:pStyle w:val="tabfignote"/>
        <w:spacing w:line="240" w:lineRule="auto"/>
      </w:pPr>
      <w:proofErr w:type="spellStart"/>
      <w:r w:rsidRPr="00733887">
        <w:rPr>
          <w:vertAlign w:val="superscript"/>
        </w:rPr>
        <w:t>d</w:t>
      </w:r>
      <w:r w:rsidRPr="00733887">
        <w:t>Adjusted</w:t>
      </w:r>
      <w:proofErr w:type="spellEnd"/>
      <w:r w:rsidRPr="00733887">
        <w:t xml:space="preserve"> for time of receipt of subsequent treatment.</w:t>
      </w:r>
    </w:p>
    <w:p w14:paraId="5FBD30F9" w14:textId="77777777" w:rsidR="00E67946" w:rsidRPr="00733887" w:rsidRDefault="00E67946" w:rsidP="00E67946">
      <w:pPr>
        <w:pStyle w:val="tabfignote"/>
      </w:pPr>
      <w:proofErr w:type="spellStart"/>
      <w:r w:rsidRPr="00733887">
        <w:rPr>
          <w:vertAlign w:val="superscript"/>
        </w:rPr>
        <w:t>e</w:t>
      </w:r>
      <w:r w:rsidRPr="00733887">
        <w:t>MF</w:t>
      </w:r>
      <w:proofErr w:type="spellEnd"/>
      <w:r w:rsidRPr="00733887">
        <w:t xml:space="preserve">-related subsequent treatment included hydroxyurea, </w:t>
      </w:r>
      <w:proofErr w:type="spellStart"/>
      <w:r w:rsidRPr="00733887">
        <w:t>momelotinib</w:t>
      </w:r>
      <w:proofErr w:type="spellEnd"/>
      <w:r w:rsidRPr="00733887">
        <w:t xml:space="preserve">, </w:t>
      </w:r>
      <w:proofErr w:type="spellStart"/>
      <w:r w:rsidRPr="00733887">
        <w:t>pacritinib</w:t>
      </w:r>
      <w:proofErr w:type="spellEnd"/>
      <w:r w:rsidRPr="00733887">
        <w:t xml:space="preserve">, </w:t>
      </w:r>
      <w:proofErr w:type="spellStart"/>
      <w:r w:rsidRPr="00733887">
        <w:t>fedratinib</w:t>
      </w:r>
      <w:proofErr w:type="spellEnd"/>
      <w:r w:rsidRPr="00733887">
        <w:t>.</w:t>
      </w:r>
    </w:p>
    <w:p w14:paraId="780CA83B" w14:textId="77777777" w:rsidR="00E67946" w:rsidRDefault="00E67946" w:rsidP="00E67946">
      <w:pPr>
        <w:spacing w:line="240" w:lineRule="auto"/>
        <w:rPr>
          <w:rFonts w:ascii="Arial" w:hAnsi="Arial"/>
          <w:sz w:val="18"/>
        </w:rPr>
      </w:pPr>
      <w:r>
        <w:br w:type="page"/>
      </w:r>
    </w:p>
    <w:p w14:paraId="79B5F72D" w14:textId="77777777" w:rsidR="008B6AB1" w:rsidRDefault="008B6AB1"/>
    <w:sectPr w:rsidR="008B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46"/>
    <w:rsid w:val="000072A6"/>
    <w:rsid w:val="006125F2"/>
    <w:rsid w:val="008B6AB1"/>
    <w:rsid w:val="009135FA"/>
    <w:rsid w:val="00E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0C2F"/>
  <w15:chartTrackingRefBased/>
  <w15:docId w15:val="{967AEA8E-5774-4B05-B0F7-F81F5278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7946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next w:val="Normal"/>
    <w:link w:val="Heading1Char"/>
    <w:autoRedefine/>
    <w:qFormat/>
    <w:rsid w:val="00E67946"/>
    <w:pPr>
      <w:keepNext/>
      <w:keepLines/>
      <w:spacing w:before="240" w:after="0" w:line="240" w:lineRule="atLeast"/>
      <w:outlineLvl w:val="0"/>
    </w:pPr>
    <w:rPr>
      <w:rFonts w:ascii="Arial" w:eastAsiaTheme="majorEastAsia" w:hAnsi="Arial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E67946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946"/>
    <w:rPr>
      <w:rFonts w:ascii="Arial" w:eastAsiaTheme="majorEastAsia" w:hAnsi="Arial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67946"/>
    <w:rPr>
      <w:rFonts w:ascii="Arial" w:eastAsiaTheme="majorEastAsia" w:hAnsi="Arial" w:cstheme="majorBidi"/>
      <w:b/>
      <w:sz w:val="26"/>
      <w:szCs w:val="26"/>
      <w:lang w:val="en-US"/>
    </w:rPr>
  </w:style>
  <w:style w:type="table" w:styleId="TableGrid">
    <w:name w:val="Table Grid"/>
    <w:basedOn w:val="TableNormal"/>
    <w:rsid w:val="00E6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E67946"/>
    <w:pPr>
      <w:spacing w:after="0" w:line="36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figtitle">
    <w:name w:val="tab/fig title"/>
    <w:basedOn w:val="Normal"/>
    <w:rsid w:val="00E67946"/>
    <w:pPr>
      <w:keepNext/>
      <w:keepLines/>
      <w:spacing w:before="120" w:line="480" w:lineRule="auto"/>
      <w:outlineLvl w:val="1"/>
    </w:pPr>
    <w:rPr>
      <w:rFonts w:ascii="Arial" w:hAnsi="Arial"/>
      <w:b/>
    </w:rPr>
  </w:style>
  <w:style w:type="paragraph" w:customStyle="1" w:styleId="Tableheadings">
    <w:name w:val="Table headings"/>
    <w:basedOn w:val="Normal"/>
    <w:rsid w:val="00E67946"/>
    <w:pPr>
      <w:spacing w:before="40" w:line="360" w:lineRule="auto"/>
      <w:jc w:val="center"/>
    </w:pPr>
    <w:rPr>
      <w:rFonts w:ascii="Arial" w:hAnsi="Arial"/>
      <w:b/>
      <w:sz w:val="20"/>
    </w:rPr>
  </w:style>
  <w:style w:type="paragraph" w:customStyle="1" w:styleId="tabfignote">
    <w:name w:val="tab/fig note"/>
    <w:qFormat/>
    <w:rsid w:val="00E67946"/>
    <w:pPr>
      <w:keepLines/>
      <w:spacing w:before="120" w:after="0" w:line="36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Tabletextindented">
    <w:name w:val="Table text indented"/>
    <w:basedOn w:val="Tabletext"/>
    <w:rsid w:val="00E67946"/>
    <w:pPr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2</cp:revision>
  <dcterms:created xsi:type="dcterms:W3CDTF">2022-03-18T14:46:00Z</dcterms:created>
  <dcterms:modified xsi:type="dcterms:W3CDTF">2022-03-18T14:50:00Z</dcterms:modified>
</cp:coreProperties>
</file>