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1D4D" w14:textId="7C0D1015" w:rsidR="00A16085" w:rsidRPr="00FA311E" w:rsidRDefault="00A16085" w:rsidP="00310BAA">
      <w:pPr>
        <w:widowControl/>
        <w:spacing w:after="200" w:line="360" w:lineRule="auto"/>
        <w:jc w:val="center"/>
        <w:rPr>
          <w:b/>
          <w:bCs/>
          <w:sz w:val="24"/>
          <w:szCs w:val="24"/>
          <w:u w:val="single"/>
        </w:rPr>
      </w:pPr>
      <w:r w:rsidRPr="00FA311E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9EACBE1" wp14:editId="08FD797A">
            <wp:simplePos x="0" y="0"/>
            <wp:positionH relativeFrom="margin">
              <wp:posOffset>-370205</wp:posOffset>
            </wp:positionH>
            <wp:positionV relativeFrom="paragraph">
              <wp:posOffset>690880</wp:posOffset>
            </wp:positionV>
            <wp:extent cx="6249670" cy="3602990"/>
            <wp:effectExtent l="0" t="0" r="0" b="0"/>
            <wp:wrapTight wrapText="bothSides">
              <wp:wrapPolygon edited="0">
                <wp:start x="0" y="0"/>
                <wp:lineTo x="0" y="21471"/>
                <wp:lineTo x="21530" y="21471"/>
                <wp:lineTo x="2153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BAA" w:rsidRPr="00FA311E">
        <w:rPr>
          <w:b/>
          <w:bCs/>
          <w:sz w:val="28"/>
          <w:szCs w:val="28"/>
          <w:u w:val="single"/>
        </w:rPr>
        <w:t>Supplementary Files</w:t>
      </w:r>
    </w:p>
    <w:p w14:paraId="0D90FB17" w14:textId="6D738466" w:rsidR="00A16085" w:rsidRPr="00FA311E" w:rsidRDefault="00A16085" w:rsidP="00DF3CE6">
      <w:pPr>
        <w:widowControl/>
        <w:spacing w:after="200" w:line="360" w:lineRule="auto"/>
        <w:rPr>
          <w:b/>
          <w:sz w:val="24"/>
          <w:szCs w:val="24"/>
        </w:rPr>
      </w:pPr>
      <w:r w:rsidRPr="00FA311E">
        <w:rPr>
          <w:b/>
          <w:bCs/>
          <w:sz w:val="24"/>
          <w:szCs w:val="24"/>
        </w:rPr>
        <w:t>Supplementary Figure S1</w:t>
      </w:r>
      <w:r w:rsidRPr="00FA311E">
        <w:rPr>
          <w:sz w:val="24"/>
          <w:szCs w:val="24"/>
        </w:rPr>
        <w:t>: Homology based 3D structure modelling of HCoV-OC43 main protease (</w:t>
      </w:r>
      <w:proofErr w:type="spellStart"/>
      <w:r w:rsidRPr="00FA311E">
        <w:rPr>
          <w:sz w:val="24"/>
          <w:szCs w:val="24"/>
        </w:rPr>
        <w:t>Mpro</w:t>
      </w:r>
      <w:proofErr w:type="spellEnd"/>
      <w:r w:rsidRPr="00FA311E">
        <w:rPr>
          <w:sz w:val="24"/>
          <w:szCs w:val="24"/>
        </w:rPr>
        <w:t xml:space="preserve">)/3-Chymotrypsin-like protease (3CLpro). The HCoV-HKU1 </w:t>
      </w:r>
      <w:proofErr w:type="spellStart"/>
      <w:r w:rsidR="0087303E" w:rsidRPr="00FA311E">
        <w:rPr>
          <w:sz w:val="24"/>
          <w:szCs w:val="24"/>
        </w:rPr>
        <w:t>M</w:t>
      </w:r>
      <w:r w:rsidRPr="00FA311E">
        <w:rPr>
          <w:sz w:val="24"/>
          <w:szCs w:val="24"/>
        </w:rPr>
        <w:t>pro</w:t>
      </w:r>
      <w:proofErr w:type="spellEnd"/>
      <w:r w:rsidRPr="00FA311E">
        <w:rPr>
          <w:sz w:val="24"/>
          <w:szCs w:val="24"/>
        </w:rPr>
        <w:t xml:space="preserve"> structure </w:t>
      </w:r>
      <w:r w:rsidR="00A67D5E" w:rsidRPr="00FA311E">
        <w:rPr>
          <w:sz w:val="24"/>
          <w:szCs w:val="24"/>
        </w:rPr>
        <w:t>(</w:t>
      </w:r>
      <w:r w:rsidRPr="00FA311E">
        <w:rPr>
          <w:sz w:val="24"/>
          <w:szCs w:val="24"/>
        </w:rPr>
        <w:t xml:space="preserve">with </w:t>
      </w:r>
      <w:r w:rsidR="00A67D5E" w:rsidRPr="00FA311E">
        <w:rPr>
          <w:sz w:val="24"/>
          <w:szCs w:val="24"/>
        </w:rPr>
        <w:t>82.33</w:t>
      </w:r>
      <w:r w:rsidRPr="00FA311E">
        <w:rPr>
          <w:sz w:val="24"/>
          <w:szCs w:val="24"/>
        </w:rPr>
        <w:t xml:space="preserve">% </w:t>
      </w:r>
      <w:r w:rsidR="00ED1734" w:rsidRPr="00FA311E">
        <w:rPr>
          <w:sz w:val="24"/>
          <w:szCs w:val="24"/>
        </w:rPr>
        <w:t>sequence</w:t>
      </w:r>
      <w:r w:rsidRPr="00FA311E">
        <w:rPr>
          <w:sz w:val="24"/>
          <w:szCs w:val="24"/>
        </w:rPr>
        <w:t xml:space="preserve"> identity</w:t>
      </w:r>
      <w:r w:rsidR="00ED1734" w:rsidRPr="00FA311E">
        <w:rPr>
          <w:sz w:val="24"/>
          <w:szCs w:val="24"/>
        </w:rPr>
        <w:t xml:space="preserve"> </w:t>
      </w:r>
      <w:r w:rsidR="00A67D5E" w:rsidRPr="00FA311E">
        <w:rPr>
          <w:sz w:val="24"/>
          <w:szCs w:val="24"/>
        </w:rPr>
        <w:t>and 99% query cover)</w:t>
      </w:r>
      <w:r w:rsidRPr="00FA311E">
        <w:rPr>
          <w:sz w:val="24"/>
          <w:szCs w:val="24"/>
        </w:rPr>
        <w:t xml:space="preserve"> was used as template and a total of 20 structures were modelled in the </w:t>
      </w:r>
      <w:proofErr w:type="spellStart"/>
      <w:r w:rsidRPr="00FA311E">
        <w:rPr>
          <w:sz w:val="24"/>
          <w:szCs w:val="24"/>
        </w:rPr>
        <w:t>Modeller</w:t>
      </w:r>
      <w:proofErr w:type="spellEnd"/>
      <w:r w:rsidRPr="00FA311E">
        <w:rPr>
          <w:sz w:val="24"/>
          <w:szCs w:val="24"/>
        </w:rPr>
        <w:t xml:space="preserve"> </w:t>
      </w:r>
      <w:r w:rsidR="007D5960" w:rsidRPr="00FA311E">
        <w:rPr>
          <w:sz w:val="24"/>
          <w:szCs w:val="24"/>
        </w:rPr>
        <w:t>10.1</w:t>
      </w:r>
      <w:r w:rsidRPr="00FA311E">
        <w:rPr>
          <w:sz w:val="24"/>
          <w:szCs w:val="24"/>
        </w:rPr>
        <w:t xml:space="preserve"> tool and the HCoV-OC43 structure with lowest DOPE score was selected for further analysis and docking study. (A) The stereochemical analysis of the modelled HCoV-OC43 by the Ramachandran Plot produced a score of 95.5% residues in most </w:t>
      </w:r>
      <w:proofErr w:type="spellStart"/>
      <w:r w:rsidRPr="00FA311E">
        <w:rPr>
          <w:sz w:val="24"/>
          <w:szCs w:val="24"/>
        </w:rPr>
        <w:t>favoured</w:t>
      </w:r>
      <w:proofErr w:type="spellEnd"/>
      <w:r w:rsidRPr="00FA311E">
        <w:rPr>
          <w:sz w:val="24"/>
          <w:szCs w:val="24"/>
        </w:rPr>
        <w:t xml:space="preserve"> region while no residue in disallowed region, (B) Overall global quality assessment from multiple stereochemical parameters of structure on </w:t>
      </w:r>
      <w:proofErr w:type="spellStart"/>
      <w:r w:rsidRPr="00FA311E">
        <w:rPr>
          <w:sz w:val="24"/>
          <w:szCs w:val="24"/>
        </w:rPr>
        <w:t>ProtSAV</w:t>
      </w:r>
      <w:proofErr w:type="spellEnd"/>
      <w:r w:rsidRPr="00FA311E">
        <w:rPr>
          <w:sz w:val="24"/>
          <w:szCs w:val="24"/>
        </w:rPr>
        <w:t xml:space="preserve"> tool, and (B) Superimposition of template (HCoV-HKU1 </w:t>
      </w:r>
      <w:proofErr w:type="spellStart"/>
      <w:r w:rsidR="001447BF" w:rsidRPr="00FA311E">
        <w:rPr>
          <w:sz w:val="24"/>
          <w:szCs w:val="24"/>
        </w:rPr>
        <w:t>M</w:t>
      </w:r>
      <w:r w:rsidRPr="00FA311E">
        <w:rPr>
          <w:sz w:val="24"/>
          <w:szCs w:val="24"/>
        </w:rPr>
        <w:t>pro</w:t>
      </w:r>
      <w:proofErr w:type="spellEnd"/>
      <w:r w:rsidRPr="00FA311E">
        <w:rPr>
          <w:sz w:val="24"/>
          <w:szCs w:val="24"/>
        </w:rPr>
        <w:t xml:space="preserve">) and model structure (HCoV-OC43 </w:t>
      </w:r>
      <w:proofErr w:type="spellStart"/>
      <w:r w:rsidR="001447BF" w:rsidRPr="00FA311E">
        <w:rPr>
          <w:sz w:val="24"/>
          <w:szCs w:val="24"/>
        </w:rPr>
        <w:t>M</w:t>
      </w:r>
      <w:r w:rsidRPr="00FA311E">
        <w:rPr>
          <w:sz w:val="24"/>
          <w:szCs w:val="24"/>
        </w:rPr>
        <w:t>pro</w:t>
      </w:r>
      <w:proofErr w:type="spellEnd"/>
      <w:r w:rsidRPr="00FA311E">
        <w:rPr>
          <w:sz w:val="24"/>
          <w:szCs w:val="24"/>
        </w:rPr>
        <w:t>) in Chimera tool results only in 0.171Å root mean square deviation (RMSD) value.</w:t>
      </w:r>
    </w:p>
    <w:p w14:paraId="0EF465FF" w14:textId="77777777" w:rsidR="00A16085" w:rsidRPr="00FA311E" w:rsidRDefault="00A16085" w:rsidP="00C634C4">
      <w:pPr>
        <w:widowControl/>
        <w:spacing w:after="200" w:line="360" w:lineRule="auto"/>
        <w:jc w:val="left"/>
        <w:rPr>
          <w:b/>
          <w:sz w:val="24"/>
          <w:szCs w:val="24"/>
        </w:rPr>
      </w:pPr>
    </w:p>
    <w:p w14:paraId="113C6AAB" w14:textId="77777777" w:rsidR="00A16085" w:rsidRPr="00FA311E" w:rsidRDefault="00A16085" w:rsidP="00C634C4">
      <w:pPr>
        <w:widowControl/>
        <w:spacing w:after="200" w:line="360" w:lineRule="auto"/>
        <w:jc w:val="left"/>
        <w:rPr>
          <w:b/>
          <w:sz w:val="24"/>
          <w:szCs w:val="24"/>
        </w:rPr>
      </w:pPr>
    </w:p>
    <w:p w14:paraId="11F5BFD5" w14:textId="6BFC4C49" w:rsidR="00C634C4" w:rsidRPr="00FA311E" w:rsidRDefault="00C634C4" w:rsidP="00C634C4">
      <w:pPr>
        <w:widowControl/>
        <w:spacing w:after="200" w:line="360" w:lineRule="auto"/>
        <w:jc w:val="left"/>
        <w:rPr>
          <w:b/>
          <w:sz w:val="24"/>
          <w:szCs w:val="24"/>
        </w:rPr>
      </w:pPr>
      <w:r w:rsidRPr="00FA311E">
        <w:rPr>
          <w:b/>
          <w:sz w:val="24"/>
          <w:szCs w:val="24"/>
        </w:rPr>
        <w:lastRenderedPageBreak/>
        <w:t>Supplementary Table 1. Primers used in the study</w:t>
      </w:r>
    </w:p>
    <w:p w14:paraId="49077D70" w14:textId="77777777" w:rsidR="00A16085" w:rsidRPr="00FA311E" w:rsidRDefault="00A16085" w:rsidP="00C634C4">
      <w:pPr>
        <w:widowControl/>
        <w:spacing w:after="200" w:line="360" w:lineRule="auto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3747"/>
        <w:gridCol w:w="3646"/>
      </w:tblGrid>
      <w:tr w:rsidR="00C634C4" w:rsidRPr="00FA311E" w14:paraId="0563F6DF" w14:textId="77777777" w:rsidTr="00E1015A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1BCD1749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Gene name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14:paraId="26031B3F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F-sequence (5' to 3')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6038FD8D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R-sequence (5' to 3')</w:t>
            </w:r>
          </w:p>
        </w:tc>
      </w:tr>
      <w:tr w:rsidR="00C634C4" w:rsidRPr="00FA311E" w14:paraId="41571961" w14:textId="77777777" w:rsidTr="00E1015A">
        <w:tc>
          <w:tcPr>
            <w:tcW w:w="2840" w:type="dxa"/>
            <w:tcBorders>
              <w:top w:val="single" w:sz="4" w:space="0" w:color="auto"/>
            </w:tcBorders>
          </w:tcPr>
          <w:p w14:paraId="67028B06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color w:val="000000"/>
                <w:kern w:val="0"/>
                <w:sz w:val="24"/>
                <w:szCs w:val="24"/>
              </w:rPr>
              <w:t>HCoV-NL63 plasmid</w:t>
            </w:r>
          </w:p>
        </w:tc>
        <w:tc>
          <w:tcPr>
            <w:tcW w:w="4499" w:type="dxa"/>
            <w:tcBorders>
              <w:top w:val="single" w:sz="4" w:space="0" w:color="auto"/>
            </w:tcBorders>
          </w:tcPr>
          <w:p w14:paraId="679C3FFE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CTTCTGGTGACGCTAGTACAGCTTAT</w:t>
            </w:r>
          </w:p>
        </w:tc>
        <w:tc>
          <w:tcPr>
            <w:tcW w:w="4541" w:type="dxa"/>
            <w:tcBorders>
              <w:top w:val="single" w:sz="4" w:space="0" w:color="auto"/>
            </w:tcBorders>
          </w:tcPr>
          <w:p w14:paraId="704FD2CE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AGACGTCGTTGTAGATCCCTAACAT</w:t>
            </w:r>
          </w:p>
        </w:tc>
      </w:tr>
      <w:tr w:rsidR="00C634C4" w:rsidRPr="00FA311E" w14:paraId="3D88A226" w14:textId="77777777" w:rsidTr="00E1015A">
        <w:tc>
          <w:tcPr>
            <w:tcW w:w="2840" w:type="dxa"/>
          </w:tcPr>
          <w:p w14:paraId="4575717C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Human GAPDH</w:t>
            </w:r>
          </w:p>
        </w:tc>
        <w:tc>
          <w:tcPr>
            <w:tcW w:w="4499" w:type="dxa"/>
          </w:tcPr>
          <w:p w14:paraId="458F7451" w14:textId="77777777" w:rsidR="00C634C4" w:rsidRPr="00FA311E" w:rsidRDefault="00C634C4" w:rsidP="00C634C4">
            <w:pPr>
              <w:spacing w:after="0" w:line="360" w:lineRule="auto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FA311E">
              <w:rPr>
                <w:rFonts w:eastAsia="Times New Roman"/>
                <w:color w:val="000000"/>
                <w:kern w:val="0"/>
                <w:sz w:val="24"/>
                <w:szCs w:val="24"/>
              </w:rPr>
              <w:t>GTCTCCTCTGACTTCAACAGCG</w:t>
            </w:r>
          </w:p>
        </w:tc>
        <w:tc>
          <w:tcPr>
            <w:tcW w:w="4541" w:type="dxa"/>
          </w:tcPr>
          <w:p w14:paraId="2B6E3233" w14:textId="77777777" w:rsidR="00C634C4" w:rsidRPr="00FA311E" w:rsidRDefault="00C634C4" w:rsidP="00C634C4">
            <w:pPr>
              <w:spacing w:after="0" w:line="360" w:lineRule="auto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FA311E">
              <w:rPr>
                <w:rFonts w:eastAsia="Times New Roman"/>
                <w:color w:val="000000"/>
                <w:kern w:val="0"/>
                <w:sz w:val="24"/>
                <w:szCs w:val="24"/>
              </w:rPr>
              <w:t>ACCACCCTGTTGCTGTAGTAGCCA A</w:t>
            </w:r>
          </w:p>
        </w:tc>
      </w:tr>
      <w:tr w:rsidR="00C634C4" w:rsidRPr="00FA311E" w14:paraId="3D3DC1D0" w14:textId="77777777" w:rsidTr="00E1015A">
        <w:tc>
          <w:tcPr>
            <w:tcW w:w="2840" w:type="dxa"/>
          </w:tcPr>
          <w:p w14:paraId="3DC15A8E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NL63</w:t>
            </w:r>
          </w:p>
        </w:tc>
        <w:tc>
          <w:tcPr>
            <w:tcW w:w="4499" w:type="dxa"/>
          </w:tcPr>
          <w:p w14:paraId="3DBBCFC1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ACGCAATGCCACTGTTGTTA</w:t>
            </w:r>
          </w:p>
        </w:tc>
        <w:tc>
          <w:tcPr>
            <w:tcW w:w="4541" w:type="dxa"/>
          </w:tcPr>
          <w:p w14:paraId="691DF49B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GACAACACCGTCATCAGAGA</w:t>
            </w:r>
          </w:p>
        </w:tc>
      </w:tr>
      <w:tr w:rsidR="00C634C4" w:rsidRPr="00FA311E" w14:paraId="739B7652" w14:textId="77777777" w:rsidTr="00E1015A">
        <w:tc>
          <w:tcPr>
            <w:tcW w:w="2840" w:type="dxa"/>
          </w:tcPr>
          <w:p w14:paraId="05412ACC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229E</w:t>
            </w:r>
          </w:p>
        </w:tc>
        <w:tc>
          <w:tcPr>
            <w:tcW w:w="4499" w:type="dxa"/>
          </w:tcPr>
          <w:p w14:paraId="30138C9B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GTCGTCAGGGTAGAATACCTTA</w:t>
            </w:r>
          </w:p>
        </w:tc>
        <w:tc>
          <w:tcPr>
            <w:tcW w:w="4541" w:type="dxa"/>
          </w:tcPr>
          <w:p w14:paraId="7905EE7F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CCCGTTTGCGCTTTCTAGT</w:t>
            </w:r>
          </w:p>
        </w:tc>
      </w:tr>
      <w:tr w:rsidR="00C634C4" w:rsidRPr="00FA311E" w14:paraId="5987DA22" w14:textId="77777777" w:rsidTr="00E1015A">
        <w:tc>
          <w:tcPr>
            <w:tcW w:w="2840" w:type="dxa"/>
          </w:tcPr>
          <w:p w14:paraId="2E170F1E" w14:textId="77777777" w:rsidR="00C634C4" w:rsidRPr="00FA311E" w:rsidRDefault="00C634C4" w:rsidP="00C634C4">
            <w:pPr>
              <w:spacing w:after="0" w:line="360" w:lineRule="auto"/>
              <w:rPr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OC43</w:t>
            </w:r>
          </w:p>
        </w:tc>
        <w:tc>
          <w:tcPr>
            <w:tcW w:w="4499" w:type="dxa"/>
          </w:tcPr>
          <w:p w14:paraId="45ABB7F5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AGCAACCAGGCTGATGTCAATACC</w:t>
            </w:r>
          </w:p>
        </w:tc>
        <w:tc>
          <w:tcPr>
            <w:tcW w:w="4541" w:type="dxa"/>
          </w:tcPr>
          <w:p w14:paraId="67BD0579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kern w:val="0"/>
                <w:sz w:val="24"/>
                <w:szCs w:val="24"/>
              </w:rPr>
              <w:t>AGCAGACCTTCCTGAGCCTTCAAT</w:t>
            </w:r>
          </w:p>
        </w:tc>
      </w:tr>
      <w:tr w:rsidR="00C634C4" w:rsidRPr="00FA311E" w14:paraId="16EE54EE" w14:textId="77777777" w:rsidTr="00E1015A">
        <w:tc>
          <w:tcPr>
            <w:tcW w:w="2840" w:type="dxa"/>
          </w:tcPr>
          <w:p w14:paraId="4BC828C3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color w:val="000000"/>
                <w:sz w:val="24"/>
                <w:szCs w:val="24"/>
              </w:rPr>
              <w:t>SARS-CoV-2</w:t>
            </w:r>
          </w:p>
        </w:tc>
        <w:tc>
          <w:tcPr>
            <w:tcW w:w="4499" w:type="dxa"/>
          </w:tcPr>
          <w:p w14:paraId="58D09595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color w:val="000000"/>
                <w:kern w:val="0"/>
                <w:sz w:val="24"/>
                <w:szCs w:val="24"/>
              </w:rPr>
              <w:t>CAATGGTTTAACAGGCACAGG</w:t>
            </w:r>
          </w:p>
        </w:tc>
        <w:tc>
          <w:tcPr>
            <w:tcW w:w="4541" w:type="dxa"/>
          </w:tcPr>
          <w:p w14:paraId="55075FAD" w14:textId="77777777" w:rsidR="00C634C4" w:rsidRPr="00FA311E" w:rsidRDefault="00C634C4" w:rsidP="00C634C4">
            <w:pPr>
              <w:widowControl/>
              <w:spacing w:before="0" w:beforeAutospacing="0" w:after="0"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FA311E">
              <w:rPr>
                <w:color w:val="000000"/>
                <w:kern w:val="0"/>
                <w:sz w:val="24"/>
                <w:szCs w:val="24"/>
              </w:rPr>
              <w:t>CTCAAGTGTCTGTGGATCACG</w:t>
            </w:r>
          </w:p>
        </w:tc>
      </w:tr>
    </w:tbl>
    <w:p w14:paraId="1404FF53" w14:textId="562AB718" w:rsidR="00A73E47" w:rsidRPr="00FA311E" w:rsidRDefault="00C634C4">
      <w:pPr>
        <w:rPr>
          <w:sz w:val="24"/>
          <w:szCs w:val="24"/>
        </w:rPr>
      </w:pPr>
      <w:r w:rsidRPr="00FA311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6A7969F" wp14:editId="063EFE86">
            <wp:simplePos x="0" y="0"/>
            <wp:positionH relativeFrom="column">
              <wp:posOffset>135890</wp:posOffset>
            </wp:positionH>
            <wp:positionV relativeFrom="paragraph">
              <wp:posOffset>135346</wp:posOffset>
            </wp:positionV>
            <wp:extent cx="5274310" cy="3817620"/>
            <wp:effectExtent l="0" t="0" r="2540" b="0"/>
            <wp:wrapTight wrapText="bothSides">
              <wp:wrapPolygon edited="0">
                <wp:start x="0" y="0"/>
                <wp:lineTo x="0" y="21449"/>
                <wp:lineTo x="21532" y="21449"/>
                <wp:lineTo x="2153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EE83D" w14:textId="031C2678" w:rsidR="00C634C4" w:rsidRPr="00FA311E" w:rsidRDefault="00C634C4" w:rsidP="00C634C4">
      <w:pPr>
        <w:spacing w:line="360" w:lineRule="auto"/>
        <w:rPr>
          <w:sz w:val="24"/>
          <w:szCs w:val="24"/>
        </w:rPr>
      </w:pPr>
      <w:r w:rsidRPr="00FA311E">
        <w:rPr>
          <w:b/>
          <w:sz w:val="24"/>
          <w:szCs w:val="24"/>
        </w:rPr>
        <w:t>Supplementary Fig</w:t>
      </w:r>
      <w:r w:rsidR="00A16085" w:rsidRPr="00FA311E">
        <w:rPr>
          <w:b/>
          <w:sz w:val="24"/>
          <w:szCs w:val="24"/>
        </w:rPr>
        <w:t>ure</w:t>
      </w:r>
      <w:r w:rsidRPr="00FA311E">
        <w:rPr>
          <w:b/>
          <w:sz w:val="24"/>
          <w:szCs w:val="24"/>
        </w:rPr>
        <w:t xml:space="preserve"> S</w:t>
      </w:r>
      <w:r w:rsidR="00E90B84" w:rsidRPr="00FA311E">
        <w:rPr>
          <w:b/>
          <w:sz w:val="24"/>
          <w:szCs w:val="24"/>
        </w:rPr>
        <w:t>2</w:t>
      </w:r>
      <w:r w:rsidRPr="00FA311E">
        <w:rPr>
          <w:sz w:val="24"/>
          <w:szCs w:val="24"/>
        </w:rPr>
        <w:t xml:space="preserve">. The cytotoxicity of </w:t>
      </w:r>
      <w:r w:rsidRPr="00FA311E">
        <w:rPr>
          <w:color w:val="000000"/>
          <w:sz w:val="24"/>
          <w:szCs w:val="24"/>
        </w:rPr>
        <w:t>dyphylline</w:t>
      </w:r>
      <w:r w:rsidRPr="00FA311E">
        <w:rPr>
          <w:sz w:val="24"/>
          <w:szCs w:val="24"/>
        </w:rPr>
        <w:t xml:space="preserve"> on different cell lines. (A), (B), (C), (D) and (E) LLCMK-2, Huh7, Caco-2, A549 and Calu-3 cells treated with different concentrations of </w:t>
      </w:r>
      <w:r w:rsidRPr="00FA311E">
        <w:rPr>
          <w:color w:val="000000"/>
          <w:sz w:val="24"/>
          <w:szCs w:val="24"/>
        </w:rPr>
        <w:t>dyphylline</w:t>
      </w:r>
      <w:r w:rsidRPr="00FA311E">
        <w:rPr>
          <w:sz w:val="24"/>
          <w:szCs w:val="24"/>
        </w:rPr>
        <w:t xml:space="preserve"> for 48 h. Cytotoxicity was determined by MTT assay (n = </w:t>
      </w:r>
      <w:r w:rsidR="00705248" w:rsidRPr="00FA311E">
        <w:rPr>
          <w:sz w:val="24"/>
          <w:szCs w:val="24"/>
        </w:rPr>
        <w:t>10</w:t>
      </w:r>
      <w:r w:rsidRPr="00FA311E">
        <w:rPr>
          <w:sz w:val="24"/>
          <w:szCs w:val="24"/>
        </w:rPr>
        <w:t xml:space="preserve">-16). (F) Cytotoxicity of </w:t>
      </w:r>
      <w:r w:rsidRPr="00FA311E">
        <w:rPr>
          <w:color w:val="000000"/>
          <w:sz w:val="24"/>
          <w:szCs w:val="24"/>
        </w:rPr>
        <w:t>dyphylline</w:t>
      </w:r>
      <w:r w:rsidRPr="00FA311E">
        <w:rPr>
          <w:sz w:val="24"/>
          <w:szCs w:val="24"/>
        </w:rPr>
        <w:t xml:space="preserve">, </w:t>
      </w:r>
      <w:proofErr w:type="spellStart"/>
      <w:r w:rsidRPr="00FA311E">
        <w:rPr>
          <w:sz w:val="24"/>
          <w:szCs w:val="24"/>
        </w:rPr>
        <w:t>molnupiravir</w:t>
      </w:r>
      <w:proofErr w:type="spellEnd"/>
      <w:r w:rsidRPr="00FA311E">
        <w:rPr>
          <w:sz w:val="24"/>
          <w:szCs w:val="24"/>
        </w:rPr>
        <w:t xml:space="preserve"> or their combinations. Caco-2 cells were treated with different concentrations of </w:t>
      </w:r>
      <w:r w:rsidRPr="00FA311E">
        <w:rPr>
          <w:color w:val="000000"/>
          <w:sz w:val="24"/>
          <w:szCs w:val="24"/>
        </w:rPr>
        <w:t>dyphylline</w:t>
      </w:r>
      <w:r w:rsidRPr="00FA311E">
        <w:rPr>
          <w:sz w:val="24"/>
          <w:szCs w:val="24"/>
        </w:rPr>
        <w:t xml:space="preserve"> (100 µM), </w:t>
      </w:r>
      <w:proofErr w:type="spellStart"/>
      <w:r w:rsidRPr="00FA311E">
        <w:rPr>
          <w:sz w:val="24"/>
          <w:szCs w:val="24"/>
        </w:rPr>
        <w:t>molnupiravir</w:t>
      </w:r>
      <w:proofErr w:type="spellEnd"/>
      <w:r w:rsidRPr="00FA311E">
        <w:rPr>
          <w:sz w:val="24"/>
          <w:szCs w:val="24"/>
        </w:rPr>
        <w:t xml:space="preserve"> (30 µM) or their combinations respectively for 48 h. Cytotoxicity was determined by MTT assay (n = </w:t>
      </w:r>
      <w:r w:rsidR="00705248" w:rsidRPr="00FA311E">
        <w:rPr>
          <w:sz w:val="24"/>
          <w:szCs w:val="24"/>
        </w:rPr>
        <w:t>13</w:t>
      </w:r>
      <w:r w:rsidRPr="00FA311E">
        <w:rPr>
          <w:sz w:val="24"/>
          <w:szCs w:val="24"/>
        </w:rPr>
        <w:t>-1</w:t>
      </w:r>
      <w:r w:rsidR="00705248" w:rsidRPr="00FA311E">
        <w:rPr>
          <w:sz w:val="24"/>
          <w:szCs w:val="24"/>
        </w:rPr>
        <w:t>9</w:t>
      </w:r>
      <w:r w:rsidRPr="00FA311E">
        <w:rPr>
          <w:sz w:val="24"/>
          <w:szCs w:val="24"/>
        </w:rPr>
        <w:t>).</w:t>
      </w:r>
    </w:p>
    <w:p w14:paraId="36567FB7" w14:textId="77777777" w:rsidR="00E90B84" w:rsidRPr="00FA311E" w:rsidRDefault="00E90B84" w:rsidP="00C634C4">
      <w:pPr>
        <w:spacing w:line="360" w:lineRule="auto"/>
        <w:rPr>
          <w:sz w:val="24"/>
          <w:szCs w:val="24"/>
        </w:rPr>
      </w:pPr>
    </w:p>
    <w:p w14:paraId="56222DE1" w14:textId="1BA08443" w:rsidR="002C0D8D" w:rsidRPr="00FA311E" w:rsidRDefault="002C0D8D" w:rsidP="00C634C4">
      <w:pPr>
        <w:spacing w:line="360" w:lineRule="auto"/>
        <w:rPr>
          <w:sz w:val="24"/>
          <w:szCs w:val="24"/>
        </w:rPr>
      </w:pPr>
      <w:r w:rsidRPr="00FA311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8C9FD6F" wp14:editId="27744FEA">
            <wp:simplePos x="0" y="0"/>
            <wp:positionH relativeFrom="column">
              <wp:posOffset>870857</wp:posOffset>
            </wp:positionH>
            <wp:positionV relativeFrom="paragraph">
              <wp:posOffset>65042</wp:posOffset>
            </wp:positionV>
            <wp:extent cx="3179445" cy="2701290"/>
            <wp:effectExtent l="0" t="0" r="1905" b="3810"/>
            <wp:wrapTight wrapText="bothSides">
              <wp:wrapPolygon edited="0">
                <wp:start x="0" y="0"/>
                <wp:lineTo x="0" y="21478"/>
                <wp:lineTo x="21484" y="21478"/>
                <wp:lineTo x="2148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EEE79" w14:textId="77777777" w:rsidR="00A16085" w:rsidRPr="00FA311E" w:rsidRDefault="00A16085" w:rsidP="002C0D8D">
      <w:pPr>
        <w:spacing w:before="0" w:beforeAutospacing="0" w:after="0" w:line="360" w:lineRule="auto"/>
        <w:rPr>
          <w:b/>
          <w:sz w:val="24"/>
          <w:szCs w:val="24"/>
        </w:rPr>
      </w:pPr>
    </w:p>
    <w:p w14:paraId="22950715" w14:textId="77777777" w:rsidR="00A16085" w:rsidRPr="00FA311E" w:rsidRDefault="00A16085" w:rsidP="002C0D8D">
      <w:pPr>
        <w:spacing w:before="0" w:beforeAutospacing="0" w:after="0" w:line="360" w:lineRule="auto"/>
        <w:rPr>
          <w:b/>
          <w:sz w:val="24"/>
          <w:szCs w:val="24"/>
        </w:rPr>
      </w:pPr>
    </w:p>
    <w:p w14:paraId="359153CB" w14:textId="77777777" w:rsidR="00A16085" w:rsidRPr="00FA311E" w:rsidRDefault="00A16085" w:rsidP="002C0D8D">
      <w:pPr>
        <w:spacing w:before="0" w:beforeAutospacing="0" w:after="0" w:line="360" w:lineRule="auto"/>
        <w:rPr>
          <w:b/>
          <w:sz w:val="24"/>
          <w:szCs w:val="24"/>
        </w:rPr>
      </w:pPr>
    </w:p>
    <w:p w14:paraId="2B07B8D9" w14:textId="77777777" w:rsidR="00A16085" w:rsidRPr="00FA311E" w:rsidRDefault="00A16085" w:rsidP="002C0D8D">
      <w:pPr>
        <w:spacing w:before="0" w:beforeAutospacing="0" w:after="0" w:line="360" w:lineRule="auto"/>
        <w:rPr>
          <w:b/>
          <w:sz w:val="24"/>
          <w:szCs w:val="24"/>
        </w:rPr>
      </w:pPr>
    </w:p>
    <w:p w14:paraId="799A205F" w14:textId="77777777" w:rsidR="00A16085" w:rsidRPr="00FA311E" w:rsidRDefault="00A16085" w:rsidP="002C0D8D">
      <w:pPr>
        <w:spacing w:before="0" w:beforeAutospacing="0" w:after="0" w:line="360" w:lineRule="auto"/>
        <w:rPr>
          <w:b/>
          <w:sz w:val="24"/>
          <w:szCs w:val="24"/>
        </w:rPr>
      </w:pPr>
    </w:p>
    <w:p w14:paraId="1F92ED18" w14:textId="77777777" w:rsidR="00A16085" w:rsidRPr="00FA311E" w:rsidRDefault="00A16085" w:rsidP="002C0D8D">
      <w:pPr>
        <w:spacing w:before="0" w:beforeAutospacing="0" w:after="0" w:line="360" w:lineRule="auto"/>
        <w:rPr>
          <w:b/>
          <w:sz w:val="24"/>
          <w:szCs w:val="24"/>
        </w:rPr>
      </w:pPr>
    </w:p>
    <w:p w14:paraId="730A1069" w14:textId="77777777" w:rsidR="00A16085" w:rsidRPr="00FA311E" w:rsidRDefault="00A16085" w:rsidP="002C0D8D">
      <w:pPr>
        <w:spacing w:before="0" w:beforeAutospacing="0" w:after="0" w:line="360" w:lineRule="auto"/>
        <w:rPr>
          <w:b/>
          <w:sz w:val="24"/>
          <w:szCs w:val="24"/>
        </w:rPr>
      </w:pPr>
    </w:p>
    <w:p w14:paraId="65660F53" w14:textId="77777777" w:rsidR="00A16085" w:rsidRPr="00FA311E" w:rsidRDefault="00A16085" w:rsidP="002C0D8D">
      <w:pPr>
        <w:spacing w:before="0" w:beforeAutospacing="0" w:after="0" w:line="360" w:lineRule="auto"/>
        <w:rPr>
          <w:b/>
          <w:sz w:val="24"/>
          <w:szCs w:val="24"/>
        </w:rPr>
      </w:pPr>
    </w:p>
    <w:p w14:paraId="61078D69" w14:textId="77777777" w:rsidR="00A16085" w:rsidRPr="00FA311E" w:rsidRDefault="00A16085" w:rsidP="002C0D8D">
      <w:pPr>
        <w:spacing w:before="0" w:beforeAutospacing="0" w:after="0" w:line="360" w:lineRule="auto"/>
        <w:rPr>
          <w:b/>
          <w:sz w:val="24"/>
          <w:szCs w:val="24"/>
        </w:rPr>
      </w:pPr>
    </w:p>
    <w:p w14:paraId="2985543F" w14:textId="3D8F59CA" w:rsidR="002C0D8D" w:rsidRPr="00A16085" w:rsidRDefault="002C0D8D" w:rsidP="002C0D8D">
      <w:pPr>
        <w:spacing w:before="0" w:beforeAutospacing="0" w:after="0" w:line="360" w:lineRule="auto"/>
        <w:rPr>
          <w:sz w:val="24"/>
          <w:szCs w:val="24"/>
        </w:rPr>
      </w:pPr>
      <w:r w:rsidRPr="00FA311E">
        <w:rPr>
          <w:b/>
          <w:sz w:val="24"/>
          <w:szCs w:val="24"/>
        </w:rPr>
        <w:t>Supplementary Fig</w:t>
      </w:r>
      <w:r w:rsidR="00A16085" w:rsidRPr="00FA311E">
        <w:rPr>
          <w:b/>
          <w:sz w:val="24"/>
          <w:szCs w:val="24"/>
        </w:rPr>
        <w:t>ure</w:t>
      </w:r>
      <w:r w:rsidRPr="00FA311E">
        <w:rPr>
          <w:b/>
          <w:sz w:val="24"/>
          <w:szCs w:val="24"/>
        </w:rPr>
        <w:t xml:space="preserve"> S</w:t>
      </w:r>
      <w:r w:rsidR="00E90B84" w:rsidRPr="00FA311E">
        <w:rPr>
          <w:b/>
          <w:sz w:val="24"/>
          <w:szCs w:val="24"/>
        </w:rPr>
        <w:t>3</w:t>
      </w:r>
      <w:r w:rsidRPr="00FA311E">
        <w:rPr>
          <w:b/>
          <w:sz w:val="24"/>
          <w:szCs w:val="24"/>
        </w:rPr>
        <w:t>.</w:t>
      </w:r>
      <w:r w:rsidRPr="00FA311E">
        <w:rPr>
          <w:bCs/>
          <w:sz w:val="24"/>
          <w:szCs w:val="24"/>
        </w:rPr>
        <w:t xml:space="preserve"> Standard curve for quantifying HCoV-NL63 genome copy numbers. </w:t>
      </w:r>
      <w:r w:rsidRPr="00FA311E">
        <w:rPr>
          <w:sz w:val="24"/>
          <w:szCs w:val="24"/>
        </w:rPr>
        <w:t>Amplicon of the N protein of HCoV-NL63 was cloned into the pCR2.1-TOPO vector. The plasmid was extracted, followed by a series of dilutions from 10</w:t>
      </w:r>
      <w:r w:rsidRPr="00FA311E">
        <w:rPr>
          <w:sz w:val="24"/>
          <w:szCs w:val="24"/>
          <w:vertAlign w:val="superscript"/>
        </w:rPr>
        <w:t>-1</w:t>
      </w:r>
      <w:r w:rsidRPr="00FA311E">
        <w:rPr>
          <w:sz w:val="24"/>
          <w:szCs w:val="24"/>
        </w:rPr>
        <w:t xml:space="preserve"> to 10</w:t>
      </w:r>
      <w:r w:rsidRPr="00FA311E">
        <w:rPr>
          <w:sz w:val="24"/>
          <w:szCs w:val="24"/>
          <w:vertAlign w:val="superscript"/>
        </w:rPr>
        <w:t>-8</w:t>
      </w:r>
      <w:r w:rsidRPr="00FA311E">
        <w:rPr>
          <w:sz w:val="24"/>
          <w:szCs w:val="24"/>
        </w:rPr>
        <w:t xml:space="preserve"> and then were amplified and quantified by </w:t>
      </w:r>
      <w:proofErr w:type="spellStart"/>
      <w:r w:rsidRPr="00FA311E">
        <w:rPr>
          <w:sz w:val="24"/>
          <w:szCs w:val="24"/>
        </w:rPr>
        <w:t>qRT</w:t>
      </w:r>
      <w:proofErr w:type="spellEnd"/>
      <w:r w:rsidRPr="00FA311E">
        <w:rPr>
          <w:sz w:val="24"/>
          <w:szCs w:val="24"/>
        </w:rPr>
        <w:t>-PCR. Standard curve was generated by plotting the cycle threshold (CT) value regarding the log copy numbers.</w:t>
      </w:r>
    </w:p>
    <w:p w14:paraId="77FEBE7A" w14:textId="180F6267" w:rsidR="002C0D8D" w:rsidRPr="00A16085" w:rsidRDefault="002C0D8D" w:rsidP="00C634C4">
      <w:pPr>
        <w:spacing w:line="360" w:lineRule="auto"/>
        <w:rPr>
          <w:sz w:val="24"/>
          <w:szCs w:val="24"/>
        </w:rPr>
      </w:pPr>
    </w:p>
    <w:p w14:paraId="0907B8EC" w14:textId="084DF25B" w:rsidR="00A8660C" w:rsidRPr="00A16085" w:rsidRDefault="00A8660C" w:rsidP="00C634C4">
      <w:pPr>
        <w:spacing w:line="360" w:lineRule="auto"/>
        <w:rPr>
          <w:sz w:val="24"/>
          <w:szCs w:val="24"/>
        </w:rPr>
      </w:pPr>
    </w:p>
    <w:sectPr w:rsidR="00A8660C" w:rsidRPr="00A16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243A" w14:textId="77777777" w:rsidR="00E32558" w:rsidRDefault="00E32558" w:rsidP="00C634C4">
      <w:pPr>
        <w:spacing w:before="0" w:after="0" w:line="240" w:lineRule="auto"/>
      </w:pPr>
      <w:r>
        <w:separator/>
      </w:r>
    </w:p>
  </w:endnote>
  <w:endnote w:type="continuationSeparator" w:id="0">
    <w:p w14:paraId="1DD465BD" w14:textId="77777777" w:rsidR="00E32558" w:rsidRDefault="00E32558" w:rsidP="00C634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3739" w14:textId="77777777" w:rsidR="00E32558" w:rsidRDefault="00E32558" w:rsidP="00C634C4">
      <w:pPr>
        <w:spacing w:before="0" w:after="0" w:line="240" w:lineRule="auto"/>
      </w:pPr>
      <w:r>
        <w:separator/>
      </w:r>
    </w:p>
  </w:footnote>
  <w:footnote w:type="continuationSeparator" w:id="0">
    <w:p w14:paraId="17874733" w14:textId="77777777" w:rsidR="00E32558" w:rsidRDefault="00E32558" w:rsidP="00C634C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zMDI0MjU1tzSyMDZQ0lEKTi0uzszPAykwqQUA4QTZ4CwAAAA="/>
  </w:docVars>
  <w:rsids>
    <w:rsidRoot w:val="00C35A75"/>
    <w:rsid w:val="00030368"/>
    <w:rsid w:val="001447BF"/>
    <w:rsid w:val="00263044"/>
    <w:rsid w:val="002C0D8D"/>
    <w:rsid w:val="00310BAA"/>
    <w:rsid w:val="00311FB6"/>
    <w:rsid w:val="003B0630"/>
    <w:rsid w:val="003C24A6"/>
    <w:rsid w:val="004F3857"/>
    <w:rsid w:val="00514EAA"/>
    <w:rsid w:val="00541233"/>
    <w:rsid w:val="005D7398"/>
    <w:rsid w:val="006005C6"/>
    <w:rsid w:val="00662ACC"/>
    <w:rsid w:val="00686806"/>
    <w:rsid w:val="00705248"/>
    <w:rsid w:val="00713062"/>
    <w:rsid w:val="007D5960"/>
    <w:rsid w:val="007F0C20"/>
    <w:rsid w:val="0087303E"/>
    <w:rsid w:val="00A16085"/>
    <w:rsid w:val="00A16B1D"/>
    <w:rsid w:val="00A67D5E"/>
    <w:rsid w:val="00A8660C"/>
    <w:rsid w:val="00B22540"/>
    <w:rsid w:val="00C35A75"/>
    <w:rsid w:val="00C634C4"/>
    <w:rsid w:val="00CE1322"/>
    <w:rsid w:val="00DF3CE6"/>
    <w:rsid w:val="00E1015A"/>
    <w:rsid w:val="00E32558"/>
    <w:rsid w:val="00E90B84"/>
    <w:rsid w:val="00ED1734"/>
    <w:rsid w:val="00F65A7F"/>
    <w:rsid w:val="00F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A5A82"/>
  <w15:chartTrackingRefBased/>
  <w15:docId w15:val="{CE443F56-002C-4DFE-B0BE-F47460DB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C4"/>
    <w:pPr>
      <w:widowControl w:val="0"/>
      <w:spacing w:before="100" w:beforeAutospacing="1" w:after="160" w:line="254" w:lineRule="auto"/>
      <w:jc w:val="both"/>
    </w:pPr>
    <w:rPr>
      <w:rFonts w:ascii="Times New Roman" w:eastAsia="SimSun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34C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34C4"/>
    <w:pPr>
      <w:tabs>
        <w:tab w:val="center" w:pos="4153"/>
        <w:tab w:val="right" w:pos="8306"/>
      </w:tabs>
      <w:snapToGrid w:val="0"/>
      <w:spacing w:before="0" w:beforeAutospacing="0"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34C4"/>
    <w:rPr>
      <w:sz w:val="18"/>
      <w:szCs w:val="18"/>
    </w:rPr>
  </w:style>
  <w:style w:type="table" w:styleId="TableGrid">
    <w:name w:val="Table Grid"/>
    <w:basedOn w:val="TableNormal"/>
    <w:uiPriority w:val="99"/>
    <w:rsid w:val="00C634C4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艺凝</dc:creator>
  <cp:keywords/>
  <dc:description/>
  <cp:lastModifiedBy>Harriet Wall</cp:lastModifiedBy>
  <cp:revision>27</cp:revision>
  <dcterms:created xsi:type="dcterms:W3CDTF">2021-08-11T20:18:00Z</dcterms:created>
  <dcterms:modified xsi:type="dcterms:W3CDTF">2022-03-23T13:27:00Z</dcterms:modified>
</cp:coreProperties>
</file>