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3D2C" w14:textId="77777777" w:rsidR="00654E8F" w:rsidRPr="001549D3" w:rsidRDefault="00C44CB5" w:rsidP="0001436A">
      <w:pPr>
        <w:pStyle w:val="SupplementaryMaterial"/>
        <w:rPr>
          <w:b w:val="0"/>
        </w:rPr>
      </w:pPr>
      <w:r w:rsidRPr="008A26A4">
        <w:t xml:space="preserve">Supplementary </w:t>
      </w:r>
      <w:r w:rsidR="00654E8F" w:rsidRPr="001549D3">
        <w:t>Material</w:t>
      </w:r>
    </w:p>
    <w:p w14:paraId="68E39128" w14:textId="77777777" w:rsidR="00EA3D3C" w:rsidRPr="00994A3D" w:rsidRDefault="00654E8F" w:rsidP="0001436A">
      <w:pPr>
        <w:pStyle w:val="Ttulo1"/>
      </w:pPr>
      <w:r w:rsidRPr="00994A3D">
        <w:t>Supplementary Data</w:t>
      </w:r>
    </w:p>
    <w:p w14:paraId="1E80781E" w14:textId="19F66885" w:rsidR="00C44CB5" w:rsidRPr="00B20A1A" w:rsidRDefault="00C44CB5" w:rsidP="00B13C5A">
      <w:pPr>
        <w:jc w:val="center"/>
      </w:pPr>
      <w:r w:rsidRPr="00B20A1A">
        <w:t xml:space="preserve">Search strategy </w:t>
      </w:r>
      <w:r w:rsidR="00597B2C">
        <w:t>-</w:t>
      </w:r>
      <w:r w:rsidRPr="00B20A1A">
        <w:t xml:space="preserve"> </w:t>
      </w:r>
      <w:proofErr w:type="spellStart"/>
      <w:r w:rsidRPr="00B20A1A">
        <w:t>Pubmed</w:t>
      </w:r>
      <w:proofErr w:type="spellEnd"/>
    </w:p>
    <w:p w14:paraId="418CD384" w14:textId="77777777" w:rsidR="00C44CB5" w:rsidRPr="0015740A" w:rsidRDefault="0015740A" w:rsidP="00C44CB5">
      <w:pPr>
        <w:jc w:val="both"/>
        <w:rPr>
          <w:rFonts w:eastAsia="Times New Roman" w:cs="Arial"/>
          <w:lang w:eastAsia="pt-BR"/>
        </w:rPr>
      </w:pPr>
      <w:r w:rsidRPr="00B13C5A">
        <w:rPr>
          <w:rFonts w:eastAsia="Times New Roman" w:cs="Arial"/>
          <w:color w:val="000000"/>
          <w:lang w:eastAsia="pt-BR"/>
        </w:rPr>
        <w:t xml:space="preserve">(((((((((((("Pharmacogenomic Testing"[Mesh]) OR (Pharmacogenomic </w:t>
      </w:r>
      <w:proofErr w:type="spellStart"/>
      <w:r w:rsidRPr="00B13C5A">
        <w:rPr>
          <w:rFonts w:eastAsia="Times New Roman" w:cs="Arial"/>
          <w:color w:val="000000"/>
          <w:lang w:eastAsia="pt-BR"/>
        </w:rPr>
        <w:t>Testings</w:t>
      </w:r>
      <w:proofErr w:type="spellEnd"/>
      <w:r w:rsidRPr="00B13C5A">
        <w:rPr>
          <w:rFonts w:eastAsia="Times New Roman" w:cs="Arial"/>
          <w:color w:val="000000"/>
          <w:lang w:eastAsia="pt-BR"/>
        </w:rPr>
        <w:t xml:space="preserve"> OR</w:t>
      </w:r>
      <w:r w:rsidRPr="00B13C5A">
        <w:rPr>
          <w:rFonts w:eastAsia="Times New Roman" w:cs="Arial"/>
          <w:color w:val="000000"/>
          <w:shd w:val="clear" w:color="auto" w:fill="F4B083" w:themeFill="accent2" w:themeFillTint="99"/>
          <w:lang w:eastAsia="pt-BR"/>
        </w:rPr>
        <w:t xml:space="preserve"> </w:t>
      </w:r>
      <w:r w:rsidRPr="00B13C5A">
        <w:rPr>
          <w:rFonts w:eastAsia="Times New Roman" w:cs="Arial"/>
          <w:color w:val="000000"/>
          <w:lang w:eastAsia="pt-BR"/>
        </w:rPr>
        <w:t xml:space="preserve">Pharmacogenomic Screening OR Pharmacogenomic Screenings OR Pharmacogenetic Screening OR Pharmacogenetic Screenings OR Pharmacogenetic Testing OR Pharmacogenetic </w:t>
      </w:r>
      <w:proofErr w:type="spellStart"/>
      <w:r w:rsidRPr="00B13C5A">
        <w:rPr>
          <w:rFonts w:eastAsia="Times New Roman" w:cs="Arial"/>
          <w:color w:val="000000"/>
          <w:lang w:eastAsia="pt-BR"/>
        </w:rPr>
        <w:t>Testings</w:t>
      </w:r>
      <w:proofErr w:type="spellEnd"/>
      <w:r w:rsidRPr="00B13C5A">
        <w:rPr>
          <w:rFonts w:eastAsia="Times New Roman" w:cs="Arial"/>
          <w:color w:val="000000"/>
          <w:lang w:eastAsia="pt-BR"/>
        </w:rPr>
        <w:t xml:space="preserve"> OR Pharmacogenomic Analysis OR Pharmacogenomic Analyses </w:t>
      </w:r>
      <w:r w:rsidRPr="00B13C5A">
        <w:rPr>
          <w:rFonts w:eastAsia="Times New Roman" w:cs="Arial"/>
          <w:color w:val="000000"/>
          <w:shd w:val="clear" w:color="auto" w:fill="FFFFFF" w:themeFill="background1"/>
          <w:lang w:eastAsia="pt-BR"/>
        </w:rPr>
        <w:t>OR Pharmacogenetic Study OR Pharmacogenetic Studies OR Studies, Pharmacogenetic OR Pharmacogenetic Analysis OR Pharmacogenetic Analyses OR Pharmacogenomic Study OR Pharmacogenomic Studies))) OR ("Precision Medicine"[Mesh] OR Medicine, Precision OR Personalized Medicine OR Medicine, Personalized OR Individualized Medicine OR Medicine, Individualized OR P Health OR P-Health OR P-</w:t>
      </w:r>
      <w:proofErr w:type="spellStart"/>
      <w:r w:rsidRPr="00B13C5A">
        <w:rPr>
          <w:rFonts w:eastAsia="Times New Roman" w:cs="Arial"/>
          <w:color w:val="000000"/>
          <w:shd w:val="clear" w:color="auto" w:fill="FFFFFF" w:themeFill="background1"/>
          <w:lang w:eastAsia="pt-BR"/>
        </w:rPr>
        <w:t>Healths</w:t>
      </w:r>
      <w:proofErr w:type="spellEnd"/>
      <w:r w:rsidRPr="00B13C5A">
        <w:rPr>
          <w:rFonts w:eastAsia="Times New Roman" w:cs="Arial"/>
          <w:color w:val="000000"/>
          <w:shd w:val="clear" w:color="auto" w:fill="FFFFFF" w:themeFill="background1"/>
          <w:lang w:eastAsia="pt-BR"/>
        </w:rPr>
        <w:t>)) OR ("Genetic Testing"[Mesh] OR • Testing, Genetic OR Testing, Genetic Predisposition OR Predisposition Testing, Genetic OR Predictive Testing, Genetic OR Genetic Predictive Testing OR Testing, Genetic Predictive OR Predictive Genetic Testing OR Genetic Testing, Predictive OR Testing, Predictive Genetic OR Genetic Predisposition Testing OR Genetic Screening OR Genetic Screenings OR Screening, Genetic OR Screenings, Genetic (("Genotype"[Mesh]) OR "Polymorphism, Genetic"[Mesh])))))) AND (((((systematic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literature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scoping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narrative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qualitative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evidence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quantitative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meta-review[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critical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mixed studies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mapping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cochrane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search and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systematic integrative review[</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NOT comment[pt] NOT (protocol[</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OR protocols[</w:t>
      </w:r>
      <w:proofErr w:type="spellStart"/>
      <w:r w:rsidRPr="00B13C5A">
        <w:rPr>
          <w:rFonts w:eastAsia="Times New Roman" w:cs="Arial"/>
          <w:color w:val="000000"/>
          <w:shd w:val="clear" w:color="auto" w:fill="FFFFFF" w:themeFill="background1"/>
          <w:lang w:eastAsia="pt-BR"/>
        </w:rPr>
        <w:t>ti</w:t>
      </w:r>
      <w:proofErr w:type="spellEnd"/>
      <w:r w:rsidRPr="00B13C5A">
        <w:rPr>
          <w:rFonts w:eastAsia="Times New Roman" w:cs="Arial"/>
          <w:color w:val="000000"/>
          <w:shd w:val="clear" w:color="auto" w:fill="FFFFFF" w:themeFill="background1"/>
          <w:lang w:eastAsia="pt-BR"/>
        </w:rPr>
        <w:t>])) NOT MEDLINE [subset]) OR (Cochrane Database Syst Rev[ta] AND review[pt]) OR systematic review[pt])) AND review[pt]) OR systematic review[pt])) AND (("Clopidogrel"[Mesh]) OR "Warfarin"[Mesh])</w:t>
      </w:r>
      <w:r w:rsidR="00C44CB5" w:rsidRPr="0015740A">
        <w:t xml:space="preserve"> </w:t>
      </w:r>
    </w:p>
    <w:p w14:paraId="70B219A8" w14:textId="77777777" w:rsidR="00B20A1A" w:rsidRPr="00B20A1A" w:rsidRDefault="00C44CB5" w:rsidP="00B20A1A">
      <w:pPr>
        <w:sectPr w:rsidR="00B20A1A" w:rsidRPr="00B20A1A" w:rsidSect="00CA4DD7">
          <w:footerReference w:type="default" r:id="rId8"/>
          <w:pgSz w:w="11906" w:h="16838"/>
          <w:pgMar w:top="1418" w:right="1701" w:bottom="1418" w:left="1701" w:header="709" w:footer="709" w:gutter="0"/>
          <w:cols w:space="708"/>
          <w:titlePg/>
          <w:docGrid w:linePitch="360"/>
        </w:sectPr>
      </w:pPr>
      <w:r w:rsidRPr="00B20A1A">
        <w:br w:type="page"/>
      </w:r>
    </w:p>
    <w:p w14:paraId="1AA25629" w14:textId="77777777" w:rsidR="00C12C56" w:rsidRPr="00994A3D" w:rsidRDefault="00C12C56" w:rsidP="00C12C56">
      <w:pPr>
        <w:pStyle w:val="Ttulo1"/>
      </w:pPr>
      <w:r w:rsidRPr="00994A3D">
        <w:lastRenderedPageBreak/>
        <w:t>Supplementary Tables</w:t>
      </w:r>
    </w:p>
    <w:p w14:paraId="7B8F4839" w14:textId="371C7F1D" w:rsidR="00B20A1A" w:rsidRDefault="00B20A1A" w:rsidP="00C44CB5">
      <w:pPr>
        <w:jc w:val="both"/>
      </w:pPr>
      <w:r w:rsidRPr="00B20A1A">
        <w:rPr>
          <w:b/>
        </w:rPr>
        <w:t>Table S1.</w:t>
      </w:r>
      <w:r w:rsidRPr="00B20A1A">
        <w:t xml:space="preserve"> General </w:t>
      </w:r>
      <w:r w:rsidR="00274934" w:rsidRPr="00B20A1A">
        <w:t xml:space="preserve">characteristics </w:t>
      </w:r>
      <w:r w:rsidR="005D03AF">
        <w:t xml:space="preserve">and strategies </w:t>
      </w:r>
      <w:r w:rsidR="00274934">
        <w:t xml:space="preserve">of the </w:t>
      </w:r>
      <w:r w:rsidR="00274934" w:rsidRPr="00B20A1A">
        <w:t xml:space="preserve">included </w:t>
      </w:r>
      <w:r w:rsidR="004B3DDA">
        <w:t xml:space="preserve">systematic </w:t>
      </w:r>
      <w:r w:rsidR="00274934" w:rsidRPr="00B20A1A">
        <w:t>reviews</w:t>
      </w:r>
      <w:r w:rsidRPr="00B20A1A">
        <w:t>.</w:t>
      </w:r>
    </w:p>
    <w:tbl>
      <w:tblPr>
        <w:tblW w:w="0" w:type="auto"/>
        <w:tblCellMar>
          <w:left w:w="70" w:type="dxa"/>
          <w:right w:w="70" w:type="dxa"/>
        </w:tblCellMar>
        <w:tblLook w:val="04A0" w:firstRow="1" w:lastRow="0" w:firstColumn="1" w:lastColumn="0" w:noHBand="0" w:noVBand="1"/>
      </w:tblPr>
      <w:tblGrid>
        <w:gridCol w:w="1459"/>
        <w:gridCol w:w="3622"/>
        <w:gridCol w:w="1444"/>
        <w:gridCol w:w="3537"/>
        <w:gridCol w:w="1291"/>
        <w:gridCol w:w="1358"/>
        <w:gridCol w:w="1777"/>
        <w:gridCol w:w="1782"/>
      </w:tblGrid>
      <w:tr w:rsidR="00D4689A" w:rsidRPr="00CA4DD7" w14:paraId="5739E368" w14:textId="77777777" w:rsidTr="00410237">
        <w:trPr>
          <w:trHeight w:val="385"/>
        </w:trPr>
        <w:tc>
          <w:tcPr>
            <w:tcW w:w="0" w:type="auto"/>
            <w:tcBorders>
              <w:top w:val="single" w:sz="4" w:space="0" w:color="auto"/>
              <w:left w:val="nil"/>
              <w:bottom w:val="single" w:sz="4" w:space="0" w:color="auto"/>
              <w:right w:val="nil"/>
            </w:tcBorders>
            <w:shd w:val="clear" w:color="000000" w:fill="D9D9D9"/>
            <w:hideMark/>
          </w:tcPr>
          <w:p w14:paraId="42D2BF33" w14:textId="3E51A252" w:rsidR="00027164" w:rsidRPr="00CA4DD7" w:rsidRDefault="00027164" w:rsidP="004918C8">
            <w:pPr>
              <w:spacing w:after="0"/>
              <w:rPr>
                <w:rFonts w:eastAsia="Times New Roman" w:cs="Times New Roman"/>
                <w:szCs w:val="24"/>
                <w:lang w:eastAsia="pt-BR"/>
              </w:rPr>
            </w:pPr>
            <w:bookmarkStart w:id="0" w:name="OLE_LINK1"/>
            <w:r w:rsidRPr="00CA4DD7">
              <w:rPr>
                <w:rFonts w:eastAsia="Times New Roman" w:cs="Times New Roman"/>
                <w:szCs w:val="24"/>
                <w:lang w:eastAsia="pt-BR"/>
              </w:rPr>
              <w:t>Author</w:t>
            </w:r>
            <w:r w:rsidR="001F2EAD" w:rsidRPr="00CA4DD7">
              <w:rPr>
                <w:rFonts w:eastAsia="Times New Roman" w:cs="Times New Roman"/>
                <w:szCs w:val="24"/>
                <w:lang w:eastAsia="pt-BR"/>
              </w:rPr>
              <w:t>, year</w:t>
            </w:r>
          </w:p>
        </w:tc>
        <w:tc>
          <w:tcPr>
            <w:tcW w:w="0" w:type="auto"/>
            <w:tcBorders>
              <w:top w:val="single" w:sz="4" w:space="0" w:color="auto"/>
              <w:left w:val="nil"/>
              <w:bottom w:val="single" w:sz="4" w:space="0" w:color="auto"/>
              <w:right w:val="nil"/>
            </w:tcBorders>
            <w:shd w:val="clear" w:color="000000" w:fill="D9D9D9"/>
            <w:hideMark/>
          </w:tcPr>
          <w:p w14:paraId="2D458D4C" w14:textId="29DD676F" w:rsidR="00694843"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Objectives</w:t>
            </w:r>
          </w:p>
          <w:p w14:paraId="2DD5D029" w14:textId="77777777" w:rsidR="00027164" w:rsidRPr="00CA4DD7" w:rsidRDefault="00027164" w:rsidP="00C04DA9">
            <w:pPr>
              <w:jc w:val="center"/>
              <w:rPr>
                <w:rFonts w:eastAsia="Times New Roman" w:cs="Times New Roman"/>
                <w:szCs w:val="24"/>
                <w:lang w:eastAsia="pt-BR"/>
              </w:rPr>
            </w:pPr>
          </w:p>
        </w:tc>
        <w:tc>
          <w:tcPr>
            <w:tcW w:w="0" w:type="auto"/>
            <w:tcBorders>
              <w:top w:val="single" w:sz="4" w:space="0" w:color="auto"/>
              <w:left w:val="nil"/>
              <w:bottom w:val="single" w:sz="4" w:space="0" w:color="auto"/>
              <w:right w:val="nil"/>
            </w:tcBorders>
            <w:shd w:val="clear" w:color="000000" w:fill="D9D9D9"/>
            <w:hideMark/>
          </w:tcPr>
          <w:p w14:paraId="604A66A3" w14:textId="77777777"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Participant details</w:t>
            </w:r>
          </w:p>
        </w:tc>
        <w:tc>
          <w:tcPr>
            <w:tcW w:w="0" w:type="auto"/>
            <w:tcBorders>
              <w:top w:val="single" w:sz="4" w:space="0" w:color="auto"/>
              <w:left w:val="nil"/>
              <w:bottom w:val="single" w:sz="4" w:space="0" w:color="auto"/>
              <w:right w:val="nil"/>
            </w:tcBorders>
            <w:shd w:val="clear" w:color="000000" w:fill="D9D9D9"/>
            <w:hideMark/>
          </w:tcPr>
          <w:p w14:paraId="215066BD" w14:textId="77777777"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Setting and context</w:t>
            </w:r>
          </w:p>
        </w:tc>
        <w:tc>
          <w:tcPr>
            <w:tcW w:w="0" w:type="auto"/>
            <w:tcBorders>
              <w:top w:val="single" w:sz="4" w:space="0" w:color="auto"/>
              <w:left w:val="nil"/>
              <w:bottom w:val="single" w:sz="4" w:space="0" w:color="auto"/>
              <w:right w:val="nil"/>
            </w:tcBorders>
            <w:shd w:val="clear" w:color="000000" w:fill="D9D9D9"/>
            <w:hideMark/>
          </w:tcPr>
          <w:p w14:paraId="24822D3D" w14:textId="77777777"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Number of databases sourced and searched</w:t>
            </w:r>
          </w:p>
        </w:tc>
        <w:tc>
          <w:tcPr>
            <w:tcW w:w="0" w:type="auto"/>
            <w:tcBorders>
              <w:top w:val="single" w:sz="4" w:space="0" w:color="auto"/>
              <w:left w:val="nil"/>
              <w:bottom w:val="single" w:sz="4" w:space="0" w:color="auto"/>
              <w:right w:val="nil"/>
            </w:tcBorders>
            <w:shd w:val="clear" w:color="000000" w:fill="D9D9D9"/>
            <w:hideMark/>
          </w:tcPr>
          <w:p w14:paraId="310E4910" w14:textId="693C79B2"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Date range of database search</w:t>
            </w:r>
          </w:p>
        </w:tc>
        <w:tc>
          <w:tcPr>
            <w:tcW w:w="0" w:type="auto"/>
            <w:tcBorders>
              <w:top w:val="single" w:sz="4" w:space="0" w:color="auto"/>
              <w:left w:val="nil"/>
              <w:bottom w:val="single" w:sz="4" w:space="0" w:color="auto"/>
              <w:right w:val="nil"/>
            </w:tcBorders>
            <w:shd w:val="clear" w:color="000000" w:fill="D9D9D9"/>
            <w:hideMark/>
          </w:tcPr>
          <w:p w14:paraId="3A28EC36" w14:textId="2ED9E464"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Number of studies and types of studies included in each review</w:t>
            </w:r>
          </w:p>
        </w:tc>
        <w:tc>
          <w:tcPr>
            <w:tcW w:w="0" w:type="auto"/>
            <w:tcBorders>
              <w:top w:val="single" w:sz="4" w:space="0" w:color="auto"/>
              <w:left w:val="nil"/>
              <w:bottom w:val="single" w:sz="4" w:space="0" w:color="auto"/>
              <w:right w:val="nil"/>
            </w:tcBorders>
            <w:shd w:val="clear" w:color="000000" w:fill="D9D9D9"/>
            <w:hideMark/>
          </w:tcPr>
          <w:p w14:paraId="4EFAA8E3" w14:textId="25070261" w:rsidR="00027164" w:rsidRPr="00CA4DD7" w:rsidRDefault="00027164" w:rsidP="004918C8">
            <w:pPr>
              <w:spacing w:after="0"/>
              <w:rPr>
                <w:rFonts w:eastAsia="Times New Roman" w:cs="Times New Roman"/>
                <w:szCs w:val="24"/>
                <w:lang w:eastAsia="pt-BR"/>
              </w:rPr>
            </w:pPr>
            <w:r w:rsidRPr="00CA4DD7">
              <w:rPr>
                <w:rFonts w:eastAsia="Times New Roman" w:cs="Times New Roman"/>
                <w:szCs w:val="24"/>
                <w:lang w:eastAsia="pt-BR"/>
              </w:rPr>
              <w:t xml:space="preserve">Instrument used to appraise </w:t>
            </w:r>
            <w:r w:rsidR="00314FA6" w:rsidRPr="00CA4DD7">
              <w:rPr>
                <w:rFonts w:eastAsia="Times New Roman" w:cs="Times New Roman"/>
                <w:szCs w:val="24"/>
                <w:lang w:eastAsia="pt-BR"/>
              </w:rPr>
              <w:t xml:space="preserve">quality of </w:t>
            </w:r>
            <w:r w:rsidRPr="00CA4DD7">
              <w:rPr>
                <w:rFonts w:eastAsia="Times New Roman" w:cs="Times New Roman"/>
                <w:szCs w:val="24"/>
                <w:lang w:eastAsia="pt-BR"/>
              </w:rPr>
              <w:t>the primary studies</w:t>
            </w:r>
          </w:p>
        </w:tc>
      </w:tr>
      <w:tr w:rsidR="003D0A8C" w:rsidRPr="00CA4DD7" w14:paraId="040F0614" w14:textId="77777777" w:rsidTr="00067B91">
        <w:trPr>
          <w:trHeight w:val="309"/>
        </w:trPr>
        <w:tc>
          <w:tcPr>
            <w:tcW w:w="0" w:type="auto"/>
            <w:gridSpan w:val="8"/>
            <w:tcBorders>
              <w:top w:val="single" w:sz="4" w:space="0" w:color="auto"/>
              <w:left w:val="nil"/>
              <w:bottom w:val="single" w:sz="4" w:space="0" w:color="auto"/>
              <w:right w:val="nil"/>
            </w:tcBorders>
            <w:shd w:val="clear" w:color="auto" w:fill="FFFFFF" w:themeFill="background1"/>
          </w:tcPr>
          <w:p w14:paraId="001D6DEE" w14:textId="37AD0DD2" w:rsidR="00C7254E" w:rsidRPr="00CA4DD7" w:rsidRDefault="00C7254E" w:rsidP="00851A5D">
            <w:pPr>
              <w:spacing w:after="0"/>
              <w:rPr>
                <w:rFonts w:eastAsia="Times New Roman" w:cs="Times New Roman"/>
                <w:b/>
                <w:bCs/>
                <w:szCs w:val="24"/>
                <w:lang w:eastAsia="pt-BR"/>
              </w:rPr>
            </w:pPr>
            <w:r w:rsidRPr="00CA4DD7">
              <w:rPr>
                <w:rFonts w:eastAsia="Times New Roman" w:cs="Times New Roman"/>
                <w:b/>
                <w:bCs/>
                <w:szCs w:val="24"/>
                <w:lang w:eastAsia="pt-BR"/>
              </w:rPr>
              <w:t xml:space="preserve">Clopidogrel – </w:t>
            </w:r>
            <w:r w:rsidR="00401549" w:rsidRPr="00CA4DD7">
              <w:rPr>
                <w:rFonts w:eastAsia="Times New Roman" w:cs="Times New Roman"/>
                <w:b/>
                <w:bCs/>
                <w:i/>
                <w:iCs/>
                <w:szCs w:val="24"/>
                <w:lang w:eastAsia="pt-BR"/>
              </w:rPr>
              <w:t>CYP2C19</w:t>
            </w:r>
            <w:r w:rsidRPr="00CA4DD7">
              <w:rPr>
                <w:rFonts w:eastAsia="Times New Roman" w:cs="Times New Roman"/>
                <w:b/>
                <w:bCs/>
                <w:szCs w:val="24"/>
                <w:lang w:eastAsia="pt-BR"/>
              </w:rPr>
              <w:t xml:space="preserve"> (SR</w:t>
            </w:r>
            <w:r w:rsidR="002E0614" w:rsidRPr="00CA4DD7">
              <w:rPr>
                <w:rFonts w:eastAsia="Times New Roman" w:cs="Times New Roman"/>
                <w:b/>
                <w:bCs/>
                <w:szCs w:val="24"/>
                <w:lang w:eastAsia="pt-BR"/>
              </w:rPr>
              <w:t>s</w:t>
            </w:r>
            <w:r w:rsidRPr="00CA4DD7">
              <w:rPr>
                <w:rFonts w:eastAsia="Times New Roman" w:cs="Times New Roman"/>
                <w:b/>
                <w:bCs/>
                <w:szCs w:val="24"/>
                <w:lang w:eastAsia="pt-BR"/>
              </w:rPr>
              <w:t xml:space="preserve"> with MA) </w:t>
            </w:r>
          </w:p>
        </w:tc>
      </w:tr>
      <w:tr w:rsidR="00D4689A" w:rsidRPr="00CA4DD7" w14:paraId="76E81C16" w14:textId="77777777" w:rsidTr="00AB7B53">
        <w:trPr>
          <w:trHeight w:val="385"/>
        </w:trPr>
        <w:tc>
          <w:tcPr>
            <w:tcW w:w="0" w:type="auto"/>
            <w:tcBorders>
              <w:top w:val="single" w:sz="4" w:space="0" w:color="auto"/>
              <w:left w:val="nil"/>
              <w:right w:val="nil"/>
            </w:tcBorders>
            <w:shd w:val="clear" w:color="auto" w:fill="D9D9D9" w:themeFill="background1" w:themeFillShade="D9"/>
          </w:tcPr>
          <w:p w14:paraId="7EF7A2D1" w14:textId="57F5DC78" w:rsidR="00851A5D" w:rsidRPr="00CA4DD7" w:rsidRDefault="00A73A66" w:rsidP="00851A5D">
            <w:pPr>
              <w:spacing w:after="0"/>
              <w:rPr>
                <w:rFonts w:eastAsia="Times New Roman" w:cs="Times New Roman"/>
                <w:szCs w:val="24"/>
                <w:lang w:eastAsia="pt-BR"/>
              </w:rPr>
            </w:pPr>
            <w:r w:rsidRPr="00CA4DD7">
              <w:rPr>
                <w:rFonts w:cs="Times New Roman"/>
                <w:szCs w:val="24"/>
              </w:rPr>
              <w:t>Alakbarzade et al., 2020</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dGHvIxZR","properties":{"formattedCitation":"[1]","plainCitation":"[1]","noteIndex":0},"citationItems":[{"id":63,"uris":["http://zotero.org/users/local/CMEncDpE/items/254GQWGJ"],"uri":["http://zotero.org/users/local/CMEncDpE/items/254GQWGJ"],"itemData":{"id":63,"type":"article-journal","abstract":"OBJECTIVES: To assess the prevalence of high on-clopidogrel platelet reactivity (HCPR) in patients with ischaemic stroke or transient ischaemic attack (IS/TIA), their outcome and genetic basis of on-treatment response variability in IS/TIA patients.\nMETHODS: We conducted a comprehensive search of PubMed and EMBASE from their inceptions to March 9, 2019. Studies that reported absolute numbers/percentages of HCRP at any time point after IS/TIA onset evaluated with any type of platelet function tests, clinical outcomes and genotyping data were included.\nRESULTS: Among 21 studies of 4312 IS/TIA patients treated with clopidogrel, the pooled prevalence of HCPR was 28% (95%CI: 24-32%; high heterogeneity: I2 = 88.2%, p &lt; 0.001). Heterogeneity degree diminished across groups defined by the HCPR testing method. Clopidogrel non-responder IS/TIA patients had poorer outcome compared to responders (RR = 2.09, 95%CI: 1.61-2.70; p = 0.036; low heterogeneity across studies: I2 = 27.4%, p = 0.210). IS/TIA carriers of CYP2C19*2 or CYP2C19*3 loss of function alleles had a higher risk of HCPR compared to wild type (RR = 1.69, 95%CI: 1.47-1.95; p &lt; 0.001; I2 = 0.01%, p = 0.475).\nCONCLUSIONS: This systematic review shows a high prevalence of clopidogrel resistance in IS/TIA and poor outcome in these patients. CYP2C19 polymorphisms may potentially influence clopidogrel resistance.","container-title":"Journal of Stroke and Cerebrovascular Diseases: The Official Journal of National Stroke Association","DOI":"10.1016/j.jstrokecerebrovasdis.2020.104877","ISSN":"1532-8511","issue":"7","journalAbbreviation":"J Stroke Cerebrovasc Dis","language":"eng","note":"PMID: 32414579","page":"104877","source":"PubMed","title":"High on-clopidogrel platelet reactivity in ischaemic stroke or transient ischaemic attack: Systematic review and meta-analysis","title-short":"High on-clopidogrel platelet reactivity in ischaemic stroke or transient ischaemic attack","volume":"29","author":[{"family":"Alakbarzade","given":"Vafa"},{"family":"Huang","given":"Xuya"},{"family":"Ster","given":"Irina Chis"},{"family":"McEntagart","given":"Meriel"},{"family":"Pereira","given":"Anthony C."}],"issued":{"date-parts":[["2020",7]]}}}],"schema":"https://github.com/citation-style-language/schema/raw/master/csl-citation.json"} </w:instrText>
            </w:r>
            <w:r w:rsidR="00495DFF">
              <w:rPr>
                <w:rFonts w:cs="Times New Roman"/>
                <w:szCs w:val="24"/>
              </w:rPr>
              <w:fldChar w:fldCharType="separate"/>
            </w:r>
            <w:r w:rsidR="00495DFF" w:rsidRPr="00495DFF">
              <w:rPr>
                <w:rFonts w:cs="Times New Roman"/>
              </w:rPr>
              <w:t>[1]</w:t>
            </w:r>
            <w:r w:rsidR="00495DFF">
              <w:rPr>
                <w:rFonts w:cs="Times New Roman"/>
                <w:szCs w:val="24"/>
              </w:rPr>
              <w:fldChar w:fldCharType="end"/>
            </w:r>
          </w:p>
        </w:tc>
        <w:tc>
          <w:tcPr>
            <w:tcW w:w="0" w:type="auto"/>
            <w:tcBorders>
              <w:top w:val="single" w:sz="4" w:space="0" w:color="auto"/>
              <w:left w:val="nil"/>
              <w:right w:val="nil"/>
            </w:tcBorders>
            <w:shd w:val="clear" w:color="auto" w:fill="D9D9D9" w:themeFill="background1" w:themeFillShade="D9"/>
          </w:tcPr>
          <w:p w14:paraId="7D2E314B" w14:textId="0A9DAD9F" w:rsidR="00851A5D" w:rsidRPr="00CA4DD7" w:rsidRDefault="00851A5D" w:rsidP="00851A5D">
            <w:pPr>
              <w:spacing w:after="0"/>
              <w:rPr>
                <w:rFonts w:eastAsia="Times New Roman" w:cs="Times New Roman"/>
                <w:szCs w:val="24"/>
                <w:lang w:eastAsia="pt-BR"/>
              </w:rPr>
            </w:pPr>
            <w:r w:rsidRPr="00CA4DD7">
              <w:rPr>
                <w:rFonts w:eastAsia="Times New Roman" w:cs="Times New Roman"/>
                <w:szCs w:val="24"/>
                <w:lang w:eastAsia="pt-BR"/>
              </w:rPr>
              <w:t>to assess the prevalence of HCPR in patients with IS/TIA, their outcome</w:t>
            </w:r>
            <w:r w:rsidR="001A6180" w:rsidRPr="00CA4DD7">
              <w:rPr>
                <w:rFonts w:eastAsia="Times New Roman" w:cs="Times New Roman"/>
                <w:szCs w:val="24"/>
                <w:lang w:eastAsia="pt-BR"/>
              </w:rPr>
              <w:t>,</w:t>
            </w:r>
            <w:r w:rsidRPr="00CA4DD7">
              <w:rPr>
                <w:rFonts w:eastAsia="Times New Roman" w:cs="Times New Roman"/>
                <w:szCs w:val="24"/>
                <w:lang w:eastAsia="pt-BR"/>
              </w:rPr>
              <w:t xml:space="preserve"> and genetic basis of treatment response variability in IS/TIA patients</w:t>
            </w:r>
          </w:p>
        </w:tc>
        <w:tc>
          <w:tcPr>
            <w:tcW w:w="0" w:type="auto"/>
            <w:tcBorders>
              <w:top w:val="single" w:sz="4" w:space="0" w:color="auto"/>
              <w:left w:val="nil"/>
              <w:right w:val="nil"/>
            </w:tcBorders>
            <w:shd w:val="clear" w:color="auto" w:fill="D9D9D9" w:themeFill="background1" w:themeFillShade="D9"/>
          </w:tcPr>
          <w:p w14:paraId="702616BC" w14:textId="023CD9B8" w:rsidR="00851A5D" w:rsidRPr="00CA4DD7" w:rsidRDefault="00851A5D" w:rsidP="00851A5D">
            <w:pPr>
              <w:spacing w:after="0"/>
              <w:rPr>
                <w:rFonts w:eastAsia="Times New Roman" w:cs="Times New Roman"/>
                <w:szCs w:val="24"/>
                <w:lang w:eastAsia="pt-BR"/>
              </w:rPr>
            </w:pPr>
            <w:r w:rsidRPr="00CA4DD7">
              <w:rPr>
                <w:rFonts w:eastAsia="Times New Roman" w:cs="Times New Roman"/>
                <w:szCs w:val="24"/>
                <w:lang w:eastAsia="pt-BR"/>
              </w:rPr>
              <w:t>not specified</w:t>
            </w:r>
          </w:p>
        </w:tc>
        <w:tc>
          <w:tcPr>
            <w:tcW w:w="0" w:type="auto"/>
            <w:tcBorders>
              <w:top w:val="single" w:sz="4" w:space="0" w:color="auto"/>
              <w:left w:val="nil"/>
              <w:right w:val="nil"/>
            </w:tcBorders>
            <w:shd w:val="clear" w:color="auto" w:fill="D9D9D9" w:themeFill="background1" w:themeFillShade="D9"/>
          </w:tcPr>
          <w:p w14:paraId="00431A52" w14:textId="305C80E5" w:rsidR="00851A5D" w:rsidRPr="00CA4DD7" w:rsidRDefault="00851A5D" w:rsidP="00851A5D">
            <w:pPr>
              <w:spacing w:after="0"/>
              <w:rPr>
                <w:rFonts w:eastAsia="Times New Roman" w:cs="Times New Roman"/>
                <w:szCs w:val="24"/>
                <w:lang w:eastAsia="pt-BR"/>
              </w:rPr>
            </w:pPr>
            <w:r w:rsidRPr="00CA4DD7">
              <w:rPr>
                <w:rFonts w:eastAsia="Times New Roman" w:cs="Times New Roman"/>
                <w:szCs w:val="24"/>
                <w:lang w:eastAsia="pt-BR"/>
              </w:rPr>
              <w:t xml:space="preserve">IS/TIA </w:t>
            </w:r>
            <w:r w:rsidR="005D03AF" w:rsidRPr="00CA4DD7">
              <w:rPr>
                <w:rFonts w:eastAsia="Times New Roman" w:cs="Times New Roman"/>
                <w:szCs w:val="24"/>
                <w:lang w:eastAsia="pt-BR"/>
              </w:rPr>
              <w:t xml:space="preserve">patients </w:t>
            </w:r>
            <w:r w:rsidRPr="00CA4DD7">
              <w:rPr>
                <w:rFonts w:eastAsia="Times New Roman" w:cs="Times New Roman"/>
                <w:szCs w:val="24"/>
                <w:lang w:eastAsia="pt-BR"/>
              </w:rPr>
              <w:t>on Clopidogrel; HCPR at any time point after IS/TIA onset evaluated with any type of platelet function test, any type of study design with or without reported clinical outcomes/genotyping data</w:t>
            </w:r>
          </w:p>
        </w:tc>
        <w:tc>
          <w:tcPr>
            <w:tcW w:w="0" w:type="auto"/>
            <w:tcBorders>
              <w:top w:val="single" w:sz="4" w:space="0" w:color="auto"/>
              <w:left w:val="nil"/>
              <w:right w:val="nil"/>
            </w:tcBorders>
            <w:shd w:val="clear" w:color="auto" w:fill="D9D9D9" w:themeFill="background1" w:themeFillShade="D9"/>
          </w:tcPr>
          <w:p w14:paraId="29555E2F" w14:textId="0864A71B" w:rsidR="00851A5D" w:rsidRPr="00CA4DD7" w:rsidRDefault="00851A5D" w:rsidP="00851A5D">
            <w:pPr>
              <w:spacing w:after="0"/>
              <w:rPr>
                <w:rFonts w:eastAsia="Times New Roman" w:cs="Times New Roman"/>
                <w:szCs w:val="24"/>
                <w:lang w:eastAsia="pt-BR"/>
              </w:rPr>
            </w:pPr>
            <w:r w:rsidRPr="00CA4DD7">
              <w:rPr>
                <w:rFonts w:eastAsia="Times New Roman" w:cs="Times New Roman"/>
                <w:szCs w:val="24"/>
                <w:lang w:eastAsia="pt-BR"/>
              </w:rPr>
              <w:t>4</w:t>
            </w:r>
          </w:p>
        </w:tc>
        <w:tc>
          <w:tcPr>
            <w:tcW w:w="0" w:type="auto"/>
            <w:tcBorders>
              <w:top w:val="single" w:sz="4" w:space="0" w:color="auto"/>
              <w:left w:val="nil"/>
              <w:right w:val="nil"/>
            </w:tcBorders>
            <w:shd w:val="clear" w:color="auto" w:fill="D9D9D9" w:themeFill="background1" w:themeFillShade="D9"/>
          </w:tcPr>
          <w:p w14:paraId="4B0AF2DD" w14:textId="019793C4" w:rsidR="00851A5D" w:rsidRPr="00CA4DD7" w:rsidRDefault="00504F40" w:rsidP="00851A5D">
            <w:pPr>
              <w:spacing w:after="0"/>
              <w:rPr>
                <w:rFonts w:eastAsia="Times New Roman" w:cs="Times New Roman"/>
                <w:szCs w:val="24"/>
                <w:lang w:eastAsia="pt-BR"/>
              </w:rPr>
            </w:pPr>
            <w:r w:rsidRPr="00CA4DD7">
              <w:rPr>
                <w:rFonts w:eastAsia="Times New Roman" w:cs="Times New Roman"/>
                <w:szCs w:val="24"/>
                <w:lang w:eastAsia="pt-BR"/>
              </w:rPr>
              <w:t>f</w:t>
            </w:r>
            <w:r w:rsidR="002079BE" w:rsidRPr="00CA4DD7">
              <w:rPr>
                <w:rFonts w:eastAsia="Times New Roman" w:cs="Times New Roman"/>
                <w:szCs w:val="24"/>
                <w:lang w:eastAsia="pt-BR"/>
              </w:rPr>
              <w:t>rom</w:t>
            </w:r>
            <w:r w:rsidR="007B2A11" w:rsidRPr="00CA4DD7">
              <w:rPr>
                <w:rFonts w:eastAsia="Times New Roman" w:cs="Times New Roman"/>
                <w:szCs w:val="24"/>
                <w:lang w:eastAsia="pt-BR"/>
              </w:rPr>
              <w:t xml:space="preserve"> </w:t>
            </w:r>
            <w:r w:rsidR="006F4199" w:rsidRPr="00CA4DD7">
              <w:rPr>
                <w:rFonts w:eastAsia="Times New Roman" w:cs="Times New Roman"/>
                <w:szCs w:val="24"/>
                <w:lang w:eastAsia="pt-BR"/>
              </w:rPr>
              <w:t>its</w:t>
            </w:r>
            <w:r w:rsidR="00015C10" w:rsidRPr="00CA4DD7">
              <w:rPr>
                <w:rFonts w:eastAsia="Times New Roman" w:cs="Times New Roman"/>
                <w:szCs w:val="24"/>
                <w:lang w:eastAsia="pt-BR"/>
              </w:rPr>
              <w:t xml:space="preserve"> </w:t>
            </w:r>
            <w:r w:rsidR="00851A5D" w:rsidRPr="00CA4DD7">
              <w:rPr>
                <w:rFonts w:eastAsia="Times New Roman" w:cs="Times New Roman"/>
                <w:szCs w:val="24"/>
                <w:lang w:eastAsia="pt-BR"/>
              </w:rPr>
              <w:t xml:space="preserve">inception to </w:t>
            </w:r>
            <w:r w:rsidR="007A6F33" w:rsidRPr="00CA4DD7">
              <w:rPr>
                <w:rFonts w:eastAsia="Times New Roman" w:cs="Times New Roman"/>
                <w:szCs w:val="24"/>
                <w:lang w:eastAsia="pt-BR"/>
              </w:rPr>
              <w:t xml:space="preserve">Mar </w:t>
            </w:r>
            <w:r w:rsidR="00851A5D" w:rsidRPr="00CA4DD7">
              <w:rPr>
                <w:rFonts w:eastAsia="Times New Roman" w:cs="Times New Roman"/>
                <w:szCs w:val="24"/>
                <w:lang w:eastAsia="pt-BR"/>
              </w:rPr>
              <w:t>2019</w:t>
            </w:r>
          </w:p>
        </w:tc>
        <w:tc>
          <w:tcPr>
            <w:tcW w:w="0" w:type="auto"/>
            <w:tcBorders>
              <w:top w:val="single" w:sz="4" w:space="0" w:color="auto"/>
              <w:left w:val="nil"/>
              <w:right w:val="nil"/>
            </w:tcBorders>
            <w:shd w:val="clear" w:color="auto" w:fill="D9D9D9" w:themeFill="background1" w:themeFillShade="D9"/>
          </w:tcPr>
          <w:p w14:paraId="7E13DC93" w14:textId="4D831059" w:rsidR="00851A5D" w:rsidRPr="00CA4DD7" w:rsidRDefault="00851A5D" w:rsidP="00851A5D">
            <w:pPr>
              <w:spacing w:after="0"/>
              <w:rPr>
                <w:rFonts w:eastAsia="Times New Roman" w:cs="Times New Roman"/>
                <w:szCs w:val="24"/>
                <w:lang w:eastAsia="pt-BR"/>
              </w:rPr>
            </w:pPr>
            <w:r w:rsidRPr="00CA4DD7">
              <w:rPr>
                <w:rFonts w:eastAsia="Times New Roman" w:cs="Times New Roman"/>
                <w:szCs w:val="24"/>
                <w:lang w:eastAsia="pt-BR"/>
              </w:rPr>
              <w:t xml:space="preserve">21; </w:t>
            </w:r>
            <w:r w:rsidR="00690359" w:rsidRPr="00CA4DD7">
              <w:rPr>
                <w:rFonts w:eastAsia="Times New Roman" w:cs="Times New Roman"/>
                <w:szCs w:val="24"/>
                <w:lang w:eastAsia="pt-BR"/>
              </w:rPr>
              <w:t>observational</w:t>
            </w:r>
            <w:r w:rsidR="00386F28" w:rsidRPr="00CA4DD7">
              <w:rPr>
                <w:rFonts w:eastAsia="Times New Roman" w:cs="Times New Roman"/>
                <w:szCs w:val="24"/>
                <w:lang w:eastAsia="pt-BR"/>
              </w:rPr>
              <w:t xml:space="preserve"> </w:t>
            </w:r>
            <w:r w:rsidR="00690359" w:rsidRPr="00CA4DD7">
              <w:rPr>
                <w:rFonts w:eastAsia="Times New Roman" w:cs="Times New Roman"/>
                <w:szCs w:val="24"/>
                <w:lang w:eastAsia="pt-BR"/>
              </w:rPr>
              <w:t>s</w:t>
            </w:r>
            <w:r w:rsidR="00386F28" w:rsidRPr="00CA4DD7">
              <w:rPr>
                <w:rFonts w:eastAsia="Times New Roman" w:cs="Times New Roman"/>
                <w:szCs w:val="24"/>
                <w:lang w:eastAsia="pt-BR"/>
              </w:rPr>
              <w:t>tudies</w:t>
            </w:r>
          </w:p>
        </w:tc>
        <w:tc>
          <w:tcPr>
            <w:tcW w:w="0" w:type="auto"/>
            <w:tcBorders>
              <w:top w:val="single" w:sz="4" w:space="0" w:color="auto"/>
              <w:left w:val="nil"/>
              <w:right w:val="nil"/>
            </w:tcBorders>
            <w:shd w:val="clear" w:color="auto" w:fill="D9D9D9" w:themeFill="background1" w:themeFillShade="D9"/>
          </w:tcPr>
          <w:p w14:paraId="5B0200DE" w14:textId="2ABDBB0D" w:rsidR="00851A5D" w:rsidRPr="00CA4DD7" w:rsidRDefault="00314FA6" w:rsidP="00851A5D">
            <w:pPr>
              <w:spacing w:after="0"/>
              <w:rPr>
                <w:rFonts w:eastAsia="Times New Roman" w:cs="Times New Roman"/>
                <w:szCs w:val="24"/>
                <w:lang w:eastAsia="pt-BR"/>
              </w:rPr>
            </w:pPr>
            <w:r w:rsidRPr="00CA4DD7">
              <w:rPr>
                <w:rFonts w:eastAsia="Times New Roman" w:cs="Times New Roman"/>
                <w:szCs w:val="24"/>
                <w:lang w:eastAsia="pt-BR"/>
              </w:rPr>
              <w:t>not performed</w:t>
            </w:r>
          </w:p>
        </w:tc>
      </w:tr>
      <w:tr w:rsidR="00D4689A" w:rsidRPr="00CA4DD7" w14:paraId="08745841" w14:textId="77777777" w:rsidTr="00AB7B53">
        <w:trPr>
          <w:trHeight w:val="1289"/>
        </w:trPr>
        <w:tc>
          <w:tcPr>
            <w:tcW w:w="0" w:type="auto"/>
            <w:tcBorders>
              <w:top w:val="nil"/>
              <w:left w:val="nil"/>
              <w:bottom w:val="nil"/>
              <w:right w:val="nil"/>
            </w:tcBorders>
            <w:shd w:val="clear" w:color="auto" w:fill="auto"/>
          </w:tcPr>
          <w:p w14:paraId="29B28B45" w14:textId="02EF47F2" w:rsidR="00CF764C" w:rsidRPr="00CA4DD7" w:rsidRDefault="00A73A66" w:rsidP="00CF764C">
            <w:pPr>
              <w:spacing w:after="0"/>
              <w:rPr>
                <w:rFonts w:eastAsia="Times New Roman" w:cs="Times New Roman"/>
                <w:szCs w:val="24"/>
                <w:lang w:eastAsia="pt-BR"/>
              </w:rPr>
            </w:pPr>
            <w:r w:rsidRPr="00CA4DD7">
              <w:rPr>
                <w:rFonts w:cs="Times New Roman"/>
                <w:szCs w:val="24"/>
              </w:rPr>
              <w:t>Bauer et al., 2011</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Jh5gG0ek","properties":{"formattedCitation":"[2]","plainCitation":"[2]","noteIndex":0},"citationItems":[{"id":33,"uris":["http://zotero.org/users/local/CMEncDpE/items/9QZLVFHF"],"uri":["http://zotero.org/users/local/CMEncDpE/items/9QZLVFHF"],"itemData":{"id":33,"type":"article-journal","abstract":"OBJECTIVE: To evaluate the accumulated information from genetic association studies investigating the impact of variants of the cytochrome P450 (CYP) 2C19 genotype on the clinical efficacy of clopidogrel.\nDESIGN: Systematic review and meta-analysis with a structured search algorithm and prespecified eligibility criteria for retrieval of relevant studies; dominant genetic model assumptions and quantitative methods for calculating summary effect estimates from study level odds ratios; systematic assessment of bias within and between studies; and grading of the cumulative evidence by consensus criteria.\nDATA SOURCES: Medline, Embase, the Cochrane Library, online databases, contents pages and bibliographies of general medical, cardiovascular, pharmacological, and genetic journals. Eligibility criteria for selecting studies Original full length reports assessing the cumulative incidence of major adverse cardiovascular events or stent thrombosis over a follow-up period of at least a month in association with carrier status for the loss of function or gain of function CYP2C19 allele in adult patients with coronary artery disease and a clinical presentation of acute coronary syndrome or stable angina pectoris who were taking clopidogrel.\nRESULTS: 15 studies met the inclusion criteria. The random effects summary odds ratio for stent thrombosis in carriers of at least one CYP2C19 loss of function allele versus non-carriers combining nine studies was 1.77 (95% confidence interval 1.31 to 2.40; P &lt; 0.001). This nominally significant odds ratio was subject to considerable bias across the studies (small study effect bias and replication diversity). The adjustment for these quality modifiers tended to abolish the association. The corresponding random effects summary odds ratio of major adverse cardiovascular events for 12 studies combined was 1.11 (0.89 to 1.39; P = 0.36). The random effects summary odds ratio of stent thrombosis in carriers versus non-carriers of at least one CYP2C19*17 gain of function allele for three studies combined was 0.99 (0.60 to 1.62; P = 0.96), and the corresponding odds ratio of major adverse cardiovascular events in five studies was 0.93 (0.75 to 1.14; P = 0.48). The overall quality of epidemiological evidence was graded as low, which excludes reliable clinical assessments.\nCONCLUSIONS: Accumulated information from genetic association studies does not indicate a substantial or consistent influence of CYP2C19 gene polymorphisms on the clinical efficacy of clopidogrel. The current evidence does not support the use of individualised antiplatelet regimens guided by CYP2C19 genotype.","container-title":"BMJ (Clinical research ed.)","DOI":"10.1136/bmj.d4588","ISSN":"1756-1833","journalAbbreviation":"BMJ","language":"eng","note":"PMID: 21816733\nPMCID: PMC3191560","page":"d4588","source":"PubMed","title":"Impact of CYP2C19 variant genotypes on clinical efficacy of antiplatelet treatment with clopidogrel: systematic review and meta-analysis","title-short":"Impact of CYP2C19 variant genotypes on clinical efficacy of antiplatelet treatment with clopidogrel","volume":"343","author":[{"family":"Bauer","given":"Tim"},{"family":"Bouman","given":"Heleen J."},{"family":"Werkum","given":"Jochem W.","non-dropping-particle":"van"},{"family":"Ford","given":"Neville F."},{"family":"Berg","given":"Jurriën M.","non-dropping-particle":"ten"},{"family":"Taubert","given":"Dirk"}],"issued":{"date-parts":[["2011",8,4]]}}}],"schema":"https://github.com/citation-style-language/schema/raw/master/csl-citation.json"} </w:instrText>
            </w:r>
            <w:r w:rsidR="00495DFF">
              <w:rPr>
                <w:rFonts w:cs="Times New Roman"/>
                <w:szCs w:val="24"/>
              </w:rPr>
              <w:fldChar w:fldCharType="separate"/>
            </w:r>
            <w:r w:rsidR="00495DFF" w:rsidRPr="00495DFF">
              <w:rPr>
                <w:rFonts w:cs="Times New Roman"/>
              </w:rPr>
              <w:t>[2]</w:t>
            </w:r>
            <w:r w:rsidR="00495DFF">
              <w:rPr>
                <w:rFonts w:cs="Times New Roman"/>
                <w:szCs w:val="24"/>
              </w:rPr>
              <w:fldChar w:fldCharType="end"/>
            </w:r>
          </w:p>
        </w:tc>
        <w:tc>
          <w:tcPr>
            <w:tcW w:w="0" w:type="auto"/>
            <w:tcBorders>
              <w:top w:val="nil"/>
              <w:left w:val="nil"/>
              <w:right w:val="nil"/>
            </w:tcBorders>
            <w:shd w:val="clear" w:color="auto" w:fill="auto"/>
          </w:tcPr>
          <w:p w14:paraId="68A1A421" w14:textId="38FB37BE" w:rsidR="00CF764C" w:rsidRPr="00CA4DD7" w:rsidRDefault="00CF764C" w:rsidP="00CF764C">
            <w:pPr>
              <w:spacing w:after="0"/>
              <w:rPr>
                <w:rFonts w:eastAsia="Times New Roman" w:cs="Times New Roman"/>
                <w:szCs w:val="24"/>
                <w:lang w:eastAsia="pt-BR"/>
              </w:rPr>
            </w:pPr>
            <w:r w:rsidRPr="00CA4DD7">
              <w:rPr>
                <w:rFonts w:cs="Times New Roman"/>
                <w:szCs w:val="24"/>
              </w:rPr>
              <w:t xml:space="preserve">to evaluate the accumulated information from genetic association studies investigating the impact of variants of the </w:t>
            </w:r>
            <w:r w:rsidR="00401549" w:rsidRPr="00CA4DD7">
              <w:rPr>
                <w:rFonts w:cs="Times New Roman"/>
                <w:i/>
                <w:szCs w:val="24"/>
              </w:rPr>
              <w:t>CYP2C19</w:t>
            </w:r>
            <w:r w:rsidRPr="00CA4DD7">
              <w:rPr>
                <w:rFonts w:cs="Times New Roman"/>
                <w:szCs w:val="24"/>
              </w:rPr>
              <w:t xml:space="preserve"> genotype on the clinical efficacy of clopidogrel</w:t>
            </w:r>
          </w:p>
        </w:tc>
        <w:tc>
          <w:tcPr>
            <w:tcW w:w="0" w:type="auto"/>
            <w:tcBorders>
              <w:top w:val="nil"/>
              <w:left w:val="nil"/>
              <w:bottom w:val="nil"/>
              <w:right w:val="nil"/>
            </w:tcBorders>
            <w:shd w:val="clear" w:color="auto" w:fill="auto"/>
          </w:tcPr>
          <w:p w14:paraId="1C226706" w14:textId="19760489" w:rsidR="00CF764C" w:rsidRPr="00CA4DD7" w:rsidRDefault="00CF764C" w:rsidP="00CF764C">
            <w:pPr>
              <w:spacing w:after="0"/>
              <w:rPr>
                <w:rFonts w:eastAsia="Times New Roman" w:cs="Times New Roman"/>
                <w:szCs w:val="24"/>
                <w:lang w:eastAsia="pt-BR"/>
              </w:rPr>
            </w:pPr>
            <w:r w:rsidRPr="00CA4DD7">
              <w:rPr>
                <w:rFonts w:cs="Times New Roman"/>
                <w:szCs w:val="24"/>
              </w:rPr>
              <w:t xml:space="preserve">≥ 16 years old, any </w:t>
            </w:r>
            <w:r w:rsidR="00B032DE" w:rsidRPr="00CA4DD7">
              <w:rPr>
                <w:rFonts w:cs="Times New Roman"/>
                <w:szCs w:val="24"/>
              </w:rPr>
              <w:t>ethnicity</w:t>
            </w:r>
          </w:p>
        </w:tc>
        <w:tc>
          <w:tcPr>
            <w:tcW w:w="0" w:type="auto"/>
            <w:tcBorders>
              <w:top w:val="nil"/>
              <w:left w:val="nil"/>
              <w:bottom w:val="nil"/>
              <w:right w:val="nil"/>
            </w:tcBorders>
            <w:shd w:val="clear" w:color="auto" w:fill="auto"/>
          </w:tcPr>
          <w:p w14:paraId="6ED70D45" w14:textId="56532A31" w:rsidR="00CF764C" w:rsidRPr="00CA4DD7" w:rsidRDefault="00CF764C" w:rsidP="00CF764C">
            <w:pPr>
              <w:spacing w:after="0"/>
              <w:rPr>
                <w:rFonts w:eastAsia="Times New Roman" w:cs="Times New Roman"/>
                <w:szCs w:val="24"/>
                <w:lang w:eastAsia="pt-BR"/>
              </w:rPr>
            </w:pPr>
            <w:r w:rsidRPr="00CA4DD7">
              <w:rPr>
                <w:rFonts w:cs="Times New Roman"/>
                <w:szCs w:val="24"/>
              </w:rPr>
              <w:t xml:space="preserve">association of reduced or increased function genetic variants of </w:t>
            </w:r>
            <w:r w:rsidR="00401549" w:rsidRPr="00CA4DD7">
              <w:rPr>
                <w:rFonts w:cs="Times New Roman"/>
                <w:i/>
                <w:szCs w:val="24"/>
              </w:rPr>
              <w:t>CYP2C19</w:t>
            </w:r>
            <w:r w:rsidRPr="00CA4DD7">
              <w:rPr>
                <w:rFonts w:cs="Times New Roman"/>
                <w:szCs w:val="24"/>
              </w:rPr>
              <w:t xml:space="preserve"> with the occurrence of clinical outcomes in patients with established CAD who were treated with clopidogrel</w:t>
            </w:r>
          </w:p>
        </w:tc>
        <w:tc>
          <w:tcPr>
            <w:tcW w:w="0" w:type="auto"/>
            <w:tcBorders>
              <w:top w:val="nil"/>
              <w:left w:val="nil"/>
              <w:bottom w:val="nil"/>
              <w:right w:val="nil"/>
            </w:tcBorders>
            <w:shd w:val="clear" w:color="auto" w:fill="auto"/>
          </w:tcPr>
          <w:p w14:paraId="4B2503D5" w14:textId="758F2396" w:rsidR="00CF764C" w:rsidRPr="00CA4DD7" w:rsidRDefault="00CF764C" w:rsidP="00CF764C">
            <w:pPr>
              <w:spacing w:after="0"/>
              <w:rPr>
                <w:rFonts w:eastAsia="Times New Roman" w:cs="Times New Roman"/>
                <w:szCs w:val="24"/>
                <w:lang w:eastAsia="pt-BR"/>
              </w:rPr>
            </w:pPr>
            <w:r w:rsidRPr="00CA4DD7">
              <w:rPr>
                <w:rFonts w:cs="Times New Roman"/>
                <w:szCs w:val="24"/>
              </w:rPr>
              <w:t>4</w:t>
            </w:r>
          </w:p>
        </w:tc>
        <w:tc>
          <w:tcPr>
            <w:tcW w:w="0" w:type="auto"/>
            <w:tcBorders>
              <w:top w:val="nil"/>
              <w:left w:val="nil"/>
              <w:bottom w:val="nil"/>
              <w:right w:val="nil"/>
            </w:tcBorders>
            <w:shd w:val="clear" w:color="auto" w:fill="auto"/>
          </w:tcPr>
          <w:p w14:paraId="6610CE47" w14:textId="0E7ADE9A" w:rsidR="00CF764C" w:rsidRPr="00CA4DD7" w:rsidRDefault="00CF764C" w:rsidP="00CF764C">
            <w:pPr>
              <w:spacing w:after="0"/>
              <w:rPr>
                <w:rFonts w:eastAsia="Times New Roman" w:cs="Times New Roman"/>
                <w:szCs w:val="24"/>
                <w:lang w:eastAsia="pt-BR"/>
              </w:rPr>
            </w:pPr>
            <w:r w:rsidRPr="00CA4DD7">
              <w:rPr>
                <w:rFonts w:cs="Times New Roman"/>
                <w:szCs w:val="24"/>
              </w:rPr>
              <w:t xml:space="preserve">1966 </w:t>
            </w:r>
            <w:r w:rsidR="00071C48" w:rsidRPr="00CA4DD7">
              <w:rPr>
                <w:rFonts w:cs="Times New Roman"/>
                <w:szCs w:val="24"/>
              </w:rPr>
              <w:t>to</w:t>
            </w:r>
            <w:r w:rsidRPr="00CA4DD7">
              <w:rPr>
                <w:rFonts w:cs="Times New Roman"/>
                <w:szCs w:val="24"/>
              </w:rPr>
              <w:t xml:space="preserve"> </w:t>
            </w:r>
            <w:r w:rsidR="007A6F33" w:rsidRPr="00CA4DD7">
              <w:rPr>
                <w:rFonts w:cs="Times New Roman"/>
                <w:szCs w:val="24"/>
              </w:rPr>
              <w:t xml:space="preserve">Dec </w:t>
            </w:r>
            <w:r w:rsidRPr="00CA4DD7">
              <w:rPr>
                <w:rFonts w:cs="Times New Roman"/>
                <w:szCs w:val="24"/>
              </w:rPr>
              <w:t xml:space="preserve">2010; 1974 </w:t>
            </w:r>
            <w:r w:rsidR="00071C48" w:rsidRPr="00CA4DD7">
              <w:rPr>
                <w:rFonts w:cs="Times New Roman"/>
                <w:szCs w:val="24"/>
              </w:rPr>
              <w:t>to</w:t>
            </w:r>
            <w:r w:rsidRPr="00CA4DD7">
              <w:rPr>
                <w:rFonts w:cs="Times New Roman"/>
                <w:szCs w:val="24"/>
              </w:rPr>
              <w:t xml:space="preserve"> </w:t>
            </w:r>
            <w:r w:rsidR="004E1A39" w:rsidRPr="00CA4DD7">
              <w:rPr>
                <w:rFonts w:cs="Times New Roman"/>
                <w:szCs w:val="24"/>
              </w:rPr>
              <w:t>D</w:t>
            </w:r>
            <w:r w:rsidRPr="00CA4DD7">
              <w:rPr>
                <w:rFonts w:cs="Times New Roman"/>
                <w:szCs w:val="24"/>
              </w:rPr>
              <w:t xml:space="preserve">ec 2010; 1980 </w:t>
            </w:r>
            <w:r w:rsidR="00071C48" w:rsidRPr="00CA4DD7">
              <w:rPr>
                <w:rFonts w:cs="Times New Roman"/>
                <w:szCs w:val="24"/>
              </w:rPr>
              <w:t>to</w:t>
            </w:r>
            <w:r w:rsidRPr="00CA4DD7">
              <w:rPr>
                <w:rFonts w:cs="Times New Roman"/>
                <w:szCs w:val="24"/>
              </w:rPr>
              <w:t xml:space="preserve"> </w:t>
            </w:r>
            <w:r w:rsidR="007A6F33" w:rsidRPr="00CA4DD7">
              <w:rPr>
                <w:rFonts w:cs="Times New Roman"/>
                <w:szCs w:val="24"/>
              </w:rPr>
              <w:t xml:space="preserve">Dec </w:t>
            </w:r>
            <w:r w:rsidRPr="00CA4DD7">
              <w:rPr>
                <w:rFonts w:cs="Times New Roman"/>
                <w:szCs w:val="24"/>
              </w:rPr>
              <w:t>2010</w:t>
            </w:r>
          </w:p>
        </w:tc>
        <w:tc>
          <w:tcPr>
            <w:tcW w:w="0" w:type="auto"/>
            <w:tcBorders>
              <w:top w:val="nil"/>
              <w:left w:val="nil"/>
              <w:bottom w:val="nil"/>
              <w:right w:val="nil"/>
            </w:tcBorders>
            <w:shd w:val="clear" w:color="auto" w:fill="auto"/>
          </w:tcPr>
          <w:p w14:paraId="3245DD2E" w14:textId="46798BA8" w:rsidR="00CF764C" w:rsidRPr="00CA4DD7" w:rsidRDefault="00CF764C" w:rsidP="00690359">
            <w:pPr>
              <w:spacing w:after="0"/>
              <w:rPr>
                <w:rFonts w:eastAsia="Times New Roman" w:cs="Times New Roman"/>
                <w:szCs w:val="24"/>
                <w:lang w:eastAsia="pt-BR"/>
              </w:rPr>
            </w:pPr>
            <w:r w:rsidRPr="00CA4DD7">
              <w:rPr>
                <w:rFonts w:cs="Times New Roman"/>
                <w:szCs w:val="24"/>
              </w:rPr>
              <w:t>14;</w:t>
            </w:r>
            <w:r w:rsidR="00690359" w:rsidRPr="00CA4DD7">
              <w:rPr>
                <w:rFonts w:cs="Times New Roman"/>
                <w:szCs w:val="24"/>
              </w:rPr>
              <w:t xml:space="preserve"> </w:t>
            </w:r>
            <w:r w:rsidRPr="00CA4DD7">
              <w:rPr>
                <w:rFonts w:cs="Times New Roman"/>
                <w:szCs w:val="24"/>
              </w:rPr>
              <w:t>observational</w:t>
            </w:r>
            <w:r w:rsidR="00482232" w:rsidRPr="00CA4DD7">
              <w:rPr>
                <w:rFonts w:cs="Times New Roman"/>
                <w:szCs w:val="24"/>
              </w:rPr>
              <w:t xml:space="preserve"> </w:t>
            </w:r>
            <w:r w:rsidR="004914E2" w:rsidRPr="00CA4DD7">
              <w:rPr>
                <w:rFonts w:cs="Times New Roman"/>
                <w:szCs w:val="24"/>
              </w:rPr>
              <w:t>s</w:t>
            </w:r>
            <w:r w:rsidR="00482232" w:rsidRPr="00CA4DD7">
              <w:rPr>
                <w:rFonts w:cs="Times New Roman"/>
                <w:szCs w:val="24"/>
              </w:rPr>
              <w:t>tudies</w:t>
            </w:r>
          </w:p>
        </w:tc>
        <w:tc>
          <w:tcPr>
            <w:tcW w:w="0" w:type="auto"/>
            <w:tcBorders>
              <w:top w:val="nil"/>
              <w:left w:val="nil"/>
              <w:bottom w:val="nil"/>
              <w:right w:val="nil"/>
            </w:tcBorders>
            <w:shd w:val="clear" w:color="auto" w:fill="auto"/>
          </w:tcPr>
          <w:p w14:paraId="3D4302FB" w14:textId="5626C751" w:rsidR="00CF764C" w:rsidRPr="00CA4DD7" w:rsidRDefault="00CF764C" w:rsidP="00CF764C">
            <w:pPr>
              <w:spacing w:after="0"/>
              <w:rPr>
                <w:rFonts w:eastAsia="Times New Roman" w:cs="Times New Roman"/>
                <w:szCs w:val="24"/>
                <w:lang w:eastAsia="pt-BR"/>
              </w:rPr>
            </w:pPr>
            <w:r w:rsidRPr="00CA4DD7">
              <w:rPr>
                <w:rFonts w:cs="Times New Roman"/>
                <w:szCs w:val="24"/>
              </w:rPr>
              <w:t>NOS</w:t>
            </w:r>
          </w:p>
        </w:tc>
      </w:tr>
      <w:tr w:rsidR="00D4689A" w:rsidRPr="00CA4DD7" w14:paraId="0E9AA892" w14:textId="77777777" w:rsidTr="006D4783">
        <w:trPr>
          <w:trHeight w:val="1021"/>
        </w:trPr>
        <w:tc>
          <w:tcPr>
            <w:tcW w:w="0" w:type="auto"/>
            <w:tcBorders>
              <w:top w:val="nil"/>
              <w:left w:val="nil"/>
              <w:bottom w:val="nil"/>
              <w:right w:val="nil"/>
            </w:tcBorders>
            <w:shd w:val="clear" w:color="auto" w:fill="D9D9D9" w:themeFill="background1" w:themeFillShade="D9"/>
            <w:hideMark/>
          </w:tcPr>
          <w:p w14:paraId="3FE36AF4" w14:textId="3BC99CC6" w:rsidR="00CF764C" w:rsidRPr="00CA4DD7" w:rsidRDefault="00A73A66" w:rsidP="00CF764C">
            <w:pPr>
              <w:spacing w:after="0"/>
              <w:rPr>
                <w:rFonts w:eastAsia="Times New Roman" w:cs="Times New Roman"/>
                <w:szCs w:val="24"/>
                <w:lang w:eastAsia="pt-BR"/>
              </w:rPr>
            </w:pPr>
            <w:r w:rsidRPr="00CA4DD7">
              <w:rPr>
                <w:rFonts w:cs="Times New Roman"/>
                <w:szCs w:val="24"/>
              </w:rPr>
              <w:t>Holmes et al., 2011</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9hLPh7w3","properties":{"formattedCitation":"[3]","plainCitation":"[3]","noteIndex":0},"citationItems":[{"id":60,"uris":["http://zotero.org/users/local/CMEncDpE/items/R7DAUYGF"],"uri":["http://zotero.org/users/local/CMEncDpE/items/R7DAUYGF"],"itemData":{"id":60,"type":"article-journal","abstract":"CONTEXT: The US Food and Drug Administration recently recommended that CYP2C19 genotyping be considered prior to prescribing clopidogrel, but the American Heart Association and American College of Cardiologists have argued evidence is insufficient to support CYP2C19 genotype testing.\nOBJECTIVE: To appraise evidence on the association of CYP2C19 genotype and clopidogrel response through systematic review and meta-analysis.\nDATA SOURCES: PubMed and EMBASE from their inception to October 2011.\nSTUDY SELECTION: Studies that reported clopidogrel metabolism, platelet reactivity or clinically relevant outcomes (cardiovascular disease [CVD] events and bleeding), and information on CYP2C19 genotype were included.\nDATA EXTRACTION: We extracted information on study design, genotyping, and disease outcomes and investigated sources of bias.\nRESULTS: We retrieved 32 studies of 42,016 patients reporting 3545 CVD events, 579 stent thromboses, and 1413 bleeding events. Six studies were randomized trials (\"effect-modification\" design) and the remaining 26 reported individuals exposed to clopidogrel (\"treatment-only\" design). In treatment-only analysis, individuals with 1 or more CYP2C19 alleles associated with lower enzyme activity had lower levels of active clopidogrel metabolites, less platelet inhibition, lower risk of bleeding (relative risk [RR], 0.84; 95% CI, 0.75-0.94; absolute risk reduction of 5-8 events per 1000 individuals), and higher risk of CVD events (RR, 1.18; 95% CI, 1.09-1.28; absolute risk increase of 8-12 events per 1000 individuals). However, there was evidence of small-study bias (Harbord test P = .001). When analyses were restricted to studies with 200 or more events, the point estimate was attenuated (RR, 0.97; 95% CI, 0.86-1.09). In effect-modification studies, CYP2C19 genotype was not associated with modification of the effect of clopidogrel on CVD end points or bleeding (P &gt; .05 for interaction for both). Other limitations included selective outcome reporting and potential for genotype misclassification due to problems with the * allele nomenclature for cytochrome enzymes.\nCONCLUSION: Although there was an association between the CYP2C19 genotype and clopidogrel responsiveness, overall there was no significant association of genotype with cardiovascular events.","container-title":"JAMA","DOI":"10.1001/jama.2011.1880","ISSN":"1538-3598","issue":"24","journalAbbreviation":"JAMA","language":"eng","note":"PMID: 22203539","page":"2704-2714","source":"PubMed","title":"CYP2C19 genotype, clopidogrel metabolism, platelet function, and cardiovascular events: a systematic review and meta-analysis","title-short":"CYP2C19 genotype, clopidogrel metabolism, platelet function, and cardiovascular events","volume":"306","author":[{"family":"Holmes","given":"Michael V."},{"family":"Perel","given":"Pablo"},{"family":"Shah","given":"Tina"},{"family":"Hingorani","given":"Aroon D."},{"family":"Casas","given":"Juan P."}],"issued":{"date-parts":[["2011",12,28]]}}}],"schema":"https://github.com/citation-style-language/schema/raw/master/csl-citation.json"} </w:instrText>
            </w:r>
            <w:r w:rsidR="00495DFF">
              <w:rPr>
                <w:rFonts w:cs="Times New Roman"/>
                <w:szCs w:val="24"/>
              </w:rPr>
              <w:fldChar w:fldCharType="separate"/>
            </w:r>
            <w:r w:rsidR="00495DFF" w:rsidRPr="00495DFF">
              <w:rPr>
                <w:rFonts w:cs="Times New Roman"/>
              </w:rPr>
              <w:t>[3]</w:t>
            </w:r>
            <w:r w:rsidR="00495DFF">
              <w:rPr>
                <w:rFonts w:cs="Times New Roman"/>
                <w:szCs w:val="24"/>
              </w:rPr>
              <w:fldChar w:fldCharType="end"/>
            </w:r>
          </w:p>
        </w:tc>
        <w:tc>
          <w:tcPr>
            <w:tcW w:w="0" w:type="auto"/>
            <w:tcBorders>
              <w:top w:val="nil"/>
              <w:left w:val="nil"/>
              <w:right w:val="nil"/>
            </w:tcBorders>
            <w:shd w:val="clear" w:color="auto" w:fill="D9D9D9" w:themeFill="background1" w:themeFillShade="D9"/>
            <w:hideMark/>
          </w:tcPr>
          <w:p w14:paraId="44895B16" w14:textId="5F0D26CD" w:rsidR="00CF764C" w:rsidRPr="00CA4DD7" w:rsidRDefault="00CF764C" w:rsidP="00CF764C">
            <w:pPr>
              <w:spacing w:after="0"/>
              <w:rPr>
                <w:rFonts w:eastAsia="Times New Roman" w:cs="Times New Roman"/>
                <w:szCs w:val="24"/>
                <w:lang w:eastAsia="pt-BR"/>
              </w:rPr>
            </w:pPr>
            <w:r w:rsidRPr="00CA4DD7">
              <w:rPr>
                <w:rFonts w:eastAsia="Times New Roman" w:cs="Times New Roman"/>
                <w:szCs w:val="24"/>
                <w:lang w:eastAsia="pt-BR"/>
              </w:rPr>
              <w:t>to appraise evidence o</w:t>
            </w:r>
            <w:r w:rsidR="0063739F" w:rsidRPr="00CA4DD7">
              <w:rPr>
                <w:rFonts w:eastAsia="Times New Roman" w:cs="Times New Roman"/>
                <w:szCs w:val="24"/>
                <w:lang w:eastAsia="pt-BR"/>
              </w:rPr>
              <w:t>f</w:t>
            </w:r>
            <w:r w:rsidRPr="00CA4DD7">
              <w:rPr>
                <w:rFonts w:eastAsia="Times New Roman" w:cs="Times New Roman"/>
                <w:szCs w:val="24"/>
                <w:lang w:eastAsia="pt-BR"/>
              </w:rPr>
              <w:t xml:space="preserve"> the association of </w:t>
            </w:r>
            <w:r w:rsidR="001E7A4B" w:rsidRPr="00CA4DD7">
              <w:rPr>
                <w:rFonts w:eastAsia="Times New Roman" w:cs="Times New Roman"/>
                <w:szCs w:val="24"/>
                <w:lang w:eastAsia="pt-BR"/>
              </w:rPr>
              <w:t xml:space="preserve">the </w:t>
            </w:r>
            <w:r w:rsidR="00401549" w:rsidRPr="00CA4DD7">
              <w:rPr>
                <w:rFonts w:eastAsia="Times New Roman" w:cs="Times New Roman"/>
                <w:i/>
                <w:szCs w:val="24"/>
                <w:lang w:eastAsia="pt-BR"/>
              </w:rPr>
              <w:t>CYP2C19</w:t>
            </w:r>
            <w:r w:rsidRPr="00CA4DD7">
              <w:rPr>
                <w:rFonts w:eastAsia="Times New Roman" w:cs="Times New Roman"/>
                <w:szCs w:val="24"/>
                <w:lang w:eastAsia="pt-BR"/>
              </w:rPr>
              <w:t xml:space="preserve"> genotype and clopidogrel response</w:t>
            </w:r>
          </w:p>
        </w:tc>
        <w:tc>
          <w:tcPr>
            <w:tcW w:w="0" w:type="auto"/>
            <w:tcBorders>
              <w:top w:val="nil"/>
              <w:left w:val="nil"/>
              <w:bottom w:val="nil"/>
              <w:right w:val="nil"/>
            </w:tcBorders>
            <w:shd w:val="clear" w:color="auto" w:fill="D9D9D9" w:themeFill="background1" w:themeFillShade="D9"/>
            <w:hideMark/>
          </w:tcPr>
          <w:p w14:paraId="64783222" w14:textId="77777777" w:rsidR="00CF764C" w:rsidRPr="00CA4DD7" w:rsidRDefault="00CF764C" w:rsidP="00CF764C">
            <w:pPr>
              <w:spacing w:after="0"/>
              <w:rPr>
                <w:rFonts w:eastAsia="Times New Roman" w:cs="Times New Roman"/>
                <w:szCs w:val="24"/>
                <w:lang w:eastAsia="pt-BR"/>
              </w:rPr>
            </w:pPr>
            <w:r w:rsidRPr="00CA4DD7">
              <w:rPr>
                <w:rFonts w:eastAsia="Times New Roman" w:cs="Times New Roman"/>
                <w:szCs w:val="24"/>
                <w:lang w:eastAsia="pt-BR"/>
              </w:rPr>
              <w:t>not specified</w:t>
            </w:r>
          </w:p>
        </w:tc>
        <w:tc>
          <w:tcPr>
            <w:tcW w:w="0" w:type="auto"/>
            <w:tcBorders>
              <w:top w:val="nil"/>
              <w:left w:val="nil"/>
              <w:bottom w:val="nil"/>
              <w:right w:val="nil"/>
            </w:tcBorders>
            <w:shd w:val="clear" w:color="auto" w:fill="D9D9D9" w:themeFill="background1" w:themeFillShade="D9"/>
            <w:hideMark/>
          </w:tcPr>
          <w:p w14:paraId="722825B4" w14:textId="48785C8B" w:rsidR="00CF764C" w:rsidRPr="00CA4DD7" w:rsidRDefault="00CF764C" w:rsidP="00CF764C">
            <w:pPr>
              <w:spacing w:after="0"/>
              <w:rPr>
                <w:rFonts w:eastAsia="Times New Roman" w:cs="Times New Roman"/>
                <w:szCs w:val="24"/>
                <w:lang w:eastAsia="pt-BR"/>
              </w:rPr>
            </w:pPr>
            <w:r w:rsidRPr="00CA4DD7">
              <w:rPr>
                <w:rFonts w:eastAsia="Times New Roman" w:cs="Times New Roman"/>
                <w:szCs w:val="24"/>
                <w:lang w:eastAsia="pt-BR"/>
              </w:rPr>
              <w:t xml:space="preserve">associations of clopidogrel therapy with responsiveness (platelet response or clinical outcomes) in relation to </w:t>
            </w:r>
            <w:r w:rsidR="001E7A4B" w:rsidRPr="00CA4DD7">
              <w:rPr>
                <w:rFonts w:eastAsia="Times New Roman" w:cs="Times New Roman"/>
                <w:szCs w:val="24"/>
                <w:lang w:eastAsia="pt-BR"/>
              </w:rPr>
              <w:t xml:space="preserve">the </w:t>
            </w:r>
            <w:r w:rsidR="00401549" w:rsidRPr="00CA4DD7">
              <w:rPr>
                <w:rFonts w:eastAsia="Times New Roman" w:cs="Times New Roman"/>
                <w:i/>
                <w:szCs w:val="24"/>
                <w:lang w:eastAsia="pt-BR"/>
              </w:rPr>
              <w:t>CYP2C19</w:t>
            </w:r>
            <w:r w:rsidRPr="00CA4DD7">
              <w:rPr>
                <w:rFonts w:eastAsia="Times New Roman" w:cs="Times New Roman"/>
                <w:szCs w:val="24"/>
                <w:lang w:eastAsia="pt-BR"/>
              </w:rPr>
              <w:t xml:space="preserve"> genotype</w:t>
            </w:r>
          </w:p>
        </w:tc>
        <w:tc>
          <w:tcPr>
            <w:tcW w:w="0" w:type="auto"/>
            <w:tcBorders>
              <w:top w:val="nil"/>
              <w:left w:val="nil"/>
              <w:bottom w:val="nil"/>
              <w:right w:val="nil"/>
            </w:tcBorders>
            <w:shd w:val="clear" w:color="auto" w:fill="D9D9D9" w:themeFill="background1" w:themeFillShade="D9"/>
            <w:hideMark/>
          </w:tcPr>
          <w:p w14:paraId="093B650D" w14:textId="77777777" w:rsidR="00CF764C" w:rsidRPr="00CA4DD7" w:rsidRDefault="00CF764C" w:rsidP="00CF764C">
            <w:pPr>
              <w:spacing w:after="0"/>
              <w:rPr>
                <w:rFonts w:eastAsia="Times New Roman" w:cs="Times New Roman"/>
                <w:szCs w:val="24"/>
                <w:lang w:eastAsia="pt-BR"/>
              </w:rPr>
            </w:pPr>
            <w:r w:rsidRPr="00CA4DD7">
              <w:rPr>
                <w:rFonts w:eastAsia="Times New Roman" w:cs="Times New Roman"/>
                <w:szCs w:val="24"/>
                <w:lang w:eastAsia="pt-BR"/>
              </w:rPr>
              <w:t>5</w:t>
            </w:r>
          </w:p>
        </w:tc>
        <w:tc>
          <w:tcPr>
            <w:tcW w:w="0" w:type="auto"/>
            <w:tcBorders>
              <w:top w:val="nil"/>
              <w:left w:val="nil"/>
              <w:bottom w:val="nil"/>
              <w:right w:val="nil"/>
            </w:tcBorders>
            <w:shd w:val="clear" w:color="auto" w:fill="D9D9D9" w:themeFill="background1" w:themeFillShade="D9"/>
            <w:hideMark/>
          </w:tcPr>
          <w:p w14:paraId="46A06489" w14:textId="4506A0F0" w:rsidR="00CF764C" w:rsidRPr="00CA4DD7" w:rsidRDefault="00504F40" w:rsidP="00CF764C">
            <w:pPr>
              <w:spacing w:after="0"/>
              <w:rPr>
                <w:rFonts w:eastAsia="Times New Roman" w:cs="Times New Roman"/>
                <w:szCs w:val="24"/>
                <w:lang w:eastAsia="pt-BR"/>
              </w:rPr>
            </w:pPr>
            <w:r w:rsidRPr="00CA4DD7">
              <w:rPr>
                <w:rFonts w:eastAsia="Times New Roman" w:cs="Times New Roman"/>
                <w:szCs w:val="24"/>
                <w:lang w:eastAsia="pt-BR"/>
              </w:rPr>
              <w:t>f</w:t>
            </w:r>
            <w:r w:rsidR="00662AFF" w:rsidRPr="00CA4DD7">
              <w:rPr>
                <w:rFonts w:eastAsia="Times New Roman" w:cs="Times New Roman"/>
                <w:szCs w:val="24"/>
                <w:lang w:eastAsia="pt-BR"/>
              </w:rPr>
              <w:t>rom its</w:t>
            </w:r>
            <w:r w:rsidR="00C01CFA" w:rsidRPr="00CA4DD7">
              <w:rPr>
                <w:rFonts w:eastAsia="Times New Roman" w:cs="Times New Roman"/>
                <w:szCs w:val="24"/>
                <w:lang w:eastAsia="pt-BR"/>
              </w:rPr>
              <w:t xml:space="preserve"> </w:t>
            </w:r>
            <w:r w:rsidR="00CF764C" w:rsidRPr="00CA4DD7">
              <w:rPr>
                <w:rFonts w:eastAsia="Times New Roman" w:cs="Times New Roman"/>
                <w:szCs w:val="24"/>
                <w:lang w:eastAsia="pt-BR"/>
              </w:rPr>
              <w:t xml:space="preserve">inception to </w:t>
            </w:r>
            <w:r w:rsidR="007A6F33" w:rsidRPr="00CA4DD7">
              <w:rPr>
                <w:rFonts w:eastAsia="Times New Roman" w:cs="Times New Roman"/>
                <w:szCs w:val="24"/>
                <w:lang w:eastAsia="pt-BR"/>
              </w:rPr>
              <w:t xml:space="preserve">Oct </w:t>
            </w:r>
            <w:r w:rsidR="00CF764C" w:rsidRPr="00CA4DD7">
              <w:rPr>
                <w:rFonts w:eastAsia="Times New Roman" w:cs="Times New Roman"/>
                <w:szCs w:val="24"/>
                <w:lang w:eastAsia="pt-BR"/>
              </w:rPr>
              <w:t>2011</w:t>
            </w:r>
          </w:p>
        </w:tc>
        <w:tc>
          <w:tcPr>
            <w:tcW w:w="0" w:type="auto"/>
            <w:tcBorders>
              <w:top w:val="nil"/>
              <w:left w:val="nil"/>
              <w:bottom w:val="nil"/>
              <w:right w:val="nil"/>
            </w:tcBorders>
            <w:shd w:val="clear" w:color="auto" w:fill="D9D9D9" w:themeFill="background1" w:themeFillShade="D9"/>
            <w:hideMark/>
          </w:tcPr>
          <w:p w14:paraId="651C4B74" w14:textId="44CEDB31" w:rsidR="00CF764C" w:rsidRPr="00CA4DD7" w:rsidRDefault="00CF764C" w:rsidP="007D16F2">
            <w:pPr>
              <w:spacing w:after="0"/>
              <w:rPr>
                <w:rFonts w:eastAsia="Times New Roman" w:cs="Times New Roman"/>
                <w:szCs w:val="24"/>
                <w:lang w:eastAsia="pt-BR"/>
              </w:rPr>
            </w:pPr>
            <w:r w:rsidRPr="00CA4DD7">
              <w:rPr>
                <w:rFonts w:eastAsia="Times New Roman" w:cs="Times New Roman"/>
                <w:szCs w:val="24"/>
                <w:lang w:eastAsia="pt-BR"/>
              </w:rPr>
              <w:t xml:space="preserve">32; </w:t>
            </w:r>
            <w:r w:rsidR="004914E2" w:rsidRPr="00CA4DD7">
              <w:rPr>
                <w:rFonts w:eastAsia="Times New Roman" w:cs="Times New Roman"/>
                <w:szCs w:val="24"/>
                <w:lang w:eastAsia="pt-BR"/>
              </w:rPr>
              <w:t>observational</w:t>
            </w:r>
            <w:r w:rsidR="00482232" w:rsidRPr="00CA4DD7">
              <w:rPr>
                <w:rFonts w:eastAsia="Times New Roman" w:cs="Times New Roman"/>
                <w:szCs w:val="24"/>
                <w:lang w:eastAsia="pt-BR"/>
              </w:rPr>
              <w:t xml:space="preserve"> </w:t>
            </w:r>
            <w:r w:rsidR="004914E2" w:rsidRPr="00CA4DD7">
              <w:rPr>
                <w:rFonts w:eastAsia="Times New Roman" w:cs="Times New Roman"/>
                <w:szCs w:val="24"/>
                <w:lang w:eastAsia="pt-BR"/>
              </w:rPr>
              <w:t>s</w:t>
            </w:r>
            <w:r w:rsidR="00482232" w:rsidRPr="00CA4DD7">
              <w:rPr>
                <w:rFonts w:eastAsia="Times New Roman" w:cs="Times New Roman"/>
                <w:szCs w:val="24"/>
                <w:lang w:eastAsia="pt-BR"/>
              </w:rPr>
              <w:t>tudies</w:t>
            </w:r>
            <w:r w:rsidR="007D16F2" w:rsidRPr="00CA4DD7">
              <w:rPr>
                <w:rFonts w:eastAsia="Times New Roman" w:cs="Times New Roman"/>
                <w:szCs w:val="24"/>
                <w:lang w:eastAsia="pt-BR"/>
              </w:rPr>
              <w:t>,</w:t>
            </w:r>
            <w:r w:rsidR="005C5045" w:rsidRPr="00CA4DD7">
              <w:rPr>
                <w:rFonts w:eastAsia="Times New Roman" w:cs="Times New Roman"/>
                <w:szCs w:val="24"/>
                <w:lang w:eastAsia="pt-BR"/>
              </w:rPr>
              <w:t xml:space="preserve"> </w:t>
            </w:r>
            <w:r w:rsidR="007D16F2" w:rsidRPr="00CA4DD7">
              <w:rPr>
                <w:rFonts w:eastAsia="Times New Roman" w:cs="Times New Roman"/>
                <w:szCs w:val="24"/>
                <w:lang w:eastAsia="pt-BR"/>
              </w:rPr>
              <w:t>RCT</w:t>
            </w:r>
          </w:p>
        </w:tc>
        <w:tc>
          <w:tcPr>
            <w:tcW w:w="0" w:type="auto"/>
            <w:tcBorders>
              <w:top w:val="nil"/>
              <w:left w:val="nil"/>
              <w:bottom w:val="nil"/>
              <w:right w:val="nil"/>
            </w:tcBorders>
            <w:shd w:val="clear" w:color="auto" w:fill="D9D9D9" w:themeFill="background1" w:themeFillShade="D9"/>
            <w:hideMark/>
          </w:tcPr>
          <w:p w14:paraId="09878BB1" w14:textId="4BBDA71B" w:rsidR="00CF764C" w:rsidRPr="00CA4DD7" w:rsidRDefault="00314FA6" w:rsidP="00CF764C">
            <w:pPr>
              <w:spacing w:after="0"/>
              <w:rPr>
                <w:rFonts w:eastAsia="Times New Roman" w:cs="Times New Roman"/>
                <w:szCs w:val="24"/>
                <w:lang w:eastAsia="pt-BR"/>
              </w:rPr>
            </w:pPr>
            <w:r w:rsidRPr="00CA4DD7">
              <w:rPr>
                <w:rFonts w:eastAsia="Times New Roman" w:cs="Times New Roman"/>
                <w:szCs w:val="24"/>
                <w:lang w:eastAsia="pt-BR"/>
              </w:rPr>
              <w:t>not performed</w:t>
            </w:r>
          </w:p>
        </w:tc>
      </w:tr>
      <w:tr w:rsidR="00D4689A" w:rsidRPr="00CA4DD7" w14:paraId="3DBF79DC" w14:textId="77777777" w:rsidTr="006D4783">
        <w:trPr>
          <w:trHeight w:val="1363"/>
        </w:trPr>
        <w:tc>
          <w:tcPr>
            <w:tcW w:w="0" w:type="auto"/>
            <w:tcBorders>
              <w:top w:val="nil"/>
              <w:left w:val="nil"/>
              <w:bottom w:val="nil"/>
            </w:tcBorders>
            <w:shd w:val="clear" w:color="auto" w:fill="auto"/>
          </w:tcPr>
          <w:p w14:paraId="00A253A6" w14:textId="3F07D0AB" w:rsidR="008158FB" w:rsidRPr="00CA4DD7" w:rsidRDefault="00A73A66" w:rsidP="008158FB">
            <w:pPr>
              <w:spacing w:after="0"/>
              <w:rPr>
                <w:rFonts w:eastAsia="Times New Roman" w:cs="Times New Roman"/>
                <w:szCs w:val="24"/>
                <w:lang w:eastAsia="pt-BR"/>
              </w:rPr>
            </w:pPr>
            <w:r w:rsidRPr="00CA4DD7">
              <w:rPr>
                <w:rFonts w:cs="Times New Roman"/>
                <w:szCs w:val="24"/>
              </w:rPr>
              <w:t>Huang et al., 2017</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PrDlBm1J","properties":{"formattedCitation":"[4]","plainCitation":"[4]","noteIndex":0},"citationItems":[{"id":52,"uris":["http://zotero.org/users/local/CMEncDpE/items/8D7TJ46G"],"uri":["http://zotero.org/users/local/CMEncDpE/items/8D7TJ46G"],"itemData":{"id":52,"type":"article-journal","abstract":"BACKGROUND: We aimed to evaluate the associations of gain-of-function allele of CYP2C19*17 and risk of clinical events in clopidogrel-treated patients with cardiovascular and cerebrovascular diseases (CCVDs).\nMATERIALS AND METHODS: Literature search was conducted in PubMed, EMBASE, and Cochrane Library. Odds ratio (OR) combined with 95% confidence interval (CI) was the pooled statistics. Subgroup analysis was performed by disease type, bleeding events, and race.\nRESULTS: Thirteen eligible studies involving 14,239 patients with CYP2C19*17 carriers or noncarriers were included in the meta-analysis. CYP2C19*17 was significantly related to decreased risk of major adverse cardiovascular and cerebrovascular events (MACCEs) in patients with coronary artery disease (CAD) (OR = 0.76, 95% CI: 0.60-0.98, P = 0.03), however, irrelevant with stent thrombosis in neither CAD nor ischemic heart disease patients. CYP2C19*17 was also significantly linked to decreased risk of high platelet reactivity (HPR) in CCVD patients (OR = 0.61, 95% CI: 0.43-0.88, P = 0.008). Meanwhile, CYP2C19*17 was significantly associated with bleeding risk in CCVD patients (OR = 1.89, 95% CI: 1.09-3.25, P = 0.02) but not related to major bleeding risk (OR = 1.35, 95% CI: 0.87-2.08, P = 0.18). Several outcomes in Caucasian subgroup were reverse to the overall results, such as bleeding events and HPR, which lacked significance.\nCONCLUSION: CYP2C19*17 had a significant effect on the reduced risks of MACCE and HPR as well as increased bleeding risk, but not on the risks of stent thrombosis and major bleeding in clopidogrel-treated CCVD patients. Outcomes might be different in different races.","container-title":"Journal of Research in Medical Sciences: The Official Journal of Isfahan University of Medical Sciences","DOI":"10.4103/jrms.JRMS_590_16","ISSN":"1735-1995","journalAbbreviation":"J Res Med Sci","language":"eng","note":"PMID: 29026425\nPMCID: PMC5629834","page":"109","source":"PubMed","title":"Effect of cytochrome P450 2C19*17 allelic variant on cardiovascular and cerebrovascular outcomes in clopidogrel-treated patients: A systematic review and meta-analysis","title-short":"Effect of cytochrome P450 2C19*17 allelic variant on cardiovascular and cerebrovascular outcomes in clopidogrel-treated patients","volume":"22","author":[{"family":"Huang","given":"Bo"},{"family":"Cui","given":"De-Jun"},{"family":"Ren","given":"Ying"},{"family":"Han","given":"Bin"},{"family":"Yang","given":"Da-Ping"},{"family":"Zhao","given":"Xun"}],"issued":{"date-parts":[["2017"]]}}}],"schema":"https://github.com/citation-style-language/schema/raw/master/csl-citation.json"} </w:instrText>
            </w:r>
            <w:r w:rsidR="00495DFF">
              <w:rPr>
                <w:rFonts w:cs="Times New Roman"/>
                <w:szCs w:val="24"/>
              </w:rPr>
              <w:fldChar w:fldCharType="separate"/>
            </w:r>
            <w:r w:rsidR="00495DFF" w:rsidRPr="00495DFF">
              <w:rPr>
                <w:rFonts w:cs="Times New Roman"/>
              </w:rPr>
              <w:t>[4]</w:t>
            </w:r>
            <w:r w:rsidR="00495DFF">
              <w:rPr>
                <w:rFonts w:cs="Times New Roman"/>
                <w:szCs w:val="24"/>
              </w:rPr>
              <w:fldChar w:fldCharType="end"/>
            </w:r>
          </w:p>
        </w:tc>
        <w:tc>
          <w:tcPr>
            <w:tcW w:w="0" w:type="auto"/>
            <w:shd w:val="clear" w:color="auto" w:fill="auto"/>
          </w:tcPr>
          <w:p w14:paraId="6E6FACB1" w14:textId="159BFE15" w:rsidR="008158FB" w:rsidRPr="00CA4DD7" w:rsidRDefault="008158FB" w:rsidP="008158FB">
            <w:pPr>
              <w:spacing w:after="0"/>
              <w:rPr>
                <w:rFonts w:eastAsia="Times New Roman" w:cs="Times New Roman"/>
                <w:szCs w:val="24"/>
                <w:lang w:eastAsia="pt-BR"/>
              </w:rPr>
            </w:pPr>
            <w:r w:rsidRPr="00CA4DD7">
              <w:rPr>
                <w:rFonts w:cs="Times New Roman"/>
                <w:szCs w:val="24"/>
              </w:rPr>
              <w:t>to compare the cardiovascular and cerebrovascular outcomes in clopidogrel</w:t>
            </w:r>
            <w:r w:rsidRPr="00CA4DD7">
              <w:rPr>
                <w:rFonts w:cs="Times New Roman"/>
                <w:szCs w:val="24"/>
              </w:rPr>
              <w:noBreakHyphen/>
              <w:t xml:space="preserve">treated CCVD patients between </w:t>
            </w:r>
            <w:r w:rsidR="00401549" w:rsidRPr="00CA4DD7">
              <w:rPr>
                <w:rFonts w:cs="Times New Roman"/>
                <w:i/>
                <w:szCs w:val="24"/>
              </w:rPr>
              <w:t>CYP2C19</w:t>
            </w:r>
            <w:r w:rsidRPr="00CA4DD7">
              <w:rPr>
                <w:rFonts w:cs="Times New Roman"/>
                <w:szCs w:val="24"/>
              </w:rPr>
              <w:t xml:space="preserve"> *17 carriers and noncarriers</w:t>
            </w:r>
          </w:p>
        </w:tc>
        <w:tc>
          <w:tcPr>
            <w:tcW w:w="0" w:type="auto"/>
            <w:tcBorders>
              <w:top w:val="nil"/>
              <w:left w:val="nil"/>
              <w:bottom w:val="nil"/>
              <w:right w:val="nil"/>
            </w:tcBorders>
            <w:shd w:val="clear" w:color="auto" w:fill="auto"/>
          </w:tcPr>
          <w:p w14:paraId="4D40F4A4" w14:textId="3E93DDB8"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bottom w:val="nil"/>
              <w:right w:val="nil"/>
            </w:tcBorders>
            <w:shd w:val="clear" w:color="auto" w:fill="auto"/>
          </w:tcPr>
          <w:p w14:paraId="4FF62400" w14:textId="6E95FA24"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CCVD patients who received clopidogrel treatment; compared outcomes between </w:t>
            </w:r>
            <w:r w:rsidR="00401549" w:rsidRPr="00CA4DD7">
              <w:rPr>
                <w:rFonts w:cs="Times New Roman"/>
                <w:i/>
                <w:szCs w:val="24"/>
              </w:rPr>
              <w:t>CYP2C19</w:t>
            </w:r>
            <w:r w:rsidRPr="00CA4DD7">
              <w:rPr>
                <w:rFonts w:cs="Times New Roman"/>
                <w:szCs w:val="24"/>
              </w:rPr>
              <w:t xml:space="preserve"> *17 carriers and noncarriers</w:t>
            </w:r>
          </w:p>
        </w:tc>
        <w:tc>
          <w:tcPr>
            <w:tcW w:w="0" w:type="auto"/>
            <w:tcBorders>
              <w:top w:val="nil"/>
              <w:left w:val="nil"/>
              <w:bottom w:val="nil"/>
              <w:right w:val="nil"/>
            </w:tcBorders>
            <w:shd w:val="clear" w:color="auto" w:fill="auto"/>
          </w:tcPr>
          <w:p w14:paraId="30CFE779" w14:textId="26765F63" w:rsidR="008158FB" w:rsidRPr="00CA4DD7" w:rsidRDefault="008158FB" w:rsidP="008158FB">
            <w:pPr>
              <w:spacing w:after="0"/>
              <w:rPr>
                <w:rFonts w:eastAsia="Times New Roman" w:cs="Times New Roman"/>
                <w:szCs w:val="24"/>
                <w:lang w:eastAsia="pt-BR"/>
              </w:rPr>
            </w:pPr>
            <w:r w:rsidRPr="00CA4DD7">
              <w:rPr>
                <w:rFonts w:cs="Times New Roman"/>
                <w:szCs w:val="24"/>
              </w:rPr>
              <w:t>3</w:t>
            </w:r>
          </w:p>
        </w:tc>
        <w:tc>
          <w:tcPr>
            <w:tcW w:w="0" w:type="auto"/>
            <w:tcBorders>
              <w:top w:val="nil"/>
              <w:left w:val="nil"/>
              <w:bottom w:val="nil"/>
              <w:right w:val="nil"/>
            </w:tcBorders>
            <w:shd w:val="clear" w:color="auto" w:fill="auto"/>
          </w:tcPr>
          <w:p w14:paraId="32EFCDC5" w14:textId="752E75FA" w:rsidR="008158FB" w:rsidRPr="00CA4DD7" w:rsidRDefault="00504F40" w:rsidP="008158FB">
            <w:pPr>
              <w:spacing w:after="0"/>
              <w:rPr>
                <w:rFonts w:eastAsia="Times New Roman" w:cs="Times New Roman"/>
                <w:szCs w:val="24"/>
                <w:lang w:eastAsia="pt-BR"/>
              </w:rPr>
            </w:pPr>
            <w:r w:rsidRPr="00CA4DD7">
              <w:rPr>
                <w:rFonts w:cs="Times New Roman"/>
                <w:szCs w:val="24"/>
              </w:rPr>
              <w:t>f</w:t>
            </w:r>
            <w:r w:rsidR="009F3EB3" w:rsidRPr="00CA4DD7">
              <w:rPr>
                <w:rFonts w:cs="Times New Roman"/>
                <w:szCs w:val="24"/>
              </w:rPr>
              <w:t>rom</w:t>
            </w:r>
            <w:r w:rsidR="00C01CFA" w:rsidRPr="00CA4DD7">
              <w:rPr>
                <w:rFonts w:cs="Times New Roman"/>
                <w:szCs w:val="24"/>
              </w:rPr>
              <w:t xml:space="preserve"> its</w:t>
            </w:r>
            <w:r w:rsidR="009F3EB3" w:rsidRPr="00CA4DD7">
              <w:rPr>
                <w:rFonts w:cs="Times New Roman"/>
                <w:szCs w:val="24"/>
              </w:rPr>
              <w:t xml:space="preserve"> </w:t>
            </w:r>
            <w:r w:rsidR="008158FB" w:rsidRPr="00CA4DD7">
              <w:rPr>
                <w:rFonts w:cs="Times New Roman"/>
                <w:szCs w:val="24"/>
              </w:rPr>
              <w:t xml:space="preserve">inception to </w:t>
            </w:r>
            <w:r w:rsidR="007A6F33" w:rsidRPr="00CA4DD7">
              <w:rPr>
                <w:rFonts w:cs="Times New Roman"/>
                <w:szCs w:val="24"/>
              </w:rPr>
              <w:t xml:space="preserve">Feb </w:t>
            </w:r>
            <w:r w:rsidR="008158FB" w:rsidRPr="00CA4DD7">
              <w:rPr>
                <w:rFonts w:cs="Times New Roman"/>
                <w:szCs w:val="24"/>
              </w:rPr>
              <w:t>2016</w:t>
            </w:r>
          </w:p>
        </w:tc>
        <w:tc>
          <w:tcPr>
            <w:tcW w:w="0" w:type="auto"/>
            <w:tcBorders>
              <w:top w:val="nil"/>
              <w:left w:val="nil"/>
              <w:bottom w:val="nil"/>
              <w:right w:val="nil"/>
            </w:tcBorders>
            <w:shd w:val="clear" w:color="auto" w:fill="auto"/>
          </w:tcPr>
          <w:p w14:paraId="34B5DCFA" w14:textId="104D2C76"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13; </w:t>
            </w:r>
            <w:r w:rsidR="00E22134" w:rsidRPr="00CA4DD7">
              <w:rPr>
                <w:rFonts w:eastAsia="Times New Roman" w:cs="Times New Roman"/>
                <w:szCs w:val="24"/>
                <w:lang w:eastAsia="pt-BR"/>
              </w:rPr>
              <w:t>observational</w:t>
            </w:r>
            <w:r w:rsidR="00482232" w:rsidRPr="00CA4DD7">
              <w:rPr>
                <w:rFonts w:eastAsia="Times New Roman" w:cs="Times New Roman"/>
                <w:szCs w:val="24"/>
                <w:lang w:eastAsia="pt-BR"/>
              </w:rPr>
              <w:t xml:space="preserve"> </w:t>
            </w:r>
            <w:r w:rsidR="00E22134" w:rsidRPr="00CA4DD7">
              <w:rPr>
                <w:rFonts w:eastAsia="Times New Roman" w:cs="Times New Roman"/>
                <w:szCs w:val="24"/>
                <w:lang w:eastAsia="pt-BR"/>
              </w:rPr>
              <w:t>s</w:t>
            </w:r>
            <w:r w:rsidR="00482232" w:rsidRPr="00CA4DD7">
              <w:rPr>
                <w:rFonts w:eastAsia="Times New Roman" w:cs="Times New Roman"/>
                <w:szCs w:val="24"/>
                <w:lang w:eastAsia="pt-BR"/>
              </w:rPr>
              <w:t>tudies</w:t>
            </w:r>
          </w:p>
        </w:tc>
        <w:tc>
          <w:tcPr>
            <w:tcW w:w="0" w:type="auto"/>
            <w:tcBorders>
              <w:top w:val="nil"/>
              <w:left w:val="nil"/>
              <w:bottom w:val="nil"/>
              <w:right w:val="nil"/>
            </w:tcBorders>
            <w:shd w:val="clear" w:color="auto" w:fill="auto"/>
          </w:tcPr>
          <w:p w14:paraId="3FEB3791" w14:textId="6D53A329" w:rsidR="008158FB" w:rsidRPr="00CA4DD7" w:rsidRDefault="008158FB" w:rsidP="008158FB">
            <w:pPr>
              <w:spacing w:after="0"/>
              <w:rPr>
                <w:rFonts w:eastAsia="Times New Roman" w:cs="Times New Roman"/>
                <w:szCs w:val="24"/>
                <w:lang w:eastAsia="pt-BR"/>
              </w:rPr>
            </w:pPr>
            <w:r w:rsidRPr="00CA4DD7">
              <w:rPr>
                <w:rFonts w:cs="Times New Roman"/>
                <w:szCs w:val="24"/>
              </w:rPr>
              <w:t>NOS</w:t>
            </w:r>
          </w:p>
        </w:tc>
      </w:tr>
      <w:tr w:rsidR="00D4689A" w:rsidRPr="00CA4DD7" w14:paraId="08C824AB" w14:textId="77777777" w:rsidTr="0062498A">
        <w:trPr>
          <w:trHeight w:val="1673"/>
        </w:trPr>
        <w:tc>
          <w:tcPr>
            <w:tcW w:w="0" w:type="auto"/>
            <w:tcBorders>
              <w:top w:val="nil"/>
              <w:left w:val="nil"/>
              <w:bottom w:val="nil"/>
            </w:tcBorders>
            <w:shd w:val="clear" w:color="auto" w:fill="D9D9D9" w:themeFill="background1" w:themeFillShade="D9"/>
          </w:tcPr>
          <w:p w14:paraId="15B80D62" w14:textId="1E9B2B0C" w:rsidR="008158FB" w:rsidRPr="00CA4DD7" w:rsidRDefault="00A73A66" w:rsidP="008158FB">
            <w:pPr>
              <w:spacing w:after="0"/>
              <w:rPr>
                <w:rFonts w:eastAsia="Times New Roman" w:cs="Times New Roman"/>
                <w:szCs w:val="24"/>
                <w:lang w:eastAsia="pt-BR"/>
              </w:rPr>
            </w:pPr>
            <w:r w:rsidRPr="00CA4DD7">
              <w:rPr>
                <w:rFonts w:cs="Times New Roman"/>
                <w:szCs w:val="24"/>
              </w:rPr>
              <w:t>Hulot et al., 2010</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dNFNgGcl","properties":{"formattedCitation":"[5]","plainCitation":"[5]","noteIndex":0},"citationItems":[{"id":30,"uris":["http://zotero.org/users/local/CMEncDpE/items/9GD763WV"],"uri":["http://zotero.org/users/local/CMEncDpE/items/9GD763WV"],"itemData":{"id":30,"type":"article-journal","abstract":"OBJECTIVES: The aim of this study was to assess the association between the loss-of-function cytochrome P450 2C19 (CYP2C19)*2 variant (10 studies, 11,959 patients) or the use of proton pump inhibitors (PPIs) (13 studies, 48,674 patients) and ischemic outcomes (major adverse cardiovascular events [MACE]) in patients treated with clopidogrel.\nBACKGROUND: In clopidogrel-treated patients, increased cardiovascular risk has been identified with the loss-of-function CYP2C19*2 allele or the use of PPIs, some of them CYP2C19 inhibitors. To further estimate the effect of a reduction in activity of this enzyme, the authors performed a meta-analysis of the studies available.\nMETHODS: The meta-analysis was performed on 23 studies using the odds ratio (OR) as the parameter of efficacy, with a fixed-effect model. The end points were MACE, mortality, or stent thrombosis.\nRESULTS: Of the 11,959 patients, carriers of the loss-of-function CYP2C19*2 allele (28% [n = 3,418]) displayed a 30% increase in the risk for MACE compared with noncarriers (9.7% vs. 7.8%; OR: 1.29; 95% confidence interval [CI]: 1.12 to 1.49; p &lt; 0.001). This single gene variant (CYP2C19*2) was also associated with an excess of mortality (1.8% vs. 1.0%; OR: 1.79; 95% CI: 1.10 to 2.91; p = 0.019; n = 6,225) and of stent thrombosis (2.9% vs. 0.9%; OR: 3.45; 95% CI: 2.14 to 5.57; p &lt; 0.001; n = 4,905). This increased risk was apparent in both heterozygotes and homozygotes and was independent of the baseline cardiovascular risk. PPI users (42% [n = 19,614]) displayed increased risk for MACE (21.8% vs. 16.7%; OR: 1.41; 95% CI: 1.34 to 1.48; p &lt; 0.001) and mortality (12.7% vs. 7.4%; OR: 1.18; 95% CI: 1.07 to 1.30; p &lt; 0.001; n = 23,977) compared with nonusers. The impact of PPI use was, however, significantly influenced by baseline cardiovascular risk, being significant only in high-risk patients.\nCONCLUSIONS: In this global meta-analysis, reduced CYP2C19 function appears to expose clopidogrel-treated patients to excess cardiovascular risk and mortality. Conflicting results among studies may be explained by differences in types and/or levels of risk of patients.","container-title":"Journal of the American College of Cardiology","DOI":"10.1016/j.jacc.2009.12.071","ISSN":"1558-3597","issue":"2","journalAbbreviation":"J Am Coll Cardiol","language":"eng","note":"PMID: 20620727","page":"134-143","source":"PubMed","title":"Cardiovascular risk in clopidogrel-treated patients according to cytochrome P450 2C19*2 loss-of-function allele or proton pump inhibitor coadministration: a systematic meta-analysis","title-short":"Cardiovascular risk in clopidogrel-treated patients according to cytochrome P450 2C19*2 loss-of-function allele or proton pump inhibitor coadministration","volume":"56","author":[{"family":"Hulot","given":"Jean-Sébastien"},{"family":"Collet","given":"Jean-Philippe"},{"family":"Silvain","given":"Johanne"},{"family":"Pena","given":"Ana"},{"family":"Bellemain-Appaix","given":"Anne"},{"family":"Barthélémy","given":"Olivier"},{"family":"Cayla","given":"Guillaume"},{"family":"Beygui","given":"Farzin"},{"family":"Montalescot","given":"Gilles"}],"issued":{"date-parts":[["2010",7,6]]}}}],"schema":"https://github.com/citation-style-language/schema/raw/master/csl-citation.json"} </w:instrText>
            </w:r>
            <w:r w:rsidR="00495DFF">
              <w:rPr>
                <w:rFonts w:cs="Times New Roman"/>
                <w:szCs w:val="24"/>
              </w:rPr>
              <w:fldChar w:fldCharType="separate"/>
            </w:r>
            <w:r w:rsidR="00495DFF" w:rsidRPr="00495DFF">
              <w:rPr>
                <w:rFonts w:cs="Times New Roman"/>
              </w:rPr>
              <w:t>[5]</w:t>
            </w:r>
            <w:r w:rsidR="00495DFF">
              <w:rPr>
                <w:rFonts w:cs="Times New Roman"/>
                <w:szCs w:val="24"/>
              </w:rPr>
              <w:fldChar w:fldCharType="end"/>
            </w:r>
          </w:p>
        </w:tc>
        <w:tc>
          <w:tcPr>
            <w:tcW w:w="0" w:type="auto"/>
            <w:shd w:val="clear" w:color="auto" w:fill="D9D9D9" w:themeFill="background1" w:themeFillShade="D9"/>
          </w:tcPr>
          <w:p w14:paraId="50E61EB4" w14:textId="28D45EAB"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to perform a quantitative review of the relationship between the reduced-function </w:t>
            </w:r>
            <w:r w:rsidR="00401549" w:rsidRPr="00CA4DD7">
              <w:rPr>
                <w:rFonts w:cs="Times New Roman"/>
                <w:i/>
                <w:szCs w:val="24"/>
              </w:rPr>
              <w:t>CYP2C19</w:t>
            </w:r>
            <w:r w:rsidRPr="00CA4DD7">
              <w:rPr>
                <w:rFonts w:cs="Times New Roman"/>
                <w:szCs w:val="24"/>
              </w:rPr>
              <w:t xml:space="preserve"> *2 allele</w:t>
            </w:r>
            <w:r w:rsidR="006D15CC" w:rsidRPr="00CA4DD7">
              <w:rPr>
                <w:rFonts w:cs="Times New Roman"/>
                <w:szCs w:val="24"/>
              </w:rPr>
              <w:t>,</w:t>
            </w:r>
            <w:r w:rsidRPr="00CA4DD7">
              <w:rPr>
                <w:rFonts w:cs="Times New Roman"/>
                <w:szCs w:val="24"/>
              </w:rPr>
              <w:t xml:space="preserve"> the use of PPIs and MACE</w:t>
            </w:r>
            <w:r w:rsidR="00FE0465" w:rsidRPr="00CA4DD7">
              <w:rPr>
                <w:rFonts w:cs="Times New Roman"/>
                <w:szCs w:val="24"/>
              </w:rPr>
              <w:t>,</w:t>
            </w:r>
            <w:r w:rsidRPr="00CA4DD7">
              <w:rPr>
                <w:rFonts w:cs="Times New Roman"/>
                <w:szCs w:val="24"/>
              </w:rPr>
              <w:t xml:space="preserve"> and mortality in patients with long-term exposure to clopidogrel</w:t>
            </w:r>
          </w:p>
        </w:tc>
        <w:tc>
          <w:tcPr>
            <w:tcW w:w="0" w:type="auto"/>
            <w:tcBorders>
              <w:top w:val="nil"/>
              <w:left w:val="nil"/>
              <w:bottom w:val="nil"/>
              <w:right w:val="nil"/>
            </w:tcBorders>
            <w:shd w:val="clear" w:color="auto" w:fill="D9D9D9" w:themeFill="background1" w:themeFillShade="D9"/>
          </w:tcPr>
          <w:p w14:paraId="2734AF6A" w14:textId="350B0E84"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bottom w:val="nil"/>
              <w:right w:val="nil"/>
            </w:tcBorders>
            <w:shd w:val="clear" w:color="auto" w:fill="D9D9D9" w:themeFill="background1" w:themeFillShade="D9"/>
          </w:tcPr>
          <w:p w14:paraId="2B3A4F0C" w14:textId="11168663"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contribution of the </w:t>
            </w:r>
            <w:r w:rsidR="00401549" w:rsidRPr="00CA4DD7">
              <w:rPr>
                <w:rFonts w:cs="Times New Roman"/>
                <w:i/>
                <w:szCs w:val="24"/>
              </w:rPr>
              <w:t>CYP2C19</w:t>
            </w:r>
            <w:r w:rsidRPr="00CA4DD7">
              <w:rPr>
                <w:rFonts w:cs="Times New Roman"/>
                <w:szCs w:val="24"/>
              </w:rPr>
              <w:t xml:space="preserve"> *2 LOF genetic variant</w:t>
            </w:r>
            <w:r w:rsidR="00FE0465" w:rsidRPr="00CA4DD7">
              <w:rPr>
                <w:rFonts w:cs="Times New Roman"/>
                <w:szCs w:val="24"/>
              </w:rPr>
              <w:t>,</w:t>
            </w:r>
            <w:r w:rsidRPr="00CA4DD7">
              <w:rPr>
                <w:rFonts w:cs="Times New Roman"/>
                <w:szCs w:val="24"/>
              </w:rPr>
              <w:t xml:space="preserve"> and of the use of PPIs</w:t>
            </w:r>
            <w:r w:rsidR="00FE0465" w:rsidRPr="00CA4DD7">
              <w:rPr>
                <w:rFonts w:cs="Times New Roman"/>
                <w:szCs w:val="24"/>
              </w:rPr>
              <w:t>,</w:t>
            </w:r>
            <w:r w:rsidRPr="00CA4DD7">
              <w:rPr>
                <w:rFonts w:cs="Times New Roman"/>
                <w:szCs w:val="24"/>
              </w:rPr>
              <w:t xml:space="preserve"> to the occurrence of cardiovascular outcomes in patients with established CAD who were treated with clopidogrel</w:t>
            </w:r>
          </w:p>
        </w:tc>
        <w:tc>
          <w:tcPr>
            <w:tcW w:w="0" w:type="auto"/>
            <w:tcBorders>
              <w:top w:val="nil"/>
              <w:left w:val="nil"/>
              <w:bottom w:val="nil"/>
              <w:right w:val="nil"/>
            </w:tcBorders>
            <w:shd w:val="clear" w:color="auto" w:fill="D9D9D9" w:themeFill="background1" w:themeFillShade="D9"/>
          </w:tcPr>
          <w:p w14:paraId="76F75B85" w14:textId="0D68D583" w:rsidR="008158FB" w:rsidRPr="00CA4DD7" w:rsidRDefault="008158FB" w:rsidP="008158FB">
            <w:pPr>
              <w:spacing w:after="0"/>
              <w:rPr>
                <w:rFonts w:eastAsia="Times New Roman" w:cs="Times New Roman"/>
                <w:szCs w:val="24"/>
                <w:lang w:eastAsia="pt-BR"/>
              </w:rPr>
            </w:pPr>
            <w:r w:rsidRPr="00CA4DD7">
              <w:rPr>
                <w:rFonts w:cs="Times New Roman"/>
                <w:szCs w:val="24"/>
              </w:rPr>
              <w:t>6</w:t>
            </w:r>
          </w:p>
        </w:tc>
        <w:tc>
          <w:tcPr>
            <w:tcW w:w="0" w:type="auto"/>
            <w:tcBorders>
              <w:top w:val="nil"/>
              <w:left w:val="nil"/>
              <w:bottom w:val="nil"/>
              <w:right w:val="nil"/>
            </w:tcBorders>
            <w:shd w:val="clear" w:color="auto" w:fill="D9D9D9" w:themeFill="background1" w:themeFillShade="D9"/>
          </w:tcPr>
          <w:p w14:paraId="0A7EE732" w14:textId="2ED91085"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1966 </w:t>
            </w:r>
            <w:r w:rsidR="00071C48" w:rsidRPr="00CA4DD7">
              <w:rPr>
                <w:rFonts w:cs="Times New Roman"/>
                <w:szCs w:val="24"/>
              </w:rPr>
              <w:t>to</w:t>
            </w:r>
            <w:r w:rsidRPr="00CA4DD7">
              <w:rPr>
                <w:rFonts w:cs="Times New Roman"/>
                <w:szCs w:val="24"/>
              </w:rPr>
              <w:t xml:space="preserve"> </w:t>
            </w:r>
            <w:r w:rsidR="007A6F33" w:rsidRPr="00CA4DD7">
              <w:rPr>
                <w:rFonts w:cs="Times New Roman"/>
                <w:szCs w:val="24"/>
              </w:rPr>
              <w:t xml:space="preserve">Oct </w:t>
            </w:r>
            <w:r w:rsidRPr="00CA4DD7">
              <w:rPr>
                <w:rFonts w:cs="Times New Roman"/>
                <w:szCs w:val="24"/>
              </w:rPr>
              <w:t xml:space="preserve">2009; 1980 </w:t>
            </w:r>
            <w:r w:rsidR="00071C48" w:rsidRPr="00CA4DD7">
              <w:rPr>
                <w:rFonts w:cs="Times New Roman"/>
                <w:szCs w:val="24"/>
              </w:rPr>
              <w:t>to</w:t>
            </w:r>
            <w:r w:rsidRPr="00CA4DD7">
              <w:rPr>
                <w:rFonts w:cs="Times New Roman"/>
                <w:szCs w:val="24"/>
              </w:rPr>
              <w:t xml:space="preserve"> </w:t>
            </w:r>
            <w:r w:rsidR="007A6F33" w:rsidRPr="00CA4DD7">
              <w:rPr>
                <w:rFonts w:cs="Times New Roman"/>
                <w:szCs w:val="24"/>
              </w:rPr>
              <w:t xml:space="preserve">Oct </w:t>
            </w:r>
            <w:r w:rsidRPr="00CA4DD7">
              <w:rPr>
                <w:rFonts w:cs="Times New Roman"/>
                <w:szCs w:val="24"/>
              </w:rPr>
              <w:t>2009</w:t>
            </w:r>
          </w:p>
        </w:tc>
        <w:tc>
          <w:tcPr>
            <w:tcW w:w="0" w:type="auto"/>
            <w:tcBorders>
              <w:top w:val="nil"/>
              <w:left w:val="nil"/>
              <w:bottom w:val="nil"/>
              <w:right w:val="nil"/>
            </w:tcBorders>
            <w:shd w:val="clear" w:color="auto" w:fill="D9D9D9" w:themeFill="background1" w:themeFillShade="D9"/>
          </w:tcPr>
          <w:p w14:paraId="41780F9A" w14:textId="3E362AA9"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23; </w:t>
            </w:r>
            <w:r w:rsidR="00A73557" w:rsidRPr="00CA4DD7">
              <w:rPr>
                <w:rFonts w:cs="Times New Roman"/>
                <w:szCs w:val="24"/>
              </w:rPr>
              <w:t>observational</w:t>
            </w:r>
            <w:r w:rsidR="00482232" w:rsidRPr="00CA4DD7">
              <w:rPr>
                <w:rFonts w:cs="Times New Roman"/>
                <w:szCs w:val="24"/>
              </w:rPr>
              <w:t xml:space="preserve"> </w:t>
            </w:r>
            <w:r w:rsidR="00A73557" w:rsidRPr="00CA4DD7">
              <w:rPr>
                <w:rFonts w:cs="Times New Roman"/>
                <w:szCs w:val="24"/>
              </w:rPr>
              <w:t>s</w:t>
            </w:r>
            <w:r w:rsidR="00482232" w:rsidRPr="00CA4DD7">
              <w:rPr>
                <w:rFonts w:cs="Times New Roman"/>
                <w:szCs w:val="24"/>
              </w:rPr>
              <w:t>tudies</w:t>
            </w:r>
          </w:p>
        </w:tc>
        <w:tc>
          <w:tcPr>
            <w:tcW w:w="0" w:type="auto"/>
            <w:tcBorders>
              <w:top w:val="nil"/>
              <w:left w:val="nil"/>
              <w:bottom w:val="nil"/>
              <w:right w:val="nil"/>
            </w:tcBorders>
            <w:shd w:val="clear" w:color="auto" w:fill="D9D9D9" w:themeFill="background1" w:themeFillShade="D9"/>
          </w:tcPr>
          <w:p w14:paraId="35FB67C1" w14:textId="0044B560" w:rsidR="008158FB" w:rsidRPr="00CA4DD7" w:rsidRDefault="008158FB" w:rsidP="008158FB">
            <w:pPr>
              <w:spacing w:after="0"/>
              <w:rPr>
                <w:rFonts w:eastAsia="Times New Roman" w:cs="Times New Roman"/>
                <w:szCs w:val="24"/>
                <w:lang w:eastAsia="pt-BR"/>
              </w:rPr>
            </w:pPr>
            <w:r w:rsidRPr="00CA4DD7">
              <w:rPr>
                <w:rFonts w:cs="Times New Roman"/>
                <w:szCs w:val="24"/>
              </w:rPr>
              <w:t>NOS</w:t>
            </w:r>
          </w:p>
        </w:tc>
      </w:tr>
      <w:tr w:rsidR="00D4689A" w:rsidRPr="00CA4DD7" w14:paraId="39E2A41C" w14:textId="77777777" w:rsidTr="00C9428D">
        <w:trPr>
          <w:trHeight w:val="1169"/>
        </w:trPr>
        <w:tc>
          <w:tcPr>
            <w:tcW w:w="0" w:type="auto"/>
            <w:tcBorders>
              <w:top w:val="nil"/>
              <w:left w:val="nil"/>
              <w:bottom w:val="nil"/>
              <w:right w:val="nil"/>
            </w:tcBorders>
            <w:shd w:val="clear" w:color="auto" w:fill="auto"/>
          </w:tcPr>
          <w:p w14:paraId="7E55A487" w14:textId="400BF7E6" w:rsidR="008158FB" w:rsidRPr="00CA4DD7" w:rsidRDefault="00A73A66" w:rsidP="008158FB">
            <w:pPr>
              <w:spacing w:after="0"/>
              <w:rPr>
                <w:rFonts w:eastAsia="Times New Roman" w:cs="Times New Roman"/>
                <w:szCs w:val="24"/>
                <w:lang w:eastAsia="pt-BR"/>
              </w:rPr>
            </w:pPr>
            <w:r w:rsidRPr="00CA4DD7">
              <w:rPr>
                <w:rFonts w:cs="Times New Roman"/>
                <w:szCs w:val="24"/>
              </w:rPr>
              <w:lastRenderedPageBreak/>
              <w:t>Jang et al., 2012</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VBBc7OWE","properties":{"formattedCitation":"[6]","plainCitation":"[6]","noteIndex":0},"citationItems":[{"id":28,"uris":["http://zotero.org/users/local/CMEncDpE/items/4ELECLQR"],"uri":["http://zotero.org/users/local/CMEncDpE/items/4ELECLQR"],"itemData":{"id":28,"type":"article-journal","abstract":"Loss-of-function (LOF) variants of cytochrome P450 2C19 (CYP2C19) have been hypothesized to be associated with lesser degrees of platelet inhibition and increased risk for recurrent ischemic events in patients with coronary artery disease on clopidogrel therapy; however, studies from Western countries have yielded mixed results. We aimed to assess the impact of CYP2C19 LOF variants on clinical outcomes from different ethnic groups. Sixteen prospective cohort studies including 7,035 patients carrying ≥ 1 CYP2C19 LOF allele and 13,750 patients with the wild-type genotype were included in this meta-analysis. Carriers of ≥ 1 CYP2C19 LOF allele were at significantly higher risk for adverse clinical events compared to noncarriers during clopidogrel therapy (odds ratio [OR] 1.42, 95% confidence interval [CI] 1.13 to 1.78). The summary OR showed a significant association between CYP2C19 LOF variants and an increased risk of cardiac death (OR 2.18, 95% CI 1.37 to 3.47), myocardial infarction (OR 1.42, 95% CI 1.12 to 1.81), and stent thrombosis (OR 2.41, 95% CI 1.76 to 3.30). Stratified analysis by ethnicity of study population suggested higher odds of adverse clinical events in the Asian population with LOF variants of CYP2C19 (OR 1.89, 95% CI 1.32 to 2.72) compared to Western populations (OR 1.28, 95% CI 1.00 to 1.64). In conclusion, carrier status for LOF CYP2C19 is associated with an increased risk of adverse clinical events in patients with coronary artery disease on clopidogrel therapy despite differences in clinical significance according to ethnicity.","container-title":"The American Journal of Cardiology","DOI":"10.1016/j.amjcard.2012.04.020","ISSN":"1879-1913","issue":"4","journalAbbreviation":"Am J Cardiol","language":"eng","note":"PMID: 22591668","page":"502-508","source":"PubMed","title":"Meta-analysis of cytochrome P450 2C19 polymorphism and risk of adverse clinical outcomes among coronary artery disease patients of different ethnic groups treated with clopidogrel","volume":"110","author":[{"family":"Jang","given":"Jae-Sik"},{"family":"Cho","given":"Kyoung-Im"},{"family":"Jin","given":"Han-Young"},{"family":"Seo","given":"Jeong-Sook"},{"family":"Yang","given":"Tae-Hyun"},{"family":"Kim","given":"Dae-Kyeong"},{"family":"Kim","given":"Dong-Soo"},{"family":"Seol","given":"Sang-Hoon"},{"family":"Kim","given":"Doo-Il"},{"family":"Kim","given":"Bo-Hyun"},{"family":"Park","given":"Yong Hyun"},{"family":"Je","given":"Hyung-Gon"},{"family":"Jeong","given":"Young-Hoon"},{"family":"Lee","given":"Seung-Whan"}],"issued":{"date-parts":[["2012",8,15]]}}}],"schema":"https://github.com/citation-style-language/schema/raw/master/csl-citation.json"} </w:instrText>
            </w:r>
            <w:r w:rsidR="00495DFF">
              <w:rPr>
                <w:rFonts w:cs="Times New Roman"/>
                <w:szCs w:val="24"/>
              </w:rPr>
              <w:fldChar w:fldCharType="separate"/>
            </w:r>
            <w:r w:rsidR="00495DFF" w:rsidRPr="00495DFF">
              <w:rPr>
                <w:rFonts w:cs="Times New Roman"/>
              </w:rPr>
              <w:t>[6]</w:t>
            </w:r>
            <w:r w:rsidR="00495DFF">
              <w:rPr>
                <w:rFonts w:cs="Times New Roman"/>
                <w:szCs w:val="24"/>
              </w:rPr>
              <w:fldChar w:fldCharType="end"/>
            </w:r>
          </w:p>
        </w:tc>
        <w:tc>
          <w:tcPr>
            <w:tcW w:w="0" w:type="auto"/>
            <w:tcBorders>
              <w:left w:val="nil"/>
              <w:bottom w:val="nil"/>
              <w:right w:val="nil"/>
            </w:tcBorders>
            <w:shd w:val="clear" w:color="auto" w:fill="auto"/>
          </w:tcPr>
          <w:p w14:paraId="3695C6EE" w14:textId="4568D798"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to determine the association of the LOF </w:t>
            </w:r>
            <w:r w:rsidR="00401549" w:rsidRPr="00CA4DD7">
              <w:rPr>
                <w:rFonts w:cs="Times New Roman"/>
                <w:i/>
                <w:szCs w:val="24"/>
              </w:rPr>
              <w:t>CYP2C19</w:t>
            </w:r>
            <w:r w:rsidRPr="00CA4DD7">
              <w:rPr>
                <w:rFonts w:cs="Times New Roman"/>
                <w:szCs w:val="24"/>
              </w:rPr>
              <w:t xml:space="preserve"> polymorphism and cardiovascular risk in patients with CAD who use clopidogrel</w:t>
            </w:r>
          </w:p>
        </w:tc>
        <w:tc>
          <w:tcPr>
            <w:tcW w:w="0" w:type="auto"/>
            <w:tcBorders>
              <w:top w:val="nil"/>
              <w:left w:val="nil"/>
              <w:bottom w:val="nil"/>
              <w:right w:val="nil"/>
            </w:tcBorders>
            <w:shd w:val="clear" w:color="auto" w:fill="auto"/>
          </w:tcPr>
          <w:p w14:paraId="2AFD63EA" w14:textId="6369A308"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bottom w:val="nil"/>
              <w:right w:val="nil"/>
            </w:tcBorders>
            <w:shd w:val="clear" w:color="auto" w:fill="auto"/>
          </w:tcPr>
          <w:p w14:paraId="55EEDE79" w14:textId="77BD64DA"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patients with CAD who were treated with clopidogrel; evaluation of </w:t>
            </w:r>
            <w:r w:rsidR="00BA67BD" w:rsidRPr="00CA4DD7">
              <w:rPr>
                <w:rFonts w:cs="Times New Roman"/>
                <w:szCs w:val="24"/>
              </w:rPr>
              <w:t xml:space="preserve">the </w:t>
            </w:r>
            <w:r w:rsidR="00401549" w:rsidRPr="00CA4DD7">
              <w:rPr>
                <w:rFonts w:cs="Times New Roman"/>
                <w:i/>
                <w:szCs w:val="24"/>
              </w:rPr>
              <w:t>CYP2C19</w:t>
            </w:r>
            <w:r w:rsidRPr="00CA4DD7">
              <w:rPr>
                <w:rFonts w:cs="Times New Roman"/>
                <w:szCs w:val="24"/>
              </w:rPr>
              <w:t xml:space="preserve"> polymorphism and adverse clinical outcomes </w:t>
            </w:r>
          </w:p>
        </w:tc>
        <w:tc>
          <w:tcPr>
            <w:tcW w:w="0" w:type="auto"/>
            <w:tcBorders>
              <w:top w:val="nil"/>
              <w:left w:val="nil"/>
              <w:bottom w:val="nil"/>
              <w:right w:val="nil"/>
            </w:tcBorders>
            <w:shd w:val="clear" w:color="auto" w:fill="auto"/>
          </w:tcPr>
          <w:p w14:paraId="47D9B953" w14:textId="2F002BCB" w:rsidR="008158FB" w:rsidRPr="00CA4DD7" w:rsidRDefault="008158FB" w:rsidP="008158FB">
            <w:pPr>
              <w:spacing w:after="0"/>
              <w:rPr>
                <w:rFonts w:eastAsia="Times New Roman" w:cs="Times New Roman"/>
                <w:szCs w:val="24"/>
                <w:lang w:eastAsia="pt-BR"/>
              </w:rPr>
            </w:pPr>
            <w:r w:rsidRPr="00CA4DD7">
              <w:rPr>
                <w:rFonts w:cs="Times New Roman"/>
                <w:szCs w:val="24"/>
              </w:rPr>
              <w:t>10</w:t>
            </w:r>
          </w:p>
        </w:tc>
        <w:tc>
          <w:tcPr>
            <w:tcW w:w="0" w:type="auto"/>
            <w:tcBorders>
              <w:top w:val="nil"/>
              <w:left w:val="nil"/>
              <w:bottom w:val="nil"/>
              <w:right w:val="nil"/>
            </w:tcBorders>
            <w:shd w:val="clear" w:color="auto" w:fill="auto"/>
          </w:tcPr>
          <w:p w14:paraId="06A7782D" w14:textId="4C33F05A"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2001 </w:t>
            </w:r>
            <w:r w:rsidR="00071C48" w:rsidRPr="00CA4DD7">
              <w:rPr>
                <w:rFonts w:cs="Times New Roman"/>
                <w:szCs w:val="24"/>
              </w:rPr>
              <w:t>to</w:t>
            </w:r>
            <w:r w:rsidRPr="00CA4DD7">
              <w:rPr>
                <w:rFonts w:cs="Times New Roman"/>
                <w:szCs w:val="24"/>
              </w:rPr>
              <w:t xml:space="preserve"> </w:t>
            </w:r>
            <w:r w:rsidR="007A6F33" w:rsidRPr="00CA4DD7">
              <w:rPr>
                <w:rFonts w:cs="Times New Roman"/>
                <w:szCs w:val="24"/>
              </w:rPr>
              <w:t xml:space="preserve">Sep </w:t>
            </w:r>
            <w:r w:rsidRPr="00CA4DD7">
              <w:rPr>
                <w:rFonts w:cs="Times New Roman"/>
                <w:szCs w:val="24"/>
              </w:rPr>
              <w:t>2011</w:t>
            </w:r>
          </w:p>
        </w:tc>
        <w:tc>
          <w:tcPr>
            <w:tcW w:w="0" w:type="auto"/>
            <w:tcBorders>
              <w:top w:val="nil"/>
              <w:left w:val="nil"/>
              <w:bottom w:val="nil"/>
              <w:right w:val="nil"/>
            </w:tcBorders>
            <w:shd w:val="clear" w:color="auto" w:fill="auto"/>
          </w:tcPr>
          <w:p w14:paraId="61BA13B6" w14:textId="6A99CC14"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16; </w:t>
            </w:r>
            <w:r w:rsidR="0088395E" w:rsidRPr="00CA4DD7">
              <w:rPr>
                <w:rFonts w:cs="Times New Roman"/>
                <w:szCs w:val="24"/>
              </w:rPr>
              <w:t>observational</w:t>
            </w:r>
            <w:r w:rsidR="00482232" w:rsidRPr="00CA4DD7">
              <w:rPr>
                <w:rFonts w:cs="Times New Roman"/>
                <w:szCs w:val="24"/>
              </w:rPr>
              <w:t xml:space="preserve"> </w:t>
            </w:r>
            <w:r w:rsidR="0088395E" w:rsidRPr="00CA4DD7">
              <w:rPr>
                <w:rFonts w:cs="Times New Roman"/>
                <w:szCs w:val="24"/>
              </w:rPr>
              <w:t>s</w:t>
            </w:r>
            <w:r w:rsidR="00482232" w:rsidRPr="00CA4DD7">
              <w:rPr>
                <w:rFonts w:cs="Times New Roman"/>
                <w:szCs w:val="24"/>
              </w:rPr>
              <w:t>tudies</w:t>
            </w:r>
            <w:r w:rsidR="0088395E" w:rsidRPr="00CA4DD7">
              <w:rPr>
                <w:rFonts w:cs="Times New Roman"/>
                <w:szCs w:val="24"/>
              </w:rPr>
              <w:t>,</w:t>
            </w:r>
            <w:r w:rsidR="005C5045" w:rsidRPr="00CA4DD7">
              <w:rPr>
                <w:rFonts w:cs="Times New Roman"/>
                <w:szCs w:val="24"/>
              </w:rPr>
              <w:t xml:space="preserve"> </w:t>
            </w:r>
            <w:r w:rsidRPr="00CA4DD7">
              <w:rPr>
                <w:rFonts w:cs="Times New Roman"/>
                <w:szCs w:val="24"/>
              </w:rPr>
              <w:t>RCT</w:t>
            </w:r>
          </w:p>
        </w:tc>
        <w:tc>
          <w:tcPr>
            <w:tcW w:w="0" w:type="auto"/>
            <w:tcBorders>
              <w:top w:val="nil"/>
              <w:left w:val="nil"/>
              <w:bottom w:val="nil"/>
              <w:right w:val="nil"/>
            </w:tcBorders>
            <w:shd w:val="clear" w:color="auto" w:fill="auto"/>
          </w:tcPr>
          <w:p w14:paraId="3A932441" w14:textId="45C0984A" w:rsidR="008158FB" w:rsidRPr="00CA4DD7" w:rsidRDefault="00314FA6" w:rsidP="008158FB">
            <w:pPr>
              <w:spacing w:after="0"/>
              <w:rPr>
                <w:rFonts w:eastAsia="Times New Roman" w:cs="Times New Roman"/>
                <w:szCs w:val="24"/>
                <w:lang w:eastAsia="pt-BR"/>
              </w:rPr>
            </w:pPr>
            <w:r w:rsidRPr="00CA4DD7">
              <w:rPr>
                <w:rFonts w:cs="Times New Roman"/>
                <w:szCs w:val="24"/>
              </w:rPr>
              <w:t>not performed</w:t>
            </w:r>
          </w:p>
        </w:tc>
      </w:tr>
      <w:tr w:rsidR="00D4689A" w:rsidRPr="00CA4DD7" w14:paraId="3E396939" w14:textId="77777777" w:rsidTr="0062498A">
        <w:trPr>
          <w:trHeight w:val="1276"/>
        </w:trPr>
        <w:tc>
          <w:tcPr>
            <w:tcW w:w="0" w:type="auto"/>
            <w:tcBorders>
              <w:top w:val="nil"/>
              <w:left w:val="nil"/>
              <w:bottom w:val="nil"/>
              <w:right w:val="nil"/>
            </w:tcBorders>
            <w:shd w:val="clear" w:color="auto" w:fill="D9D9D9" w:themeFill="background1" w:themeFillShade="D9"/>
          </w:tcPr>
          <w:p w14:paraId="787ECA4F" w14:textId="2C5C2828" w:rsidR="008158FB" w:rsidRPr="00CA4DD7" w:rsidRDefault="00A73A66" w:rsidP="008158FB">
            <w:pPr>
              <w:spacing w:after="0"/>
              <w:rPr>
                <w:rFonts w:eastAsia="Times New Roman" w:cs="Times New Roman"/>
                <w:szCs w:val="24"/>
                <w:lang w:eastAsia="pt-BR"/>
              </w:rPr>
            </w:pPr>
            <w:proofErr w:type="spellStart"/>
            <w:r w:rsidRPr="00CA4DD7">
              <w:rPr>
                <w:rFonts w:cs="Times New Roman"/>
                <w:szCs w:val="24"/>
              </w:rPr>
              <w:t>Jin</w:t>
            </w:r>
            <w:proofErr w:type="spellEnd"/>
            <w:r w:rsidRPr="00CA4DD7">
              <w:rPr>
                <w:rFonts w:cs="Times New Roman"/>
                <w:szCs w:val="24"/>
              </w:rPr>
              <w:t xml:space="preserve"> et al., 2011</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jFvF2VsG","properties":{"formattedCitation":"[7]","plainCitation":"[7]","noteIndex":0},"citationItems":[{"id":26,"uris":["http://zotero.org/users/local/CMEncDpE/items/ALGENF34"],"uri":["http://zotero.org/users/local/CMEncDpE/items/ALGENF34"],"itemData":{"id":26,"type":"article-journal","abstract":"Patients with lesser degrees of platelet inhibition in response to clopidogrel appear to be at increased risk for recurrent ischemic events. Cytochrome P450 (CYP) polymorphisms have been proposed as possible mechanisms for nonresponsiveness to clopidogrel. Published data on the association between CYP2C19*2 polymorphism and atherothrombotic events are inconclusive. To derive a more precise estimation of the relationship, a meta-analysis was performed. A total of eight prospective cohort studies including 2,345 patients carrying CYP2C19*2 variant allele and 5,935 cases with the wild-type genotype were included in this meta-analysis. Overall, borderline statistically significantly elevated risk of adverse clinical events was associated with genotyping 681G&gt;A polymorphism (for AA + GA vs. GG: OR, 1.46; 95% CI, 1.01 to 2.13; P = 0.05). The summary odds ratio showed a significant association between the CYP2C19*2 polymorphism and an increased risk of cardiac mortality in the follow-up period (OR, 2.07; 95% CI, 1.22 to 3.52; P = 0.007). When studies evaluating myocardial infarction, stent thrombosis, and ischemic stroke, the presence of the variant allele was associated with significantly increased risks of recurrent atherothrombotic events. In summary, this meta-analysis indicated that CYP2C19*2 carrier status is significantly associated with an increased risk of adverse cardiovascular events.","container-title":"Molecular Biology Reports","DOI":"10.1007/s11033-010-0282-0","ISSN":"1573-4978","issue":"3","journalAbbreviation":"Mol Biol Rep","language":"eng","note":"PMID: 20845077","page":"1697-1702","source":"PubMed","title":"Cytochrome P450 2C19 polymorphism is associated with poor clinical outcomes in coronary artery disease patients treated with clopidogrel","volume":"38","author":[{"family":"Jin","given":"Bo"},{"family":"Ni","given":"Huan-Chun"},{"family":"Shen","given":"Wei"},{"family":"Li","given":"Jian"},{"family":"Shi","given":"Hai-Ming"},{"family":"Li","given":"Yong"}],"issued":{"date-parts":[["2011",3]]}}}],"schema":"https://github.com/citation-style-language/schema/raw/master/csl-citation.json"} </w:instrText>
            </w:r>
            <w:r w:rsidR="00495DFF">
              <w:rPr>
                <w:rFonts w:cs="Times New Roman"/>
                <w:szCs w:val="24"/>
              </w:rPr>
              <w:fldChar w:fldCharType="separate"/>
            </w:r>
            <w:r w:rsidR="00495DFF" w:rsidRPr="00495DFF">
              <w:rPr>
                <w:rFonts w:cs="Times New Roman"/>
              </w:rPr>
              <w:t>[7]</w:t>
            </w:r>
            <w:r w:rsidR="00495DFF">
              <w:rPr>
                <w:rFonts w:cs="Times New Roman"/>
                <w:szCs w:val="24"/>
              </w:rPr>
              <w:fldChar w:fldCharType="end"/>
            </w:r>
          </w:p>
        </w:tc>
        <w:tc>
          <w:tcPr>
            <w:tcW w:w="0" w:type="auto"/>
            <w:tcBorders>
              <w:top w:val="nil"/>
              <w:left w:val="nil"/>
              <w:bottom w:val="nil"/>
              <w:right w:val="nil"/>
            </w:tcBorders>
            <w:shd w:val="clear" w:color="auto" w:fill="D9D9D9" w:themeFill="background1" w:themeFillShade="D9"/>
          </w:tcPr>
          <w:p w14:paraId="33242E30" w14:textId="0650B4D0"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to derive a more precise estimation of the relationship between </w:t>
            </w:r>
            <w:r w:rsidR="00003922" w:rsidRPr="00CA4DD7">
              <w:rPr>
                <w:rFonts w:cs="Times New Roman"/>
                <w:szCs w:val="24"/>
              </w:rPr>
              <w:t xml:space="preserve">the </w:t>
            </w:r>
            <w:r w:rsidR="00401549" w:rsidRPr="00CA4DD7">
              <w:rPr>
                <w:rFonts w:cs="Times New Roman"/>
                <w:i/>
                <w:szCs w:val="24"/>
              </w:rPr>
              <w:t>CYP2C19</w:t>
            </w:r>
            <w:r w:rsidRPr="00CA4DD7">
              <w:rPr>
                <w:rFonts w:cs="Times New Roman"/>
                <w:szCs w:val="24"/>
              </w:rPr>
              <w:t xml:space="preserve"> *2 polymorphism and atherothrombotic events, as </w:t>
            </w:r>
            <w:r w:rsidR="00FC26C6" w:rsidRPr="00CA4DD7">
              <w:rPr>
                <w:rFonts w:cs="Times New Roman"/>
                <w:szCs w:val="24"/>
              </w:rPr>
              <w:t xml:space="preserve">a </w:t>
            </w:r>
            <w:r w:rsidRPr="00CA4DD7">
              <w:rPr>
                <w:rFonts w:cs="Times New Roman"/>
                <w:szCs w:val="24"/>
              </w:rPr>
              <w:t>possible mechanism of nonresponsiveness to clopidogrel</w:t>
            </w:r>
          </w:p>
        </w:tc>
        <w:tc>
          <w:tcPr>
            <w:tcW w:w="0" w:type="auto"/>
            <w:tcBorders>
              <w:top w:val="nil"/>
              <w:left w:val="nil"/>
              <w:bottom w:val="nil"/>
              <w:right w:val="nil"/>
            </w:tcBorders>
            <w:shd w:val="clear" w:color="auto" w:fill="D9D9D9" w:themeFill="background1" w:themeFillShade="D9"/>
          </w:tcPr>
          <w:p w14:paraId="0E0CBA16" w14:textId="5E3E87D3"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bottom w:val="nil"/>
              <w:right w:val="nil"/>
            </w:tcBorders>
            <w:shd w:val="clear" w:color="auto" w:fill="D9D9D9" w:themeFill="background1" w:themeFillShade="D9"/>
          </w:tcPr>
          <w:p w14:paraId="194B9EE2" w14:textId="056A0DD0"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patients with CAD undergoing PCI, receiving clopidogrel; evaluation of </w:t>
            </w:r>
            <w:r w:rsidR="00003922" w:rsidRPr="00CA4DD7">
              <w:rPr>
                <w:rFonts w:cs="Times New Roman"/>
                <w:szCs w:val="24"/>
              </w:rPr>
              <w:t xml:space="preserve">the </w:t>
            </w:r>
            <w:r w:rsidR="00401549" w:rsidRPr="00CA4DD7">
              <w:rPr>
                <w:rFonts w:cs="Times New Roman"/>
                <w:i/>
                <w:szCs w:val="24"/>
              </w:rPr>
              <w:t>CYP2C19</w:t>
            </w:r>
            <w:r w:rsidRPr="00CA4DD7">
              <w:rPr>
                <w:rFonts w:cs="Times New Roman"/>
                <w:szCs w:val="24"/>
              </w:rPr>
              <w:t xml:space="preserve"> polymorphism and clinical outcomes</w:t>
            </w:r>
          </w:p>
        </w:tc>
        <w:tc>
          <w:tcPr>
            <w:tcW w:w="0" w:type="auto"/>
            <w:tcBorders>
              <w:top w:val="nil"/>
              <w:left w:val="nil"/>
              <w:bottom w:val="nil"/>
              <w:right w:val="nil"/>
            </w:tcBorders>
            <w:shd w:val="clear" w:color="auto" w:fill="D9D9D9" w:themeFill="background1" w:themeFillShade="D9"/>
          </w:tcPr>
          <w:p w14:paraId="051B031F" w14:textId="77727814" w:rsidR="008158FB" w:rsidRPr="00CA4DD7" w:rsidRDefault="008158FB" w:rsidP="008158FB">
            <w:pPr>
              <w:spacing w:after="0"/>
              <w:rPr>
                <w:rFonts w:eastAsia="Times New Roman" w:cs="Times New Roman"/>
                <w:szCs w:val="24"/>
                <w:lang w:eastAsia="pt-BR"/>
              </w:rPr>
            </w:pPr>
            <w:r w:rsidRPr="00CA4DD7">
              <w:rPr>
                <w:rFonts w:cs="Times New Roman"/>
                <w:szCs w:val="24"/>
              </w:rPr>
              <w:t>2</w:t>
            </w:r>
          </w:p>
        </w:tc>
        <w:tc>
          <w:tcPr>
            <w:tcW w:w="0" w:type="auto"/>
            <w:tcBorders>
              <w:top w:val="nil"/>
              <w:left w:val="nil"/>
              <w:bottom w:val="nil"/>
              <w:right w:val="nil"/>
            </w:tcBorders>
            <w:shd w:val="clear" w:color="auto" w:fill="D9D9D9" w:themeFill="background1" w:themeFillShade="D9"/>
          </w:tcPr>
          <w:p w14:paraId="78536685" w14:textId="7F987D2A" w:rsidR="008158FB" w:rsidRPr="00CA4DD7" w:rsidRDefault="007A6F33" w:rsidP="008158FB">
            <w:pPr>
              <w:spacing w:after="0"/>
              <w:rPr>
                <w:rFonts w:eastAsia="Times New Roman" w:cs="Times New Roman"/>
                <w:szCs w:val="24"/>
                <w:lang w:eastAsia="pt-BR"/>
              </w:rPr>
            </w:pPr>
            <w:r w:rsidRPr="00CA4DD7">
              <w:rPr>
                <w:rFonts w:cs="Times New Roman"/>
                <w:szCs w:val="24"/>
              </w:rPr>
              <w:t xml:space="preserve">Dec </w:t>
            </w:r>
            <w:r w:rsidR="008158FB" w:rsidRPr="00CA4DD7">
              <w:rPr>
                <w:rFonts w:cs="Times New Roman"/>
                <w:szCs w:val="24"/>
              </w:rPr>
              <w:t>2009</w:t>
            </w:r>
          </w:p>
        </w:tc>
        <w:tc>
          <w:tcPr>
            <w:tcW w:w="0" w:type="auto"/>
            <w:tcBorders>
              <w:top w:val="nil"/>
              <w:left w:val="nil"/>
              <w:bottom w:val="nil"/>
              <w:right w:val="nil"/>
            </w:tcBorders>
            <w:shd w:val="clear" w:color="auto" w:fill="D9D9D9" w:themeFill="background1" w:themeFillShade="D9"/>
          </w:tcPr>
          <w:p w14:paraId="3290E73D" w14:textId="20790629"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8; </w:t>
            </w:r>
            <w:r w:rsidR="009677FC" w:rsidRPr="00CA4DD7">
              <w:rPr>
                <w:rFonts w:cs="Times New Roman"/>
                <w:szCs w:val="24"/>
              </w:rPr>
              <w:t>observational</w:t>
            </w:r>
            <w:r w:rsidR="00482232" w:rsidRPr="00CA4DD7">
              <w:rPr>
                <w:rFonts w:cs="Times New Roman"/>
                <w:szCs w:val="24"/>
              </w:rPr>
              <w:t xml:space="preserve"> </w:t>
            </w:r>
            <w:r w:rsidR="009677FC" w:rsidRPr="00CA4DD7">
              <w:rPr>
                <w:rFonts w:cs="Times New Roman"/>
                <w:szCs w:val="24"/>
              </w:rPr>
              <w:t>s</w:t>
            </w:r>
            <w:r w:rsidR="00482232" w:rsidRPr="00CA4DD7">
              <w:rPr>
                <w:rFonts w:cs="Times New Roman"/>
                <w:szCs w:val="24"/>
              </w:rPr>
              <w:t>tudies</w:t>
            </w:r>
          </w:p>
        </w:tc>
        <w:tc>
          <w:tcPr>
            <w:tcW w:w="0" w:type="auto"/>
            <w:tcBorders>
              <w:top w:val="nil"/>
              <w:left w:val="nil"/>
              <w:bottom w:val="nil"/>
              <w:right w:val="nil"/>
            </w:tcBorders>
            <w:shd w:val="clear" w:color="auto" w:fill="D9D9D9" w:themeFill="background1" w:themeFillShade="D9"/>
          </w:tcPr>
          <w:p w14:paraId="7C03F0CA" w14:textId="089F34CA" w:rsidR="008158FB" w:rsidRPr="00CA4DD7" w:rsidRDefault="00314FA6" w:rsidP="008158FB">
            <w:pPr>
              <w:spacing w:after="0"/>
              <w:rPr>
                <w:rFonts w:eastAsia="Times New Roman" w:cs="Times New Roman"/>
                <w:szCs w:val="24"/>
                <w:lang w:eastAsia="pt-BR"/>
              </w:rPr>
            </w:pPr>
            <w:r w:rsidRPr="00CA4DD7">
              <w:rPr>
                <w:rFonts w:cs="Times New Roman"/>
                <w:szCs w:val="24"/>
              </w:rPr>
              <w:t>not performed</w:t>
            </w:r>
          </w:p>
        </w:tc>
      </w:tr>
      <w:tr w:rsidR="00D4689A" w:rsidRPr="00CA4DD7" w14:paraId="34BD3982" w14:textId="77777777" w:rsidTr="0048020D">
        <w:trPr>
          <w:trHeight w:val="773"/>
        </w:trPr>
        <w:tc>
          <w:tcPr>
            <w:tcW w:w="0" w:type="auto"/>
            <w:tcBorders>
              <w:top w:val="nil"/>
              <w:left w:val="nil"/>
              <w:right w:val="nil"/>
            </w:tcBorders>
            <w:shd w:val="clear" w:color="auto" w:fill="auto"/>
          </w:tcPr>
          <w:p w14:paraId="650144F1" w14:textId="54C2B2D9" w:rsidR="008158FB" w:rsidRPr="00CA4DD7" w:rsidRDefault="00A73A66" w:rsidP="008158FB">
            <w:pPr>
              <w:spacing w:after="0"/>
              <w:rPr>
                <w:rFonts w:eastAsia="Times New Roman" w:cs="Times New Roman"/>
                <w:szCs w:val="24"/>
                <w:lang w:eastAsia="pt-BR"/>
              </w:rPr>
            </w:pPr>
            <w:r w:rsidRPr="00CA4DD7">
              <w:rPr>
                <w:rFonts w:cs="Times New Roman"/>
                <w:szCs w:val="24"/>
              </w:rPr>
              <w:t>Mega et al., 2010</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0EQHhEul","properties":{"formattedCitation":"[8]","plainCitation":"[8]","noteIndex":0},"citationItems":[{"id":23,"uris":["http://zotero.org/users/local/CMEncDpE/items/PEJ9JVM5"],"uri":["http://zotero.org/users/local/CMEncDpE/items/PEJ9JVM5"],"itemData":{"id":23,"type":"article-journal","abstract":"CONTENT: Clopidogrel, one of the most commonly prescribed medications, is a prodrug requiring CYP450 biotransformation. Data suggest its pharmacologic effect varies based on CYP2C19 genotype, but there is uncertainty regarding the clinical risk imparted by specific genotypes.\nOBJECTIVE: To define the risk of major adverse cardiovascular outcomes among carriers of 1 (≈ 26% prevalence in whites) and carriers of 2 (≈ 2% prevalence in whites) reduced-function CYP2C19 genetic variants in patients treated with clopidogrel.\nDATA SOURCES AND STUDY SELECTION: A literature search was conducted (January 2000-August 2010) in MEDLINE, Cochrane Database of Systematic Reviews, and EMBASE. Genetic studies were included in which clopidogrel was initiated in predominantly invasively managed patients in a manner consistent with the current guideline recommendations and in which clinical outcomes were ascertained.\nDATA EXTRACTION: Investigators from 9 studies evaluating CYP2C19 genotype and clinical outcomes in patients treated with clopidogrel contributed the relevant hazard ratios (HRs) and 95% confidence intervals (CIs) for specific cardiovascular outcomes by genotype.\nRESULTS: Among 9685 patients (91.3% who underwent percutaneous coronary intervention and 54.5% who had an acute coronary syndrome), 863 experienced the composite end point of cardiovascular death, myocardial infarction, or stroke; and 84 patients had stent thrombosis among the 5894 evaluated for such. Overall, 71.5% were noncarriers, 26.3% had 1 reduced-function CYP2C19 allele, and 2.2% had 2 reduced-function CYP2C19 alleles. A significantly increased risk of the composite end point was evident in both carriers of 1 (HR, 1.55; 95% CI, 1.11-2.17; P = .01) and 2 (HR, 1.76; 95% CI, 1.24-2.50; P = .002) reduced-function CYP2C19 alleles, as compared with noncarriers. Similarly, there was a significantly increased risk of stent thrombosis in both carriers of 1 (HR, 2.67; 95% CI, 1.69-4.22; P &lt; .0001) and 2 (HR, 3.97; 95% CI, 1.75-9.02; P = .001) CYP2C19 reduced-function alleles, as compared with noncarriers.\nCONCLUSION: Among patients treated with clopidogrel for percutaneous coronary intervention, carriage of even 1 reduced-function CYP2C19 allele appears to be associated with a significantly increased risk of major adverse cardiovascular events, particularly stent thrombosis.","container-title":"JAMA","DOI":"10.1001/jama.2010.1543","ISSN":"1538-3598","issue":"16","journalAbbreviation":"JAMA","language":"eng","note":"PMID: 20978260\nPMCID: PMC3048820","page":"1821-1830","source":"PubMed","title":"Reduced-function CYP2C19 genotype and risk of adverse clinical outcomes among patients treated with clopidogrel predominantly for PCI: a meta-analysis","title-short":"Reduced-function CYP2C19 genotype and risk of adverse clinical outcomes among patients treated with clopidogrel predominantly for PCI","volume":"304","author":[{"family":"Mega","given":"Jessica L."},{"family":"Simon","given":"Tabassome"},{"family":"Collet","given":"Jean-Philippe"},{"family":"Anderson","given":"Jeffrey L."},{"family":"Antman","given":"Elliott M."},{"family":"Bliden","given":"Kevin"},{"family":"Cannon","given":"Christopher P."},{"family":"Danchin","given":"Nicolas"},{"family":"Giusti","given":"Betti"},{"family":"Gurbel","given":"Paul"},{"family":"Horne","given":"Benjamin D."},{"family":"Hulot","given":"Jean-Sebastian"},{"family":"Kastrati","given":"Adnan"},{"family":"Montalescot","given":"Gilles"},{"family":"Neumann","given":"Franz-Josef"},{"family":"Shen","given":"Lei"},{"family":"Sibbing","given":"Dirk"},{"family":"Steg","given":"P. Gabriel"},{"family":"Trenk","given":"Dietmar"},{"family":"Wiviott","given":"Stephen D."},{"family":"Sabatine","given":"Marc S."}],"issued":{"date-parts":[["2010",10,27]]}}}],"schema":"https://github.com/citation-style-language/schema/raw/master/csl-citation.json"} </w:instrText>
            </w:r>
            <w:r w:rsidR="00495DFF">
              <w:rPr>
                <w:rFonts w:cs="Times New Roman"/>
                <w:szCs w:val="24"/>
              </w:rPr>
              <w:fldChar w:fldCharType="separate"/>
            </w:r>
            <w:r w:rsidR="00495DFF" w:rsidRPr="00495DFF">
              <w:rPr>
                <w:rFonts w:cs="Times New Roman"/>
              </w:rPr>
              <w:t>[8]</w:t>
            </w:r>
            <w:r w:rsidR="00495DFF">
              <w:rPr>
                <w:rFonts w:cs="Times New Roman"/>
                <w:szCs w:val="24"/>
              </w:rPr>
              <w:fldChar w:fldCharType="end"/>
            </w:r>
          </w:p>
        </w:tc>
        <w:tc>
          <w:tcPr>
            <w:tcW w:w="0" w:type="auto"/>
            <w:tcBorders>
              <w:top w:val="nil"/>
              <w:left w:val="nil"/>
              <w:right w:val="nil"/>
            </w:tcBorders>
            <w:shd w:val="clear" w:color="auto" w:fill="auto"/>
          </w:tcPr>
          <w:p w14:paraId="7CBEBBDF" w14:textId="78E4708E" w:rsidR="008158FB" w:rsidRPr="00CA4DD7" w:rsidRDefault="008158FB" w:rsidP="008158FB">
            <w:pPr>
              <w:spacing w:after="0"/>
              <w:rPr>
                <w:rFonts w:eastAsia="Times New Roman" w:cs="Times New Roman"/>
                <w:szCs w:val="24"/>
                <w:lang w:eastAsia="pt-BR"/>
              </w:rPr>
            </w:pPr>
            <w:r w:rsidRPr="00CA4DD7">
              <w:rPr>
                <w:rFonts w:cs="Times New Roman"/>
                <w:szCs w:val="24"/>
              </w:rPr>
              <w:t>to define the risk of MACE among carriers of one (</w:t>
            </w:r>
            <w:r w:rsidRPr="00CA4DD7">
              <w:rPr>
                <w:rFonts w:ascii="Cambria Math" w:hAnsi="Cambria Math" w:cs="Cambria Math"/>
                <w:szCs w:val="24"/>
              </w:rPr>
              <w:t>∼</w:t>
            </w:r>
            <w:r w:rsidRPr="00CA4DD7">
              <w:rPr>
                <w:rFonts w:cs="Times New Roman"/>
                <w:szCs w:val="24"/>
              </w:rPr>
              <w:t>26% prevalence in whites) and carriers of two (</w:t>
            </w:r>
            <w:r w:rsidRPr="00CA4DD7">
              <w:rPr>
                <w:rFonts w:ascii="Cambria Math" w:hAnsi="Cambria Math" w:cs="Cambria Math"/>
                <w:szCs w:val="24"/>
              </w:rPr>
              <w:t>∼</w:t>
            </w:r>
            <w:r w:rsidRPr="00CA4DD7">
              <w:rPr>
                <w:rFonts w:cs="Times New Roman"/>
                <w:szCs w:val="24"/>
              </w:rPr>
              <w:t xml:space="preserve">2% prevalence in whites) </w:t>
            </w:r>
            <w:proofErr w:type="gramStart"/>
            <w:r w:rsidRPr="00CA4DD7">
              <w:rPr>
                <w:rFonts w:cs="Times New Roman"/>
                <w:szCs w:val="24"/>
              </w:rPr>
              <w:t>reduced-function</w:t>
            </w:r>
            <w:proofErr w:type="gramEnd"/>
            <w:r w:rsidRPr="00CA4DD7">
              <w:rPr>
                <w:rFonts w:cs="Times New Roman"/>
                <w:szCs w:val="24"/>
              </w:rPr>
              <w:t xml:space="preserve"> </w:t>
            </w:r>
            <w:r w:rsidR="00401549" w:rsidRPr="00CA4DD7">
              <w:rPr>
                <w:rFonts w:cs="Times New Roman"/>
                <w:i/>
                <w:szCs w:val="24"/>
              </w:rPr>
              <w:t>CYP2C19</w:t>
            </w:r>
            <w:r w:rsidRPr="00CA4DD7">
              <w:rPr>
                <w:rFonts w:cs="Times New Roman"/>
                <w:szCs w:val="24"/>
              </w:rPr>
              <w:t xml:space="preserve"> variants in patients treated with clopidogrel</w:t>
            </w:r>
          </w:p>
        </w:tc>
        <w:tc>
          <w:tcPr>
            <w:tcW w:w="0" w:type="auto"/>
            <w:tcBorders>
              <w:top w:val="nil"/>
              <w:left w:val="nil"/>
              <w:right w:val="nil"/>
            </w:tcBorders>
            <w:shd w:val="clear" w:color="auto" w:fill="auto"/>
          </w:tcPr>
          <w:p w14:paraId="3C3A508D" w14:textId="3DC28422"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right w:val="nil"/>
            </w:tcBorders>
            <w:shd w:val="clear" w:color="auto" w:fill="auto"/>
          </w:tcPr>
          <w:p w14:paraId="2430F27D" w14:textId="3750ACBB"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clopidogrel was initiated in predominantly </w:t>
            </w:r>
            <w:proofErr w:type="gramStart"/>
            <w:r w:rsidRPr="00CA4DD7">
              <w:rPr>
                <w:rFonts w:cs="Times New Roman"/>
                <w:szCs w:val="24"/>
              </w:rPr>
              <w:t>invasively</w:t>
            </w:r>
            <w:r w:rsidR="00AD7BCD" w:rsidRPr="00CA4DD7">
              <w:rPr>
                <w:rFonts w:cs="Times New Roman"/>
                <w:szCs w:val="24"/>
              </w:rPr>
              <w:t>-</w:t>
            </w:r>
            <w:r w:rsidRPr="00CA4DD7">
              <w:rPr>
                <w:rFonts w:cs="Times New Roman"/>
                <w:szCs w:val="24"/>
              </w:rPr>
              <w:t>managed</w:t>
            </w:r>
            <w:proofErr w:type="gramEnd"/>
            <w:r w:rsidRPr="00CA4DD7">
              <w:rPr>
                <w:rFonts w:cs="Times New Roman"/>
                <w:szCs w:val="24"/>
              </w:rPr>
              <w:t xml:space="preserve"> patients in a manner consistent with the guideline recommendations</w:t>
            </w:r>
          </w:p>
        </w:tc>
        <w:tc>
          <w:tcPr>
            <w:tcW w:w="0" w:type="auto"/>
            <w:tcBorders>
              <w:top w:val="nil"/>
              <w:left w:val="nil"/>
              <w:right w:val="nil"/>
            </w:tcBorders>
            <w:shd w:val="clear" w:color="auto" w:fill="auto"/>
          </w:tcPr>
          <w:p w14:paraId="04D360E8" w14:textId="31A6E0F9" w:rsidR="008158FB" w:rsidRPr="00CA4DD7" w:rsidRDefault="008158FB" w:rsidP="008158FB">
            <w:pPr>
              <w:spacing w:after="0"/>
              <w:rPr>
                <w:rFonts w:eastAsia="Times New Roman" w:cs="Times New Roman"/>
                <w:szCs w:val="24"/>
                <w:lang w:eastAsia="pt-BR"/>
              </w:rPr>
            </w:pPr>
            <w:r w:rsidRPr="00CA4DD7">
              <w:rPr>
                <w:rFonts w:cs="Times New Roman"/>
                <w:szCs w:val="24"/>
              </w:rPr>
              <w:t>3</w:t>
            </w:r>
          </w:p>
        </w:tc>
        <w:tc>
          <w:tcPr>
            <w:tcW w:w="0" w:type="auto"/>
            <w:tcBorders>
              <w:top w:val="nil"/>
              <w:left w:val="nil"/>
              <w:right w:val="nil"/>
            </w:tcBorders>
            <w:shd w:val="clear" w:color="auto" w:fill="auto"/>
          </w:tcPr>
          <w:p w14:paraId="3C39604D" w14:textId="54BE9F2E" w:rsidR="008158FB" w:rsidRPr="00CA4DD7" w:rsidRDefault="007A6F33" w:rsidP="008158FB">
            <w:pPr>
              <w:spacing w:after="0"/>
              <w:rPr>
                <w:rFonts w:eastAsia="Times New Roman" w:cs="Times New Roman"/>
                <w:szCs w:val="24"/>
                <w:lang w:eastAsia="pt-BR"/>
              </w:rPr>
            </w:pPr>
            <w:r w:rsidRPr="00CA4DD7">
              <w:rPr>
                <w:rFonts w:cs="Times New Roman"/>
                <w:szCs w:val="24"/>
              </w:rPr>
              <w:t xml:space="preserve">Jan </w:t>
            </w:r>
            <w:r w:rsidR="008158FB" w:rsidRPr="00CA4DD7">
              <w:rPr>
                <w:rFonts w:cs="Times New Roman"/>
                <w:szCs w:val="24"/>
              </w:rPr>
              <w:t xml:space="preserve">2000 </w:t>
            </w:r>
            <w:r w:rsidR="00071C48" w:rsidRPr="00CA4DD7">
              <w:rPr>
                <w:rFonts w:cs="Times New Roman"/>
                <w:szCs w:val="24"/>
              </w:rPr>
              <w:t xml:space="preserve">to </w:t>
            </w:r>
            <w:r w:rsidRPr="00CA4DD7">
              <w:rPr>
                <w:rFonts w:cs="Times New Roman"/>
                <w:szCs w:val="24"/>
              </w:rPr>
              <w:t xml:space="preserve">Aug </w:t>
            </w:r>
            <w:r w:rsidR="008158FB" w:rsidRPr="00CA4DD7">
              <w:rPr>
                <w:rFonts w:cs="Times New Roman"/>
                <w:szCs w:val="24"/>
              </w:rPr>
              <w:t>2010</w:t>
            </w:r>
          </w:p>
        </w:tc>
        <w:tc>
          <w:tcPr>
            <w:tcW w:w="0" w:type="auto"/>
            <w:tcBorders>
              <w:top w:val="nil"/>
              <w:left w:val="nil"/>
              <w:right w:val="nil"/>
            </w:tcBorders>
            <w:shd w:val="clear" w:color="auto" w:fill="auto"/>
          </w:tcPr>
          <w:p w14:paraId="00303069" w14:textId="0C2812AE" w:rsidR="008158FB" w:rsidRPr="00CA4DD7" w:rsidRDefault="008158FB">
            <w:pPr>
              <w:spacing w:after="0"/>
              <w:rPr>
                <w:rFonts w:eastAsia="Times New Roman" w:cs="Times New Roman"/>
                <w:szCs w:val="24"/>
                <w:lang w:eastAsia="pt-BR"/>
              </w:rPr>
            </w:pPr>
            <w:r w:rsidRPr="00CA4DD7">
              <w:rPr>
                <w:rFonts w:cs="Times New Roman"/>
                <w:szCs w:val="24"/>
              </w:rPr>
              <w:t xml:space="preserve">9; </w:t>
            </w:r>
            <w:r w:rsidR="009677FC" w:rsidRPr="00CA4DD7">
              <w:rPr>
                <w:rFonts w:cs="Times New Roman"/>
                <w:szCs w:val="24"/>
              </w:rPr>
              <w:t>observational</w:t>
            </w:r>
            <w:r w:rsidR="00482232" w:rsidRPr="00CA4DD7">
              <w:rPr>
                <w:rFonts w:cs="Times New Roman"/>
                <w:szCs w:val="24"/>
              </w:rPr>
              <w:t xml:space="preserve"> </w:t>
            </w:r>
            <w:r w:rsidR="009677FC" w:rsidRPr="00CA4DD7">
              <w:rPr>
                <w:rFonts w:cs="Times New Roman"/>
                <w:szCs w:val="24"/>
              </w:rPr>
              <w:t>s</w:t>
            </w:r>
            <w:r w:rsidR="00482232" w:rsidRPr="00CA4DD7">
              <w:rPr>
                <w:rFonts w:cs="Times New Roman"/>
                <w:szCs w:val="24"/>
              </w:rPr>
              <w:t>tudies</w:t>
            </w:r>
          </w:p>
        </w:tc>
        <w:tc>
          <w:tcPr>
            <w:tcW w:w="0" w:type="auto"/>
            <w:tcBorders>
              <w:top w:val="nil"/>
              <w:left w:val="nil"/>
              <w:right w:val="nil"/>
            </w:tcBorders>
            <w:shd w:val="clear" w:color="auto" w:fill="auto"/>
          </w:tcPr>
          <w:p w14:paraId="53BDD5BB" w14:textId="5EB8DE0E" w:rsidR="008158FB" w:rsidRPr="00CA4DD7" w:rsidRDefault="00314FA6" w:rsidP="008158FB">
            <w:pPr>
              <w:spacing w:after="0"/>
              <w:rPr>
                <w:rFonts w:eastAsia="Times New Roman" w:cs="Times New Roman"/>
                <w:szCs w:val="24"/>
                <w:lang w:eastAsia="pt-BR"/>
              </w:rPr>
            </w:pPr>
            <w:r w:rsidRPr="00CA4DD7">
              <w:rPr>
                <w:rFonts w:cs="Times New Roman"/>
                <w:szCs w:val="24"/>
              </w:rPr>
              <w:t>not performed</w:t>
            </w:r>
          </w:p>
        </w:tc>
      </w:tr>
      <w:tr w:rsidR="00D4689A" w:rsidRPr="00CA4DD7" w14:paraId="2D74C161" w14:textId="77777777" w:rsidTr="0048020D">
        <w:trPr>
          <w:trHeight w:val="773"/>
        </w:trPr>
        <w:tc>
          <w:tcPr>
            <w:tcW w:w="0" w:type="auto"/>
            <w:tcBorders>
              <w:top w:val="nil"/>
              <w:left w:val="nil"/>
              <w:right w:val="nil"/>
            </w:tcBorders>
            <w:shd w:val="clear" w:color="auto" w:fill="D9D9D9" w:themeFill="background1" w:themeFillShade="D9"/>
          </w:tcPr>
          <w:p w14:paraId="022AF4AE" w14:textId="71AAEFA8" w:rsidR="008158FB" w:rsidRPr="00CA4DD7" w:rsidRDefault="00A73A66" w:rsidP="008158FB">
            <w:pPr>
              <w:spacing w:after="0"/>
              <w:rPr>
                <w:rFonts w:eastAsia="Times New Roman" w:cs="Times New Roman"/>
                <w:szCs w:val="24"/>
                <w:lang w:eastAsia="pt-BR"/>
              </w:rPr>
            </w:pPr>
            <w:proofErr w:type="spellStart"/>
            <w:r w:rsidRPr="00CA4DD7">
              <w:rPr>
                <w:rFonts w:cs="Times New Roman"/>
                <w:szCs w:val="24"/>
              </w:rPr>
              <w:t>Niu</w:t>
            </w:r>
            <w:proofErr w:type="spellEnd"/>
            <w:r w:rsidRPr="00CA4DD7">
              <w:rPr>
                <w:rFonts w:cs="Times New Roman"/>
                <w:szCs w:val="24"/>
              </w:rPr>
              <w:t xml:space="preserve"> et al., 2015</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o6RO18Wi","properties":{"formattedCitation":"[9]","plainCitation":"[9]","noteIndex":0},"citationItems":[{"id":21,"uris":["http://zotero.org/users/local/CMEncDpE/items/MBILU6RL"],"uri":["http://zotero.org/users/local/CMEncDpE/items/MBILU6RL"],"itemData":{"id":21,"type":"article-journal","abstract":"Several studies have investigated the association between CYP2C19 polymorphism and clinical outcomes of patients treated with clopidogrel, but few have noticed the difference in association between Westerners and Asians. We searched MEDLINE, EMBASE and Cochrane Library database and conducted a systematic review and meta-analysis. Thirty-six studies involving 44 655 patients with coronary artery disease (CAD) treated with clopidogrel were included, of which more than 68% had undergone percutaneous coronary intervention (PCI). The primary outcome of our interest was the recurrence of major adverse cardiovascular events (MACE) in those CAD patients. Firstly, we found that the distribution of reduced-function CYP2C19 allele varied between Westerners and Asians. Among Asians, 1 and 2 reduced-function CYP2C19 mutant allele carriers accounted for 42.5% and 10%, respectively. While among Westerners, 1 and 2 reduced-function CYP2C19 mutant allele carriers accounted for 25.5% and 2.4%, respectively. Secondly, the impact of CYP2C19 polymorphism on clinical outcomes of patients treated with clopidogrel varied with races. Among Asians, only 2 reduced-function CYP2C19 mutant allele carriers had the reduced effect of clopidogrel. And the reduced effect was significant only after the 30th day of treatment. While among Westerners, both 1 and 2 reduced-function CYP2C19 allele carriers had the reduced effect, and it mainly occurred within the first 30 days. Thirdly, the safety of clopidogrel was almost the same among races. Reduced-function allele non-carriers had higher risk for total bleeding but did not have higher risk for major bleeding. It is suggested that CYP2C19 polymorphism affects the efficacy of clopidogrel differently among Westerners and Asians.","container-title":"Journal of Huazhong University of Science and Technology. Medical Sciences = Hua Zhong Ke Ji Da Xue Xue Bao. Yi Xue Ying De Wen Ban = Huazhong Keji Daxue Xuebao. Yixue Yingdewen Ban","DOI":"10.1007/s11596-015-1404-7","ISSN":"1672-0733","issue":"2","journalAbbreviation":"J Huazhong Univ Sci Technolog Med Sci","language":"eng","note":"PMID: 25877345","page":"147-156","source":"PubMed","title":"CYP2C19 polymorphism and clinical outcomes among patients of different races treated with clopidogrel: A systematic review and meta-analysis","title-short":"CYP2C19 polymorphism and clinical outcomes among patients of different races treated with clopidogrel","volume":"35","author":[{"family":"Niu","given":"Xuan"},{"family":"Mao","given":"Ling"},{"family":"Huang","given":"Yan"},{"family":"Baral","given":"Suraj"},{"family":"Li","given":"Jian-Yong"},{"family":"Gao","given":"Yuan"},{"family":"Xia","given":"Yuan-Peng"},{"family":"He","given":"Quan-Wei"},{"family":"Wang","given":"Meng-Die"},{"family":"Li","given":"Man"},{"family":"Zou","given":"Li"},{"family":"Miao","given":"Xiao-Ping"},{"family":"Hu","given":"Bo"}],"issued":{"date-parts":[["2015",4]]}}}],"schema":"https://github.com/citation-style-language/schema/raw/master/csl-citation.json"} </w:instrText>
            </w:r>
            <w:r w:rsidR="00495DFF">
              <w:rPr>
                <w:rFonts w:cs="Times New Roman"/>
                <w:szCs w:val="24"/>
              </w:rPr>
              <w:fldChar w:fldCharType="separate"/>
            </w:r>
            <w:r w:rsidR="00495DFF" w:rsidRPr="00495DFF">
              <w:rPr>
                <w:rFonts w:cs="Times New Roman"/>
              </w:rPr>
              <w:t>[9]</w:t>
            </w:r>
            <w:r w:rsidR="00495DFF">
              <w:rPr>
                <w:rFonts w:cs="Times New Roman"/>
                <w:szCs w:val="24"/>
              </w:rPr>
              <w:fldChar w:fldCharType="end"/>
            </w:r>
          </w:p>
        </w:tc>
        <w:tc>
          <w:tcPr>
            <w:tcW w:w="0" w:type="auto"/>
            <w:tcBorders>
              <w:top w:val="nil"/>
              <w:left w:val="nil"/>
              <w:right w:val="nil"/>
            </w:tcBorders>
            <w:shd w:val="clear" w:color="auto" w:fill="D9D9D9" w:themeFill="background1" w:themeFillShade="D9"/>
          </w:tcPr>
          <w:p w14:paraId="44F96B49" w14:textId="2BADC384"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to </w:t>
            </w:r>
            <w:r w:rsidR="002C6D73" w:rsidRPr="00CA4DD7">
              <w:rPr>
                <w:rFonts w:cs="Times New Roman"/>
                <w:szCs w:val="24"/>
              </w:rPr>
              <w:t xml:space="preserve">perform </w:t>
            </w:r>
            <w:r w:rsidRPr="00CA4DD7">
              <w:rPr>
                <w:rFonts w:cs="Times New Roman"/>
                <w:szCs w:val="24"/>
              </w:rPr>
              <w:t>a more comprehensive investigation, which not only takes ethnic factor into consideration</w:t>
            </w:r>
            <w:r w:rsidR="002C6D73" w:rsidRPr="00CA4DD7">
              <w:rPr>
                <w:rFonts w:cs="Times New Roman"/>
                <w:szCs w:val="24"/>
              </w:rPr>
              <w:t>,</w:t>
            </w:r>
            <w:r w:rsidRPr="00CA4DD7">
              <w:rPr>
                <w:rFonts w:cs="Times New Roman"/>
                <w:szCs w:val="24"/>
              </w:rPr>
              <w:t xml:space="preserve"> but also adjusts the time factor and predicts </w:t>
            </w:r>
            <w:r w:rsidR="0068747D" w:rsidRPr="00CA4DD7">
              <w:rPr>
                <w:rFonts w:cs="Times New Roman"/>
                <w:szCs w:val="24"/>
              </w:rPr>
              <w:t xml:space="preserve">the </w:t>
            </w:r>
            <w:r w:rsidR="00401549" w:rsidRPr="00CA4DD7">
              <w:rPr>
                <w:rFonts w:cs="Times New Roman"/>
                <w:i/>
                <w:szCs w:val="24"/>
              </w:rPr>
              <w:t>CYP2C19</w:t>
            </w:r>
            <w:r w:rsidRPr="00CA4DD7">
              <w:rPr>
                <w:rFonts w:cs="Times New Roman"/>
                <w:szCs w:val="24"/>
              </w:rPr>
              <w:t xml:space="preserve"> metabolic phenotype according to</w:t>
            </w:r>
            <w:r w:rsidR="00BA67BD" w:rsidRPr="00CA4DD7">
              <w:rPr>
                <w:rFonts w:cs="Times New Roman"/>
                <w:szCs w:val="24"/>
              </w:rPr>
              <w:t xml:space="preserve"> the</w:t>
            </w:r>
            <w:r w:rsidRPr="00CA4DD7">
              <w:rPr>
                <w:rFonts w:cs="Times New Roman"/>
                <w:szCs w:val="24"/>
              </w:rPr>
              <w:t xml:space="preserve"> </w:t>
            </w:r>
            <w:r w:rsidR="00401549" w:rsidRPr="00CA4DD7">
              <w:rPr>
                <w:rFonts w:cs="Times New Roman"/>
                <w:i/>
                <w:szCs w:val="24"/>
              </w:rPr>
              <w:t>CYP2C19</w:t>
            </w:r>
            <w:r w:rsidRPr="00CA4DD7">
              <w:rPr>
                <w:rFonts w:cs="Times New Roman"/>
                <w:szCs w:val="24"/>
              </w:rPr>
              <w:t xml:space="preserve"> genotype</w:t>
            </w:r>
          </w:p>
        </w:tc>
        <w:tc>
          <w:tcPr>
            <w:tcW w:w="0" w:type="auto"/>
            <w:tcBorders>
              <w:top w:val="nil"/>
              <w:left w:val="nil"/>
              <w:right w:val="nil"/>
            </w:tcBorders>
            <w:shd w:val="clear" w:color="auto" w:fill="D9D9D9" w:themeFill="background1" w:themeFillShade="D9"/>
          </w:tcPr>
          <w:p w14:paraId="2F95B294" w14:textId="71B6D8BF"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tcBorders>
              <w:top w:val="nil"/>
              <w:left w:val="nil"/>
              <w:right w:val="nil"/>
            </w:tcBorders>
            <w:shd w:val="clear" w:color="auto" w:fill="D9D9D9" w:themeFill="background1" w:themeFillShade="D9"/>
          </w:tcPr>
          <w:p w14:paraId="1CF0A731" w14:textId="3C66DA8E" w:rsidR="008158FB" w:rsidRPr="00CA4DD7" w:rsidRDefault="008158FB" w:rsidP="008158FB">
            <w:pPr>
              <w:spacing w:after="0"/>
              <w:rPr>
                <w:rFonts w:eastAsia="Times New Roman" w:cs="Times New Roman"/>
                <w:szCs w:val="24"/>
                <w:lang w:eastAsia="pt-BR"/>
              </w:rPr>
            </w:pPr>
            <w:r w:rsidRPr="00CA4DD7">
              <w:rPr>
                <w:rFonts w:cs="Times New Roman"/>
                <w:szCs w:val="24"/>
              </w:rPr>
              <w:t xml:space="preserve">patients with CAD were treated with clopidogrel; </w:t>
            </w:r>
            <w:proofErr w:type="gramStart"/>
            <w:r w:rsidRPr="00CA4DD7">
              <w:rPr>
                <w:rFonts w:cs="Times New Roman"/>
                <w:szCs w:val="24"/>
              </w:rPr>
              <w:t>reduced-function</w:t>
            </w:r>
            <w:proofErr w:type="gramEnd"/>
            <w:r w:rsidRPr="00CA4DD7">
              <w:rPr>
                <w:rFonts w:cs="Times New Roman"/>
                <w:szCs w:val="24"/>
              </w:rPr>
              <w:t xml:space="preserve"> </w:t>
            </w:r>
            <w:r w:rsidR="00401549" w:rsidRPr="00CA4DD7">
              <w:rPr>
                <w:rFonts w:cs="Times New Roman"/>
                <w:i/>
                <w:szCs w:val="24"/>
              </w:rPr>
              <w:t>CYP2C19</w:t>
            </w:r>
            <w:r w:rsidRPr="00CA4DD7">
              <w:rPr>
                <w:rFonts w:cs="Times New Roman"/>
                <w:szCs w:val="24"/>
              </w:rPr>
              <w:t xml:space="preserve"> alleles w</w:t>
            </w:r>
            <w:r w:rsidR="00737240" w:rsidRPr="00CA4DD7">
              <w:rPr>
                <w:rFonts w:cs="Times New Roman"/>
                <w:szCs w:val="24"/>
              </w:rPr>
              <w:t>ere</w:t>
            </w:r>
            <w:r w:rsidRPr="00CA4DD7">
              <w:rPr>
                <w:rFonts w:cs="Times New Roman"/>
                <w:szCs w:val="24"/>
              </w:rPr>
              <w:t xml:space="preserve"> tested</w:t>
            </w:r>
          </w:p>
        </w:tc>
        <w:tc>
          <w:tcPr>
            <w:tcW w:w="0" w:type="auto"/>
            <w:tcBorders>
              <w:top w:val="nil"/>
              <w:left w:val="nil"/>
              <w:right w:val="nil"/>
            </w:tcBorders>
            <w:shd w:val="clear" w:color="auto" w:fill="D9D9D9" w:themeFill="background1" w:themeFillShade="D9"/>
          </w:tcPr>
          <w:p w14:paraId="574ACAF5" w14:textId="150C0BCB" w:rsidR="008158FB" w:rsidRPr="00CA4DD7" w:rsidRDefault="008158FB" w:rsidP="008158FB">
            <w:pPr>
              <w:spacing w:after="0"/>
              <w:rPr>
                <w:rFonts w:eastAsia="Times New Roman" w:cs="Times New Roman"/>
                <w:szCs w:val="24"/>
                <w:lang w:eastAsia="pt-BR"/>
              </w:rPr>
            </w:pPr>
            <w:r w:rsidRPr="00CA4DD7">
              <w:rPr>
                <w:rFonts w:cs="Times New Roman"/>
                <w:szCs w:val="24"/>
              </w:rPr>
              <w:t>3</w:t>
            </w:r>
          </w:p>
        </w:tc>
        <w:tc>
          <w:tcPr>
            <w:tcW w:w="0" w:type="auto"/>
            <w:tcBorders>
              <w:top w:val="nil"/>
              <w:left w:val="nil"/>
              <w:right w:val="nil"/>
            </w:tcBorders>
            <w:shd w:val="clear" w:color="auto" w:fill="D9D9D9" w:themeFill="background1" w:themeFillShade="D9"/>
          </w:tcPr>
          <w:p w14:paraId="6B58EFC5" w14:textId="2A8001E4" w:rsidR="008158FB" w:rsidRPr="00CA4DD7" w:rsidRDefault="00504F40" w:rsidP="008158FB">
            <w:pPr>
              <w:spacing w:after="0"/>
              <w:rPr>
                <w:rFonts w:eastAsia="Times New Roman" w:cs="Times New Roman"/>
                <w:szCs w:val="24"/>
                <w:lang w:eastAsia="pt-BR"/>
              </w:rPr>
            </w:pPr>
            <w:r w:rsidRPr="00CA4DD7">
              <w:rPr>
                <w:rFonts w:cs="Times New Roman"/>
                <w:szCs w:val="24"/>
              </w:rPr>
              <w:t>f</w:t>
            </w:r>
            <w:r w:rsidR="009F3EB3" w:rsidRPr="00CA4DD7">
              <w:rPr>
                <w:rFonts w:cs="Times New Roman"/>
                <w:szCs w:val="24"/>
              </w:rPr>
              <w:t xml:space="preserve">rom </w:t>
            </w:r>
            <w:r w:rsidR="00160A7B" w:rsidRPr="00CA4DD7">
              <w:rPr>
                <w:rFonts w:cs="Times New Roman"/>
                <w:szCs w:val="24"/>
              </w:rPr>
              <w:t>its</w:t>
            </w:r>
            <w:r w:rsidR="00C01CFA" w:rsidRPr="00CA4DD7">
              <w:rPr>
                <w:rFonts w:cs="Times New Roman"/>
                <w:szCs w:val="24"/>
              </w:rPr>
              <w:t xml:space="preserve"> </w:t>
            </w:r>
            <w:r w:rsidR="008158FB" w:rsidRPr="00CA4DD7">
              <w:rPr>
                <w:rFonts w:cs="Times New Roman"/>
                <w:szCs w:val="24"/>
              </w:rPr>
              <w:t xml:space="preserve">inception to </w:t>
            </w:r>
            <w:r w:rsidR="007A6F33" w:rsidRPr="00CA4DD7">
              <w:rPr>
                <w:rFonts w:cs="Times New Roman"/>
                <w:szCs w:val="24"/>
              </w:rPr>
              <w:t xml:space="preserve">Aug </w:t>
            </w:r>
            <w:r w:rsidR="008158FB" w:rsidRPr="00CA4DD7">
              <w:rPr>
                <w:rFonts w:cs="Times New Roman"/>
                <w:szCs w:val="24"/>
              </w:rPr>
              <w:t>2013</w:t>
            </w:r>
          </w:p>
        </w:tc>
        <w:tc>
          <w:tcPr>
            <w:tcW w:w="0" w:type="auto"/>
            <w:tcBorders>
              <w:top w:val="nil"/>
              <w:left w:val="nil"/>
              <w:right w:val="nil"/>
            </w:tcBorders>
            <w:shd w:val="clear" w:color="auto" w:fill="D9D9D9" w:themeFill="background1" w:themeFillShade="D9"/>
          </w:tcPr>
          <w:p w14:paraId="4DF33F71" w14:textId="6C6BB8F9" w:rsidR="008158FB" w:rsidRPr="00CA4DD7" w:rsidRDefault="008158FB">
            <w:pPr>
              <w:spacing w:after="0"/>
              <w:rPr>
                <w:rFonts w:eastAsia="Times New Roman" w:cs="Times New Roman"/>
                <w:szCs w:val="24"/>
                <w:lang w:eastAsia="pt-BR"/>
              </w:rPr>
            </w:pPr>
            <w:r w:rsidRPr="00CA4DD7">
              <w:rPr>
                <w:rFonts w:cs="Times New Roman"/>
                <w:szCs w:val="24"/>
              </w:rPr>
              <w:t xml:space="preserve">36; </w:t>
            </w:r>
            <w:r w:rsidR="003025A8" w:rsidRPr="00CA4DD7">
              <w:rPr>
                <w:rFonts w:cs="Times New Roman"/>
                <w:szCs w:val="24"/>
              </w:rPr>
              <w:t>observational</w:t>
            </w:r>
            <w:r w:rsidR="00482232" w:rsidRPr="00CA4DD7">
              <w:rPr>
                <w:rFonts w:cs="Times New Roman"/>
                <w:szCs w:val="24"/>
              </w:rPr>
              <w:t xml:space="preserve"> </w:t>
            </w:r>
            <w:r w:rsidR="003025A8" w:rsidRPr="00CA4DD7">
              <w:rPr>
                <w:rFonts w:cs="Times New Roman"/>
                <w:szCs w:val="24"/>
              </w:rPr>
              <w:t>s</w:t>
            </w:r>
            <w:r w:rsidR="00482232" w:rsidRPr="00CA4DD7">
              <w:rPr>
                <w:rFonts w:cs="Times New Roman"/>
                <w:szCs w:val="24"/>
              </w:rPr>
              <w:t>tudies</w:t>
            </w:r>
          </w:p>
        </w:tc>
        <w:tc>
          <w:tcPr>
            <w:tcW w:w="0" w:type="auto"/>
            <w:tcBorders>
              <w:top w:val="nil"/>
              <w:left w:val="nil"/>
              <w:right w:val="nil"/>
            </w:tcBorders>
            <w:shd w:val="clear" w:color="auto" w:fill="D9D9D9" w:themeFill="background1" w:themeFillShade="D9"/>
          </w:tcPr>
          <w:p w14:paraId="07D5BB07" w14:textId="3FD4D00E" w:rsidR="008158FB" w:rsidRPr="00CA4DD7" w:rsidRDefault="008158FB" w:rsidP="008158FB">
            <w:pPr>
              <w:spacing w:after="0"/>
              <w:rPr>
                <w:rFonts w:eastAsia="Times New Roman" w:cs="Times New Roman"/>
                <w:szCs w:val="24"/>
                <w:lang w:eastAsia="pt-BR"/>
              </w:rPr>
            </w:pPr>
            <w:r w:rsidRPr="00CA4DD7">
              <w:rPr>
                <w:rFonts w:cs="Times New Roman"/>
                <w:szCs w:val="24"/>
              </w:rPr>
              <w:t>NOS</w:t>
            </w:r>
          </w:p>
        </w:tc>
      </w:tr>
      <w:tr w:rsidR="00D4689A" w:rsidRPr="00CA4DD7" w14:paraId="55DB4C02" w14:textId="77777777" w:rsidTr="0048020D">
        <w:trPr>
          <w:trHeight w:val="773"/>
        </w:trPr>
        <w:tc>
          <w:tcPr>
            <w:tcW w:w="0" w:type="auto"/>
            <w:shd w:val="clear" w:color="auto" w:fill="auto"/>
          </w:tcPr>
          <w:p w14:paraId="557DF2E7" w14:textId="7EA69E37" w:rsidR="008158FB" w:rsidRPr="00CA4DD7" w:rsidRDefault="00A73A66" w:rsidP="008158FB">
            <w:pPr>
              <w:spacing w:after="0"/>
              <w:rPr>
                <w:rFonts w:eastAsia="Times New Roman" w:cs="Times New Roman"/>
                <w:szCs w:val="24"/>
                <w:lang w:eastAsia="pt-BR"/>
              </w:rPr>
            </w:pPr>
            <w:r w:rsidRPr="00CA4DD7">
              <w:rPr>
                <w:rFonts w:cs="Times New Roman"/>
                <w:szCs w:val="24"/>
              </w:rPr>
              <w:t>Pan et al., 2017</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MCkmSniy","properties":{"formattedCitation":"[10]","plainCitation":"[10]","noteIndex":0},"citationItems":[{"id":18,"uris":["http://zotero.org/users/local/CMEncDpE/items/CKJJZ8H6"],"uri":["http://zotero.org/users/local/CMEncDpE/items/CKJJZ8H6"],"itemData":{"id":18,"type":"article-journal","abstract":"BACKGROUND: The association of genetic polymorphisms and clopidogrel efficacy in patients with ischemic stroke or transient ischemic attack (TIA) remains controversial. We performed a systematic review and meta-analysis to assess the association between genetic polymorphisms, especially CYP2C19 genotype, and clopidogrel efficacy for ischemic stroke or TIA.\nMETHODS: We conducted a comprehensive search of PubMed and EMBASE from their inceptions to June 24, 2016. Studies that reported clopidogrel-treated patients with stroke or TIA and with information on genetic polymorphisms were included. The end points were stroke, composite vascular events, and any bleeding.\nRESULTS: Among 15 studies of 4762 patients with stroke or TIA treated with clopidogrel, carriers of CYP2C19 loss-of-function alleles (*2, *3, and *8) were at increased risk of stroke in comparison with noncarriers (12.0% versus 5.8%; risk ratio, 1.92, 95% confidence interval, 1.57-2.35; P&lt;0.001). Composite vascular events were also more frequent in carriers of CYP2C19 loss-of-function alleles than in noncarriers (13.7% versus 9.4%; risk ratio, 1.51, 95% confidence interval, 1.10-2.06; P=0.01), whereas bleeding rates were similar (2.4% versus 3.1%; risk ratio, 0.89, 95% confidence interval, 0.58-1.35; P=0.59). There was no evidence of statistical heterogeneity among the included studies for stroke, but there was for composite vascular events. Genetic variants other than CYP2C19 were not associated with clinical outcomes, with the exception that significant associations of PON1, P2Y12, and COX-1 with outcomes were observed in 1 study.\nCONCLUSIONS: Carriers of CYP2C19 loss-of-function alleles are at greater risk of stroke and composite vascular events than noncarriers among patients with ischemic stroke or TIA treated with clopidogrel.","container-title":"Circulation","DOI":"10.1161/CIRCULATIONAHA.116.024913","ISSN":"1524-4539","issue":"1","journalAbbreviation":"Circulation","language":"eng","note":"PMID: 27806998","page":"21-33","source":"PubMed","title":"Genetic Polymorphisms and Clopidogrel Efficacy for Acute Ischemic Stroke or Transient Ischemic Attack: A Systematic Review and Meta-Analysis","title-short":"Genetic Polymorphisms and Clopidogrel Efficacy for Acute Ischemic Stroke or Transient Ischemic Attack","volume":"135","author":[{"family":"Pan","given":"Yuesong"},{"family":"Chen","given":"Weiqi"},{"family":"Xu","given":"Yun"},{"family":"Yi","given":"Xingyang"},{"family":"Han","given":"Yan"},{"family":"Yang","given":"Qingwu"},{"family":"Li","given":"Xin"},{"family":"Huang","given":"Li'an"},{"family":"Johnston","given":"S. Claiborne"},{"family":"Zhao","given":"Xingquan"},{"family":"Liu","given":"Liping"},{"family":"Zhang","given":"Qi"},{"family":"Wang","given":"Guangyao"},{"family":"Wang","given":"Yongjun"},{"family":"Wang","given":"Yilong"}],"issued":{"date-parts":[["2017",1,3]]}}}],"schema":"https://github.com/citation-style-language/schema/raw/master/csl-citation.json"} </w:instrText>
            </w:r>
            <w:r w:rsidR="00495DFF">
              <w:rPr>
                <w:rFonts w:cs="Times New Roman"/>
                <w:szCs w:val="24"/>
              </w:rPr>
              <w:fldChar w:fldCharType="separate"/>
            </w:r>
            <w:r w:rsidR="00495DFF" w:rsidRPr="00495DFF">
              <w:rPr>
                <w:rFonts w:cs="Times New Roman"/>
              </w:rPr>
              <w:t>[10]</w:t>
            </w:r>
            <w:r w:rsidR="00495DFF">
              <w:rPr>
                <w:rFonts w:cs="Times New Roman"/>
                <w:szCs w:val="24"/>
              </w:rPr>
              <w:fldChar w:fldCharType="end"/>
            </w:r>
          </w:p>
        </w:tc>
        <w:tc>
          <w:tcPr>
            <w:tcW w:w="0" w:type="auto"/>
            <w:shd w:val="clear" w:color="auto" w:fill="auto"/>
          </w:tcPr>
          <w:p w14:paraId="5BDC5B3D" w14:textId="4D8C235B" w:rsidR="008158FB" w:rsidRPr="00CA4DD7" w:rsidRDefault="008158FB" w:rsidP="008158FB">
            <w:pPr>
              <w:spacing w:after="0"/>
              <w:rPr>
                <w:rFonts w:eastAsia="Times New Roman" w:cs="Times New Roman"/>
                <w:szCs w:val="24"/>
                <w:lang w:eastAsia="pt-BR"/>
              </w:rPr>
            </w:pPr>
            <w:r w:rsidRPr="00CA4DD7">
              <w:rPr>
                <w:rFonts w:cs="Times New Roman"/>
                <w:szCs w:val="24"/>
              </w:rPr>
              <w:t>to assess the association between genetic polymorphisms, especially</w:t>
            </w:r>
            <w:r w:rsidR="00407E25" w:rsidRPr="00CA4DD7">
              <w:rPr>
                <w:rFonts w:cs="Times New Roman"/>
                <w:szCs w:val="24"/>
              </w:rPr>
              <w:t xml:space="preserve"> the</w:t>
            </w:r>
            <w:r w:rsidRPr="00CA4DD7">
              <w:rPr>
                <w:rFonts w:cs="Times New Roman"/>
                <w:szCs w:val="24"/>
              </w:rPr>
              <w:t xml:space="preserve"> </w:t>
            </w:r>
            <w:r w:rsidR="00401549" w:rsidRPr="00CA4DD7">
              <w:rPr>
                <w:rFonts w:cs="Times New Roman"/>
                <w:i/>
                <w:szCs w:val="24"/>
              </w:rPr>
              <w:t>CYP2C19</w:t>
            </w:r>
            <w:r w:rsidRPr="00CA4DD7">
              <w:rPr>
                <w:rFonts w:cs="Times New Roman"/>
                <w:szCs w:val="24"/>
              </w:rPr>
              <w:t xml:space="preserve"> genotype, and </w:t>
            </w:r>
            <w:r w:rsidR="00407E25" w:rsidRPr="00CA4DD7">
              <w:rPr>
                <w:rFonts w:cs="Times New Roman"/>
                <w:szCs w:val="24"/>
              </w:rPr>
              <w:t xml:space="preserve">the </w:t>
            </w:r>
            <w:r w:rsidRPr="00CA4DD7">
              <w:rPr>
                <w:rFonts w:cs="Times New Roman"/>
                <w:szCs w:val="24"/>
              </w:rPr>
              <w:t>occurrence of stroke and bleeding in clopidogrel-treated patients with IS/TIA</w:t>
            </w:r>
          </w:p>
        </w:tc>
        <w:tc>
          <w:tcPr>
            <w:tcW w:w="0" w:type="auto"/>
            <w:shd w:val="clear" w:color="auto" w:fill="auto"/>
          </w:tcPr>
          <w:p w14:paraId="2FA50C67" w14:textId="26D0A2DC" w:rsidR="008158FB" w:rsidRPr="00CA4DD7" w:rsidRDefault="008158FB" w:rsidP="008158FB">
            <w:pPr>
              <w:spacing w:after="0"/>
              <w:rPr>
                <w:rFonts w:eastAsia="Times New Roman" w:cs="Times New Roman"/>
                <w:szCs w:val="24"/>
                <w:lang w:eastAsia="pt-BR"/>
              </w:rPr>
            </w:pPr>
            <w:r w:rsidRPr="00CA4DD7">
              <w:rPr>
                <w:rFonts w:cs="Times New Roman"/>
                <w:szCs w:val="24"/>
              </w:rPr>
              <w:t>not specified</w:t>
            </w:r>
          </w:p>
        </w:tc>
        <w:tc>
          <w:tcPr>
            <w:tcW w:w="0" w:type="auto"/>
            <w:shd w:val="clear" w:color="auto" w:fill="auto"/>
          </w:tcPr>
          <w:p w14:paraId="69D98BB4" w14:textId="107E2804" w:rsidR="008158FB" w:rsidRPr="00CA4DD7" w:rsidRDefault="008158FB" w:rsidP="008158FB">
            <w:pPr>
              <w:spacing w:after="0"/>
              <w:rPr>
                <w:rFonts w:eastAsia="Times New Roman" w:cs="Times New Roman"/>
                <w:szCs w:val="24"/>
                <w:lang w:eastAsia="pt-BR"/>
              </w:rPr>
            </w:pPr>
            <w:r w:rsidRPr="00CA4DD7">
              <w:rPr>
                <w:rFonts w:cs="Times New Roman"/>
                <w:szCs w:val="24"/>
              </w:rPr>
              <w:t>association of genetic polymorphisms with responsiveness to clopidogrel therapy in patients with IS/TIA</w:t>
            </w:r>
          </w:p>
        </w:tc>
        <w:tc>
          <w:tcPr>
            <w:tcW w:w="0" w:type="auto"/>
            <w:shd w:val="clear" w:color="auto" w:fill="auto"/>
          </w:tcPr>
          <w:p w14:paraId="59D172BF" w14:textId="26C84ED1" w:rsidR="008158FB" w:rsidRPr="00CA4DD7" w:rsidRDefault="008158FB" w:rsidP="008158FB">
            <w:pPr>
              <w:spacing w:after="0"/>
              <w:rPr>
                <w:rFonts w:eastAsia="Times New Roman" w:cs="Times New Roman"/>
                <w:szCs w:val="24"/>
                <w:lang w:eastAsia="pt-BR"/>
              </w:rPr>
            </w:pPr>
            <w:r w:rsidRPr="00CA4DD7">
              <w:rPr>
                <w:rFonts w:cs="Times New Roman"/>
                <w:szCs w:val="24"/>
              </w:rPr>
              <w:t>7</w:t>
            </w:r>
          </w:p>
        </w:tc>
        <w:tc>
          <w:tcPr>
            <w:tcW w:w="0" w:type="auto"/>
            <w:shd w:val="clear" w:color="auto" w:fill="auto"/>
          </w:tcPr>
          <w:p w14:paraId="532BFAFA" w14:textId="1B2DA49E" w:rsidR="008158FB" w:rsidRPr="00CA4DD7" w:rsidRDefault="00504F40" w:rsidP="008158FB">
            <w:pPr>
              <w:spacing w:after="0"/>
              <w:rPr>
                <w:rFonts w:eastAsia="Times New Roman" w:cs="Times New Roman"/>
                <w:szCs w:val="24"/>
                <w:lang w:eastAsia="pt-BR"/>
              </w:rPr>
            </w:pPr>
            <w:r w:rsidRPr="00CA4DD7">
              <w:rPr>
                <w:rFonts w:cs="Times New Roman"/>
                <w:szCs w:val="24"/>
              </w:rPr>
              <w:t>f</w:t>
            </w:r>
            <w:r w:rsidR="00483BE0" w:rsidRPr="00CA4DD7">
              <w:rPr>
                <w:rFonts w:cs="Times New Roman"/>
                <w:szCs w:val="24"/>
              </w:rPr>
              <w:t>rom</w:t>
            </w:r>
            <w:r w:rsidR="00160A7B" w:rsidRPr="00CA4DD7">
              <w:rPr>
                <w:rFonts w:cs="Times New Roman"/>
                <w:szCs w:val="24"/>
              </w:rPr>
              <w:t xml:space="preserve"> its</w:t>
            </w:r>
            <w:r w:rsidR="00483BE0" w:rsidRPr="00CA4DD7">
              <w:rPr>
                <w:rFonts w:cs="Times New Roman"/>
                <w:szCs w:val="24"/>
              </w:rPr>
              <w:t xml:space="preserve"> </w:t>
            </w:r>
            <w:r w:rsidR="008158FB" w:rsidRPr="00CA4DD7">
              <w:rPr>
                <w:rFonts w:cs="Times New Roman"/>
                <w:szCs w:val="24"/>
              </w:rPr>
              <w:t xml:space="preserve">inception to </w:t>
            </w:r>
            <w:r w:rsidR="007A6F33" w:rsidRPr="00CA4DD7">
              <w:rPr>
                <w:rFonts w:cs="Times New Roman"/>
                <w:szCs w:val="24"/>
              </w:rPr>
              <w:t xml:space="preserve">Jun </w:t>
            </w:r>
            <w:r w:rsidR="008158FB" w:rsidRPr="00CA4DD7">
              <w:rPr>
                <w:rFonts w:cs="Times New Roman"/>
                <w:szCs w:val="24"/>
              </w:rPr>
              <w:t>2016</w:t>
            </w:r>
          </w:p>
        </w:tc>
        <w:tc>
          <w:tcPr>
            <w:tcW w:w="0" w:type="auto"/>
            <w:shd w:val="clear" w:color="auto" w:fill="auto"/>
          </w:tcPr>
          <w:p w14:paraId="594830BF" w14:textId="49391FD1" w:rsidR="008158FB" w:rsidRPr="00CA4DD7" w:rsidRDefault="008158FB">
            <w:pPr>
              <w:spacing w:after="0"/>
              <w:rPr>
                <w:rFonts w:eastAsia="Times New Roman" w:cs="Times New Roman"/>
                <w:szCs w:val="24"/>
                <w:lang w:eastAsia="pt-BR"/>
              </w:rPr>
            </w:pPr>
            <w:r w:rsidRPr="00CA4DD7">
              <w:rPr>
                <w:rFonts w:cs="Times New Roman"/>
                <w:szCs w:val="24"/>
              </w:rPr>
              <w:t xml:space="preserve">15; </w:t>
            </w:r>
            <w:r w:rsidR="003025A8" w:rsidRPr="00CA4DD7">
              <w:rPr>
                <w:rFonts w:cs="Times New Roman"/>
                <w:szCs w:val="24"/>
              </w:rPr>
              <w:t>observational</w:t>
            </w:r>
            <w:r w:rsidR="00482232" w:rsidRPr="00CA4DD7">
              <w:rPr>
                <w:rFonts w:cs="Times New Roman"/>
                <w:szCs w:val="24"/>
              </w:rPr>
              <w:t xml:space="preserve"> </w:t>
            </w:r>
            <w:r w:rsidR="003025A8" w:rsidRPr="00CA4DD7">
              <w:rPr>
                <w:rFonts w:cs="Times New Roman"/>
                <w:szCs w:val="24"/>
              </w:rPr>
              <w:t>s</w:t>
            </w:r>
            <w:r w:rsidR="00482232" w:rsidRPr="00CA4DD7">
              <w:rPr>
                <w:rFonts w:cs="Times New Roman"/>
                <w:szCs w:val="24"/>
              </w:rPr>
              <w:t>tudies</w:t>
            </w:r>
          </w:p>
        </w:tc>
        <w:tc>
          <w:tcPr>
            <w:tcW w:w="0" w:type="auto"/>
            <w:shd w:val="clear" w:color="auto" w:fill="auto"/>
          </w:tcPr>
          <w:p w14:paraId="4182E6C1" w14:textId="545D7FD8" w:rsidR="008158FB" w:rsidRPr="00CA4DD7" w:rsidRDefault="008158FB" w:rsidP="008158FB">
            <w:pPr>
              <w:spacing w:after="0"/>
              <w:rPr>
                <w:rFonts w:eastAsia="Times New Roman" w:cs="Times New Roman"/>
                <w:szCs w:val="24"/>
                <w:lang w:eastAsia="pt-BR"/>
              </w:rPr>
            </w:pPr>
            <w:r w:rsidRPr="00CA4DD7">
              <w:rPr>
                <w:rFonts w:cs="Times New Roman"/>
                <w:szCs w:val="24"/>
              </w:rPr>
              <w:t>NOS</w:t>
            </w:r>
          </w:p>
        </w:tc>
      </w:tr>
      <w:tr w:rsidR="00D4689A" w:rsidRPr="00CA4DD7" w14:paraId="3173E321" w14:textId="77777777" w:rsidTr="00E92BE7">
        <w:trPr>
          <w:trHeight w:val="567"/>
        </w:trPr>
        <w:tc>
          <w:tcPr>
            <w:tcW w:w="0" w:type="auto"/>
            <w:shd w:val="clear" w:color="auto" w:fill="D9D9D9" w:themeFill="background1" w:themeFillShade="D9"/>
          </w:tcPr>
          <w:p w14:paraId="54477A27" w14:textId="4343A749" w:rsidR="0048020D" w:rsidRPr="00CA4DD7" w:rsidRDefault="0048020D" w:rsidP="0048020D">
            <w:pPr>
              <w:spacing w:after="0"/>
              <w:rPr>
                <w:rFonts w:cs="Times New Roman"/>
                <w:szCs w:val="24"/>
              </w:rPr>
            </w:pPr>
            <w:r w:rsidRPr="00CA4DD7">
              <w:rPr>
                <w:rFonts w:cs="Times New Roman"/>
                <w:szCs w:val="24"/>
              </w:rPr>
              <w:t>Sofi et al., 2011</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cn5TKf3D","properties":{"formattedCitation":"[11]","plainCitation":"[11]","noteIndex":0},"citationItems":[{"id":15,"uris":["http://zotero.org/users/local/CMEncDpE/items/PVNIYJ5P"],"uri":["http://zotero.org/users/local/CMEncDpE/items/PVNIYJ5P"],"itemData":{"id":15,"type":"article-journal","abstract":"Several polymorphisms in genes that encode platelet components (receptors or enzymes), or cytochrome P450 enzyme isoforms, involved in clopidogrel metabolism, have been proposed as possible mechanisms for nonresponsiveness to clopidogrel. Among them, a great deal of attention has been focused on the loss-of-function CYP2C19(*)2 (or 681 G &gt; A) polymorphism. We performed a meta-analysis of all the prospective studies that have been published, which analyze the role of such a polymorphism in recurrent cardiovascular events in patients with coronary artery disease (CAD) being treated with clopidogrel. Studies were searched in MedLine, Embase, Web of Science, The Cochrane Systematic Review Database, Google Scholar and bibliographies of retrieved articles up to January 2010. The principal underlying hypothesis was that the presence of the (*)2 variant allele of the polymorphism would be associated with an increased risk of clinical recurrence. Data were available for a total of 8043 patients from seven cohort prospective studies, who were followed for a period of time ranging from 6 months to 8.3 years. The summary risk ratios (RRs) for the prospective cohort studies included showed a significant association between the CYP2C19(*)2 polymorphism and an increased risk of major adverse cardiovascular events in the follow-up (RR: 1.96 (1.14-3.37); P = 0.02). When studies evaluating stent thrombosis (n = 4) for a total of 4975 patients were considered, the presence of the variant allele was associated with an increased risk of stent thrombosis (RR: 3.82 (2.23-6.54); P = 0.0001). The current meta-analysis, carried out on nearly 8000 patients with CAD undergoing clopidogrel treatment, shows that the CYP2C19(*)2 polymorphism is associated with an increased risk of major adverse cardiovascular events and stent thrombosis.","container-title":"The Pharmacogenomics Journal","DOI":"10.1038/tpj.2010.21","ISSN":"1473-1150","issue":"3","journalAbbreviation":"Pharmacogenomics J","language":"eng","note":"PMID: 20351750","page":"199-206","source":"PubMed","title":"Cytochrome P450 2C19*2 polymorphism and cardiovascular recurrences in patients taking clopidogrel: a meta-analysis","title-short":"Cytochrome P450 2C19*2 polymorphism and cardiovascular recurrences in patients taking clopidogrel","volume":"11","author":[{"family":"Sofi","given":"F."},{"family":"Giusti","given":"B."},{"family":"Marcucci","given":"R."},{"family":"Gori","given":"A. M."},{"family":"Abbate","given":"R."},{"family":"Gensini","given":"G. F."}],"issued":{"date-parts":[["2011",6]]}}}],"schema":"https://github.com/citation-style-language/schema/raw/master/csl-citation.json"} </w:instrText>
            </w:r>
            <w:r w:rsidR="00495DFF">
              <w:rPr>
                <w:rFonts w:cs="Times New Roman"/>
                <w:szCs w:val="24"/>
              </w:rPr>
              <w:fldChar w:fldCharType="separate"/>
            </w:r>
            <w:r w:rsidR="00495DFF" w:rsidRPr="00495DFF">
              <w:rPr>
                <w:rFonts w:cs="Times New Roman"/>
              </w:rPr>
              <w:t>[11]</w:t>
            </w:r>
            <w:r w:rsidR="00495DFF">
              <w:rPr>
                <w:rFonts w:cs="Times New Roman"/>
                <w:szCs w:val="24"/>
              </w:rPr>
              <w:fldChar w:fldCharType="end"/>
            </w:r>
          </w:p>
        </w:tc>
        <w:tc>
          <w:tcPr>
            <w:tcW w:w="0" w:type="auto"/>
            <w:shd w:val="clear" w:color="auto" w:fill="D9D9D9" w:themeFill="background1" w:themeFillShade="D9"/>
          </w:tcPr>
          <w:p w14:paraId="5526067B" w14:textId="2823117C" w:rsidR="0048020D" w:rsidRPr="00CA4DD7" w:rsidRDefault="0048020D" w:rsidP="0048020D">
            <w:pPr>
              <w:spacing w:after="0"/>
              <w:rPr>
                <w:rFonts w:cs="Times New Roman"/>
                <w:szCs w:val="24"/>
              </w:rPr>
            </w:pPr>
            <w:r w:rsidRPr="00CA4DD7">
              <w:rPr>
                <w:rFonts w:cs="Times New Roman"/>
                <w:szCs w:val="24"/>
              </w:rPr>
              <w:t xml:space="preserve">to conduct a systematic review of all the published prospective cohort studies that have investigated the </w:t>
            </w:r>
            <w:r w:rsidRPr="00CA4DD7">
              <w:rPr>
                <w:rFonts w:cs="Times New Roman"/>
                <w:i/>
                <w:szCs w:val="24"/>
              </w:rPr>
              <w:t>CYP2C19</w:t>
            </w:r>
            <w:r w:rsidRPr="00CA4DD7">
              <w:rPr>
                <w:rFonts w:cs="Times New Roman"/>
                <w:szCs w:val="24"/>
              </w:rPr>
              <w:t xml:space="preserve"> *2 polymorphism in relation to adverse clinical outcome </w:t>
            </w:r>
            <w:r w:rsidRPr="00CA4DD7">
              <w:rPr>
                <w:rFonts w:cs="Times New Roman"/>
                <w:szCs w:val="24"/>
              </w:rPr>
              <w:lastRenderedPageBreak/>
              <w:t>in CAD patients who were undergoing clopidogrel treatment</w:t>
            </w:r>
          </w:p>
        </w:tc>
        <w:tc>
          <w:tcPr>
            <w:tcW w:w="0" w:type="auto"/>
            <w:shd w:val="clear" w:color="auto" w:fill="D9D9D9" w:themeFill="background1" w:themeFillShade="D9"/>
          </w:tcPr>
          <w:p w14:paraId="2ED36E22" w14:textId="6462930B" w:rsidR="0048020D" w:rsidRPr="00CA4DD7" w:rsidRDefault="0048020D" w:rsidP="0048020D">
            <w:pPr>
              <w:spacing w:after="0"/>
              <w:rPr>
                <w:rFonts w:cs="Times New Roman"/>
                <w:szCs w:val="24"/>
              </w:rPr>
            </w:pPr>
            <w:r w:rsidRPr="00CA4DD7">
              <w:rPr>
                <w:rFonts w:cs="Times New Roman"/>
                <w:szCs w:val="24"/>
              </w:rPr>
              <w:lastRenderedPageBreak/>
              <w:t>not specified</w:t>
            </w:r>
          </w:p>
        </w:tc>
        <w:tc>
          <w:tcPr>
            <w:tcW w:w="0" w:type="auto"/>
            <w:shd w:val="clear" w:color="auto" w:fill="D9D9D9" w:themeFill="background1" w:themeFillShade="D9"/>
          </w:tcPr>
          <w:p w14:paraId="0034D2D7" w14:textId="34AFF466" w:rsidR="0048020D" w:rsidRPr="00CA4DD7" w:rsidRDefault="0048020D" w:rsidP="0048020D">
            <w:pPr>
              <w:spacing w:after="0"/>
              <w:rPr>
                <w:rFonts w:cs="Times New Roman"/>
                <w:szCs w:val="24"/>
              </w:rPr>
            </w:pPr>
            <w:r w:rsidRPr="00CA4DD7">
              <w:rPr>
                <w:rFonts w:cs="Times New Roman"/>
                <w:szCs w:val="24"/>
              </w:rPr>
              <w:t xml:space="preserve">evaluation of CAD patients on antiplatelet treatment; evaluation of the </w:t>
            </w:r>
            <w:r w:rsidRPr="00CA4DD7">
              <w:rPr>
                <w:rFonts w:cs="Times New Roman"/>
                <w:i/>
                <w:szCs w:val="24"/>
              </w:rPr>
              <w:t>CYP2C19</w:t>
            </w:r>
            <w:r w:rsidRPr="00CA4DD7">
              <w:rPr>
                <w:rFonts w:cs="Times New Roman"/>
                <w:szCs w:val="24"/>
              </w:rPr>
              <w:t xml:space="preserve"> *2 polymorphism </w:t>
            </w:r>
          </w:p>
        </w:tc>
        <w:tc>
          <w:tcPr>
            <w:tcW w:w="0" w:type="auto"/>
            <w:shd w:val="clear" w:color="auto" w:fill="D9D9D9" w:themeFill="background1" w:themeFillShade="D9"/>
          </w:tcPr>
          <w:p w14:paraId="05893656" w14:textId="5D3FBA01" w:rsidR="0048020D" w:rsidRPr="00CA4DD7" w:rsidRDefault="0048020D" w:rsidP="0048020D">
            <w:pPr>
              <w:spacing w:after="0"/>
              <w:rPr>
                <w:rFonts w:cs="Times New Roman"/>
                <w:szCs w:val="24"/>
              </w:rPr>
            </w:pPr>
            <w:r w:rsidRPr="00CA4DD7">
              <w:rPr>
                <w:rFonts w:cs="Times New Roman"/>
                <w:szCs w:val="24"/>
              </w:rPr>
              <w:t>5</w:t>
            </w:r>
          </w:p>
        </w:tc>
        <w:tc>
          <w:tcPr>
            <w:tcW w:w="0" w:type="auto"/>
            <w:shd w:val="clear" w:color="auto" w:fill="D9D9D9" w:themeFill="background1" w:themeFillShade="D9"/>
          </w:tcPr>
          <w:p w14:paraId="7BF62581" w14:textId="70CFA71B" w:rsidR="0048020D" w:rsidRPr="00CA4DD7" w:rsidRDefault="0048020D" w:rsidP="0048020D">
            <w:pPr>
              <w:spacing w:after="0"/>
              <w:rPr>
                <w:rFonts w:cs="Times New Roman"/>
                <w:szCs w:val="24"/>
              </w:rPr>
            </w:pPr>
            <w:r w:rsidRPr="00CA4DD7">
              <w:rPr>
                <w:rFonts w:cs="Times New Roman"/>
                <w:szCs w:val="24"/>
              </w:rPr>
              <w:t>1966 to Jan 2010; 1980 to Jan 2010</w:t>
            </w:r>
          </w:p>
        </w:tc>
        <w:tc>
          <w:tcPr>
            <w:tcW w:w="0" w:type="auto"/>
            <w:shd w:val="clear" w:color="auto" w:fill="D9D9D9" w:themeFill="background1" w:themeFillShade="D9"/>
          </w:tcPr>
          <w:p w14:paraId="2D09D124" w14:textId="694AA27A" w:rsidR="0048020D" w:rsidRPr="00CA4DD7" w:rsidRDefault="0048020D" w:rsidP="0048020D">
            <w:pPr>
              <w:spacing w:after="0"/>
              <w:rPr>
                <w:rFonts w:cs="Times New Roman"/>
                <w:szCs w:val="24"/>
              </w:rPr>
            </w:pPr>
            <w:r w:rsidRPr="00CA4DD7">
              <w:rPr>
                <w:rFonts w:cs="Times New Roman"/>
                <w:szCs w:val="24"/>
              </w:rPr>
              <w:t>7; observational studies</w:t>
            </w:r>
          </w:p>
        </w:tc>
        <w:tc>
          <w:tcPr>
            <w:tcW w:w="0" w:type="auto"/>
            <w:shd w:val="clear" w:color="auto" w:fill="D9D9D9" w:themeFill="background1" w:themeFillShade="D9"/>
          </w:tcPr>
          <w:p w14:paraId="6CA92EC3" w14:textId="6F482345" w:rsidR="0048020D" w:rsidRPr="00CA4DD7" w:rsidRDefault="0048020D" w:rsidP="0048020D">
            <w:pPr>
              <w:spacing w:after="0"/>
              <w:rPr>
                <w:rFonts w:cs="Times New Roman"/>
                <w:szCs w:val="24"/>
              </w:rPr>
            </w:pPr>
            <w:r w:rsidRPr="00CA4DD7">
              <w:rPr>
                <w:rFonts w:cs="Times New Roman"/>
                <w:szCs w:val="24"/>
              </w:rPr>
              <w:t>not performed</w:t>
            </w:r>
          </w:p>
        </w:tc>
      </w:tr>
      <w:tr w:rsidR="00D4689A" w:rsidRPr="00CA4DD7" w14:paraId="1DDB7395" w14:textId="77777777" w:rsidTr="0048020D">
        <w:trPr>
          <w:trHeight w:val="1698"/>
        </w:trPr>
        <w:tc>
          <w:tcPr>
            <w:tcW w:w="0" w:type="auto"/>
            <w:shd w:val="clear" w:color="auto" w:fill="auto"/>
          </w:tcPr>
          <w:p w14:paraId="0B1E204B" w14:textId="68AC3959" w:rsidR="0048020D" w:rsidRPr="00CA4DD7" w:rsidRDefault="0048020D" w:rsidP="0048020D">
            <w:pPr>
              <w:spacing w:after="0"/>
              <w:rPr>
                <w:rFonts w:eastAsia="Times New Roman" w:cs="Times New Roman"/>
                <w:szCs w:val="24"/>
                <w:lang w:eastAsia="pt-BR"/>
              </w:rPr>
            </w:pPr>
            <w:proofErr w:type="spellStart"/>
            <w:r w:rsidRPr="00CA4DD7">
              <w:rPr>
                <w:rFonts w:cs="Times New Roman"/>
                <w:szCs w:val="24"/>
              </w:rPr>
              <w:t>Sorich</w:t>
            </w:r>
            <w:proofErr w:type="spellEnd"/>
            <w:r w:rsidRPr="00CA4DD7">
              <w:rPr>
                <w:rFonts w:cs="Times New Roman"/>
                <w:szCs w:val="24"/>
              </w:rPr>
              <w:t xml:space="preserve"> et al., 2014</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oJ7dBm8s","properties":{"formattedCitation":"[12]","plainCitation":"[12]","noteIndex":0},"citationItems":[{"id":12,"uris":["http://zotero.org/users/local/CMEncDpE/items/V96DQEE3"],"uri":["http://zotero.org/users/local/CMEncDpE/items/V96DQEE3"],"itemData":{"id":12,"type":"article-journal","abstract":"BACKGROUND: The degree to which cytochrome P450 (CYP) 2C19 genotype influences the effectiveness of clopidogrel remains uncertain because of considerable heterogeneity in results between studies and potential publication bias. Clopidogrel indication and ethnic population have been proposed to influence the effect of CYP2C19 genotype.\nMETHODS AND RESULTS: A systematic review was undertaken up to 14 November 2013. Meta-analysis of the CYP2C19 genotype effect was stratified by the predominant clopidogrel indication (percutaneous coronary intervention [PCI] versus non-PCI) and ethnic population (white versus Asian) of each primary study. The primary analysis was restricted to studies with ≥500 participants, which comprised 24 studies and a total of 36 076 participants. The association between carriage of ≥1 CYP2C19 loss-of-function (LoF) allele and major cardiovascular outcomes differed significantly (P&lt;0.001) between studies of whites not undergoing PCI (relative risk 0.99 [95% confidence interval, 0.84-1.17]; n=7043), whites undergoing PCI (1.20 [1.10-1.31]; n=19,016), and Asians undergoing PCI (1.91 [1.61-2.27]; n=10,017). Similar differences were identified in secondary analyses of 2 CYP2C19 LoF alleles, stent thrombosis outcomes, and studies with ≥200 participants. Minimal heterogeneity was apparent between studies of Asian populations.\nCONCLUSIONS: The reported association between CYP2C19 LoF allele carriage and major cardiovascular outcomes differs based on the ethnic population of the study and, to a lesser extent, the clopidogrel indication. This is potentially of major importance given that over 50% of Asians carry ≥1 CYP2C19 LoF alleles.","container-title":"Circulation. Cardiovascular Genetics","DOI":"10.1161/CIRCGENETICS.114.000669","ISSN":"1942-3268","issue":"6","journalAbbreviation":"Circ Cardiovasc Genet","language":"eng","note":"PMID: 25258374","page":"895-902","source":"PubMed","title":"CYP2C19 genotype has a greater effect on adverse cardiovascular outcomes following percutaneous coronary intervention and in Asian populations treated with clopidogrel: a meta-analysis","title-short":"CYP2C19 genotype has a greater effect on adverse cardiovascular outcomes following percutaneous coronary intervention and in Asian populations treated with clopidogrel","volume":"7","author":[{"family":"Sorich","given":"Michael J."},{"family":"Rowland","given":"Andrew"},{"family":"McKinnon","given":"Ross A."},{"family":"Wiese","given":"Michael D."}],"issued":{"date-parts":[["2014",12]]}}}],"schema":"https://github.com/citation-style-language/schema/raw/master/csl-citation.json"} </w:instrText>
            </w:r>
            <w:r w:rsidR="00495DFF">
              <w:rPr>
                <w:rFonts w:cs="Times New Roman"/>
                <w:szCs w:val="24"/>
              </w:rPr>
              <w:fldChar w:fldCharType="separate"/>
            </w:r>
            <w:r w:rsidR="00495DFF" w:rsidRPr="00495DFF">
              <w:rPr>
                <w:rFonts w:cs="Times New Roman"/>
              </w:rPr>
              <w:t>[12]</w:t>
            </w:r>
            <w:r w:rsidR="00495DFF">
              <w:rPr>
                <w:rFonts w:cs="Times New Roman"/>
                <w:szCs w:val="24"/>
              </w:rPr>
              <w:fldChar w:fldCharType="end"/>
            </w:r>
          </w:p>
        </w:tc>
        <w:tc>
          <w:tcPr>
            <w:tcW w:w="0" w:type="auto"/>
            <w:shd w:val="clear" w:color="auto" w:fill="auto"/>
          </w:tcPr>
          <w:p w14:paraId="1DC98AE1" w14:textId="535E72E1" w:rsidR="0048020D" w:rsidRPr="00CA4DD7" w:rsidRDefault="0048020D" w:rsidP="0048020D">
            <w:pPr>
              <w:spacing w:after="0"/>
              <w:rPr>
                <w:rFonts w:cs="Times New Roman"/>
                <w:szCs w:val="24"/>
              </w:rPr>
            </w:pPr>
            <w:r w:rsidRPr="00CA4DD7">
              <w:rPr>
                <w:rFonts w:cs="Times New Roman"/>
                <w:szCs w:val="24"/>
              </w:rPr>
              <w:t xml:space="preserve">to evaluate the evidence supporting the hypothesis that the effect size associated with the </w:t>
            </w:r>
            <w:r w:rsidRPr="00CA4DD7">
              <w:rPr>
                <w:rFonts w:cs="Times New Roman"/>
                <w:i/>
                <w:szCs w:val="24"/>
              </w:rPr>
              <w:t>CYP2C19</w:t>
            </w:r>
            <w:r w:rsidRPr="00CA4DD7">
              <w:rPr>
                <w:rFonts w:cs="Times New Roman"/>
                <w:szCs w:val="24"/>
              </w:rPr>
              <w:t xml:space="preserve"> LOF allele carriers on the risk of MACE differs between use of clopidogrel for PCI compared with other indications and between white and Asian populations</w:t>
            </w:r>
          </w:p>
        </w:tc>
        <w:tc>
          <w:tcPr>
            <w:tcW w:w="0" w:type="auto"/>
            <w:shd w:val="clear" w:color="auto" w:fill="auto"/>
          </w:tcPr>
          <w:p w14:paraId="57E1A4F7" w14:textId="28F7755D" w:rsidR="0048020D" w:rsidRPr="00CA4DD7" w:rsidRDefault="0048020D" w:rsidP="0048020D">
            <w:pPr>
              <w:spacing w:after="0"/>
              <w:rPr>
                <w:rFonts w:eastAsia="Times New Roman" w:cs="Times New Roman"/>
                <w:szCs w:val="24"/>
                <w:lang w:eastAsia="pt-BR"/>
              </w:rPr>
            </w:pPr>
            <w:r w:rsidRPr="00CA4DD7">
              <w:rPr>
                <w:rFonts w:cs="Times New Roman"/>
                <w:szCs w:val="24"/>
              </w:rPr>
              <w:t xml:space="preserve">white and Asian populations </w:t>
            </w:r>
          </w:p>
        </w:tc>
        <w:tc>
          <w:tcPr>
            <w:tcW w:w="0" w:type="auto"/>
            <w:shd w:val="clear" w:color="auto" w:fill="auto"/>
          </w:tcPr>
          <w:p w14:paraId="06827FA9" w14:textId="405E4131" w:rsidR="0048020D" w:rsidRPr="00CA4DD7" w:rsidRDefault="0048020D" w:rsidP="0048020D">
            <w:pPr>
              <w:spacing w:after="0"/>
              <w:rPr>
                <w:rFonts w:eastAsia="Times New Roman" w:cs="Times New Roman"/>
                <w:szCs w:val="24"/>
                <w:lang w:eastAsia="pt-BR"/>
              </w:rPr>
            </w:pPr>
            <w:r w:rsidRPr="00CA4DD7">
              <w:rPr>
                <w:rFonts w:cs="Times New Roman"/>
                <w:szCs w:val="24"/>
              </w:rPr>
              <w:t xml:space="preserve">participants who used clopidogrel, were genotyped for </w:t>
            </w:r>
            <w:r w:rsidRPr="00CA4DD7">
              <w:rPr>
                <w:rFonts w:cs="Times New Roman"/>
                <w:i/>
                <w:szCs w:val="24"/>
              </w:rPr>
              <w:t>CYP2C19</w:t>
            </w:r>
            <w:r w:rsidRPr="00CA4DD7">
              <w:rPr>
                <w:rFonts w:cs="Times New Roman"/>
                <w:szCs w:val="24"/>
              </w:rPr>
              <w:t xml:space="preserve"> LOF alleles (minimally *2) and reported follow-up for MACE </w:t>
            </w:r>
          </w:p>
        </w:tc>
        <w:tc>
          <w:tcPr>
            <w:tcW w:w="0" w:type="auto"/>
            <w:shd w:val="clear" w:color="auto" w:fill="auto"/>
          </w:tcPr>
          <w:p w14:paraId="57682766" w14:textId="6C77719C" w:rsidR="0048020D" w:rsidRPr="00CA4DD7" w:rsidRDefault="0048020D" w:rsidP="0048020D">
            <w:pPr>
              <w:spacing w:after="0"/>
              <w:rPr>
                <w:rFonts w:eastAsia="Times New Roman" w:cs="Times New Roman"/>
                <w:szCs w:val="24"/>
                <w:lang w:eastAsia="pt-BR"/>
              </w:rPr>
            </w:pPr>
            <w:r w:rsidRPr="00CA4DD7">
              <w:rPr>
                <w:rFonts w:cs="Times New Roman"/>
                <w:szCs w:val="24"/>
              </w:rPr>
              <w:t>4</w:t>
            </w:r>
          </w:p>
        </w:tc>
        <w:tc>
          <w:tcPr>
            <w:tcW w:w="0" w:type="auto"/>
            <w:shd w:val="clear" w:color="auto" w:fill="auto"/>
          </w:tcPr>
          <w:p w14:paraId="51BC45F3" w14:textId="385E454C" w:rsidR="0048020D" w:rsidRPr="00CA4DD7" w:rsidRDefault="0048020D" w:rsidP="0048020D">
            <w:pPr>
              <w:spacing w:after="0"/>
              <w:rPr>
                <w:rFonts w:eastAsia="Times New Roman" w:cs="Times New Roman"/>
                <w:szCs w:val="24"/>
                <w:lang w:eastAsia="pt-BR"/>
              </w:rPr>
            </w:pPr>
            <w:r w:rsidRPr="00CA4DD7">
              <w:rPr>
                <w:rFonts w:cs="Times New Roman"/>
                <w:szCs w:val="24"/>
              </w:rPr>
              <w:t>from its inception to Nov 2014</w:t>
            </w:r>
          </w:p>
        </w:tc>
        <w:tc>
          <w:tcPr>
            <w:tcW w:w="0" w:type="auto"/>
            <w:shd w:val="clear" w:color="auto" w:fill="auto"/>
          </w:tcPr>
          <w:p w14:paraId="3ED46992" w14:textId="172B40A4" w:rsidR="0048020D" w:rsidRPr="00CA4DD7" w:rsidRDefault="0048020D" w:rsidP="0048020D">
            <w:pPr>
              <w:spacing w:after="0"/>
              <w:rPr>
                <w:rFonts w:eastAsia="Times New Roman" w:cs="Times New Roman"/>
                <w:szCs w:val="24"/>
                <w:lang w:eastAsia="pt-BR"/>
              </w:rPr>
            </w:pPr>
            <w:r w:rsidRPr="00CA4DD7">
              <w:rPr>
                <w:rFonts w:cs="Times New Roman"/>
                <w:szCs w:val="24"/>
              </w:rPr>
              <w:t>24; observational studies</w:t>
            </w:r>
          </w:p>
        </w:tc>
        <w:tc>
          <w:tcPr>
            <w:tcW w:w="0" w:type="auto"/>
            <w:shd w:val="clear" w:color="auto" w:fill="auto"/>
          </w:tcPr>
          <w:p w14:paraId="75E2EE43" w14:textId="2892FFDC" w:rsidR="0048020D" w:rsidRPr="00CA4DD7" w:rsidRDefault="0048020D" w:rsidP="0048020D">
            <w:pPr>
              <w:spacing w:after="0"/>
              <w:rPr>
                <w:rFonts w:eastAsia="Times New Roman" w:cs="Times New Roman"/>
                <w:szCs w:val="24"/>
                <w:lang w:eastAsia="pt-BR"/>
              </w:rPr>
            </w:pPr>
            <w:r w:rsidRPr="00CA4DD7">
              <w:rPr>
                <w:rFonts w:cs="Times New Roman"/>
                <w:szCs w:val="24"/>
              </w:rPr>
              <w:t>not performed</w:t>
            </w:r>
          </w:p>
        </w:tc>
      </w:tr>
      <w:tr w:rsidR="00D4689A" w:rsidRPr="00CA4DD7" w14:paraId="354D5842" w14:textId="77777777" w:rsidTr="00C9428D">
        <w:trPr>
          <w:trHeight w:val="842"/>
        </w:trPr>
        <w:tc>
          <w:tcPr>
            <w:tcW w:w="0" w:type="auto"/>
            <w:tcBorders>
              <w:left w:val="nil"/>
              <w:bottom w:val="nil"/>
              <w:right w:val="nil"/>
            </w:tcBorders>
            <w:shd w:val="clear" w:color="auto" w:fill="D9D9D9" w:themeFill="background1" w:themeFillShade="D9"/>
          </w:tcPr>
          <w:p w14:paraId="0465A672" w14:textId="0B1399B4" w:rsidR="0048020D" w:rsidRPr="00CA4DD7" w:rsidRDefault="0048020D" w:rsidP="0048020D">
            <w:pPr>
              <w:spacing w:after="0"/>
              <w:rPr>
                <w:rFonts w:eastAsia="Times New Roman" w:cs="Times New Roman"/>
                <w:szCs w:val="24"/>
                <w:lang w:eastAsia="pt-BR"/>
              </w:rPr>
            </w:pPr>
            <w:r w:rsidRPr="00CA4DD7">
              <w:rPr>
                <w:rFonts w:cs="Times New Roman"/>
                <w:szCs w:val="24"/>
              </w:rPr>
              <w:t>Xi et al., 2019</w:t>
            </w:r>
            <w:r w:rsidR="00495DFF">
              <w:rPr>
                <w:rFonts w:cs="Times New Roman"/>
                <w:szCs w:val="24"/>
              </w:rPr>
              <w:t xml:space="preserve"> </w:t>
            </w:r>
            <w:r w:rsidR="00495DFF">
              <w:rPr>
                <w:rFonts w:cs="Times New Roman"/>
                <w:szCs w:val="24"/>
              </w:rPr>
              <w:fldChar w:fldCharType="begin"/>
            </w:r>
            <w:r w:rsidR="00495DFF">
              <w:rPr>
                <w:rFonts w:cs="Times New Roman"/>
                <w:szCs w:val="24"/>
              </w:rPr>
              <w:instrText xml:space="preserve"> ADDIN ZOTERO_ITEM CSL_CITATION {"citationID":"xdiYjQgw","properties":{"formattedCitation":"[13]","plainCitation":"[13]","noteIndex":0},"citationItems":[{"id":38,"uris":["http://zotero.org/users/local/CMEncDpE/items/LS2TN46B"],"uri":["http://zotero.org/users/local/CMEncDpE/items/LS2TN46B"],"itemData":{"id":38,"type":"article-journal","abstract":"The effect of CYP2C19 gene polymorphism on clinical outcomes of patients with coronary artery disease (CAD) treated with clopidogrel remains controversial. Ethnicity has been proposed to influence clopidogrel response following stent implantation in CAD patients with different CYP2C19 genotypes. Furthermore, Asian populations are reported to have a relatively greater prevalence of CYP2C19 loss-of-function (LOF) alleles. We aimed to evaluate the impact of CYP2C19 gene polymorphism on clinical outcomes in Asian populations who underwent percutaneous coronary interventions (PCI) and received clopidogrel therapy. We conducted a comprehensive search in PubMed, EMBASE, and Cochrane Library from their inceptions to January 20, 2017. Studies that reported clopidogrel therapy information, clinically relevant outcomes (adverse cardiovascular events, stent thrombosis and bleeding), and CYP2C19 genotypes among Asian populations were included. The primary endpoint was major adverse cardiovascular events (MACE), defined as a composite of cardiovascular death and myocardial infarction. The safety endpoint was any kind of bleeding. We retrieved 20 studies of 15056 patients reporting 1301 cardiovascular events. The primary analysis showed at least one CYP2C19 LOF allele (*2 and/or *3) carriers were at an increased risk of MACE compared with non-carriers (10.58% vs. 6.07%, OR: 1.99, 95% CI: 1.64 to 2.42, p &lt; .001). Stent thrombosis (ST) was also more frequent in LOF allele carriers (2.22% vs. 0.44%, OR: 4.77, 95% CI: 2.84 to 8.01, p &lt; .001). Inversely, the risk of bleeding was lower in LOF allele carriers (OR: 0.66, 95% CI: 0.46 to 0.96, p &lt; .001). Subgroup analysis was performed to assess differences by high (600 mg) or routine (300 mg) loading dose of clopidogrel and by different nationalities. The risk of MACE in LOF allele carriers remained significantly higher even in high loading dose group (high loading dose: OR 1.72, 95% CI: 1.37 to 2.16, and routine loading dose: OR 2.22, 95% CI: 1.68 to 2.94, p for subgroup heterogeneity = 0.16). Subgroup analysis between three nationalities of China, Korea, and Japan demonstrated that the risk of MACE among Chinese LOF allele carriers was the greatest (OR: 2.28; 95% CI:1.91 to 2.73). In conclusion, among Asian populations with CAD undergoing stent implantation, CYP2C19 LOF allele carriers are at greater risk of adverse cardiovascular events and lower risk of bleeding compared with non-carriers. Genetic testing may be helpful for clinicians to personalize antiplatelet therapy especially in Asian population.","container-title":"Platelets","DOI":"10.1080/09537104.2017.1413178","ISSN":"1369-1635","issue":"2","journalAbbreviation":"Platelets","language":"eng","note":"PMID: 29257922","page":"229-240","source":"PubMed","title":"CYP2C19 genotype and adverse cardiovascular outcomes after stent implantation in clopidogrel-treated Asian populations: A systematic review and meta-analysis","title-short":"CYP2C19 genotype and adverse cardiovascular outcomes after stent implantation in clopidogrel-treated Asian populations","volume":"30","author":[{"family":"Xi","given":"Ziwei"},{"family":"Fang","given":"Fang"},{"family":"Wang","given":"Jiayang"},{"family":"AlHelal","given":"Jumana"},{"family":"Zhou","given":"Yujie"},{"family":"Liu","given":"Wei"}],"issued":{"date-parts":[["2019"]]}}}],"schema":"https://github.com/citation-style-language/schema/raw/master/csl-citation.json"} </w:instrText>
            </w:r>
            <w:r w:rsidR="00495DFF">
              <w:rPr>
                <w:rFonts w:cs="Times New Roman"/>
                <w:szCs w:val="24"/>
              </w:rPr>
              <w:fldChar w:fldCharType="separate"/>
            </w:r>
            <w:r w:rsidR="00495DFF" w:rsidRPr="00495DFF">
              <w:rPr>
                <w:rFonts w:cs="Times New Roman"/>
              </w:rPr>
              <w:t>[13]</w:t>
            </w:r>
            <w:r w:rsidR="00495DFF">
              <w:rPr>
                <w:rFonts w:cs="Times New Roman"/>
                <w:szCs w:val="24"/>
              </w:rPr>
              <w:fldChar w:fldCharType="end"/>
            </w:r>
          </w:p>
        </w:tc>
        <w:tc>
          <w:tcPr>
            <w:tcW w:w="0" w:type="auto"/>
            <w:tcBorders>
              <w:left w:val="nil"/>
              <w:bottom w:val="nil"/>
              <w:right w:val="nil"/>
            </w:tcBorders>
            <w:shd w:val="clear" w:color="auto" w:fill="D9D9D9" w:themeFill="background1" w:themeFillShade="D9"/>
          </w:tcPr>
          <w:p w14:paraId="4AAF0821" w14:textId="0EC52681" w:rsidR="0048020D" w:rsidRPr="00CA4DD7" w:rsidRDefault="0048020D" w:rsidP="0048020D">
            <w:pPr>
              <w:spacing w:after="0"/>
              <w:rPr>
                <w:rFonts w:cs="Times New Roman"/>
                <w:szCs w:val="24"/>
              </w:rPr>
            </w:pPr>
            <w:r w:rsidRPr="00CA4DD7">
              <w:rPr>
                <w:rFonts w:cs="Times New Roman"/>
                <w:szCs w:val="24"/>
              </w:rPr>
              <w:t xml:space="preserve">to evaluate the impact of </w:t>
            </w:r>
            <w:r w:rsidRPr="00CA4DD7">
              <w:rPr>
                <w:rFonts w:cs="Times New Roman"/>
                <w:i/>
                <w:szCs w:val="24"/>
              </w:rPr>
              <w:t>CYP2C19</w:t>
            </w:r>
            <w:r w:rsidRPr="00CA4DD7">
              <w:rPr>
                <w:rFonts w:cs="Times New Roman"/>
                <w:szCs w:val="24"/>
              </w:rPr>
              <w:t xml:space="preserve"> on clinical outcomes after PCI in Asians receiving clopidogrel therapy</w:t>
            </w:r>
          </w:p>
        </w:tc>
        <w:tc>
          <w:tcPr>
            <w:tcW w:w="0" w:type="auto"/>
            <w:tcBorders>
              <w:left w:val="nil"/>
              <w:bottom w:val="nil"/>
              <w:right w:val="nil"/>
            </w:tcBorders>
            <w:shd w:val="clear" w:color="auto" w:fill="D9D9D9" w:themeFill="background1" w:themeFillShade="D9"/>
          </w:tcPr>
          <w:p w14:paraId="37D7B3FA" w14:textId="66C75FD3" w:rsidR="0048020D" w:rsidRPr="00CA4DD7" w:rsidRDefault="0048020D" w:rsidP="0048020D">
            <w:pPr>
              <w:spacing w:after="0"/>
              <w:rPr>
                <w:rFonts w:cs="Times New Roman"/>
                <w:szCs w:val="24"/>
              </w:rPr>
            </w:pPr>
            <w:r w:rsidRPr="00CA4DD7">
              <w:rPr>
                <w:rFonts w:cs="Times New Roman"/>
                <w:szCs w:val="24"/>
              </w:rPr>
              <w:t>Asian patients</w:t>
            </w:r>
          </w:p>
        </w:tc>
        <w:tc>
          <w:tcPr>
            <w:tcW w:w="0" w:type="auto"/>
            <w:tcBorders>
              <w:left w:val="nil"/>
              <w:bottom w:val="nil"/>
              <w:right w:val="nil"/>
            </w:tcBorders>
            <w:shd w:val="clear" w:color="auto" w:fill="D9D9D9" w:themeFill="background1" w:themeFillShade="D9"/>
          </w:tcPr>
          <w:p w14:paraId="69205D6D" w14:textId="38B40309" w:rsidR="0048020D" w:rsidRPr="00CA4DD7" w:rsidRDefault="0048020D" w:rsidP="0048020D">
            <w:pPr>
              <w:spacing w:after="0"/>
              <w:rPr>
                <w:rFonts w:cs="Times New Roman"/>
                <w:szCs w:val="24"/>
              </w:rPr>
            </w:pPr>
            <w:r w:rsidRPr="00CA4DD7">
              <w:rPr>
                <w:rFonts w:cs="Times New Roman"/>
                <w:szCs w:val="24"/>
              </w:rPr>
              <w:t xml:space="preserve">with coronary heart disease receiving </w:t>
            </w:r>
            <w:proofErr w:type="gramStart"/>
            <w:r w:rsidRPr="00CA4DD7">
              <w:rPr>
                <w:rFonts w:cs="Times New Roman"/>
                <w:szCs w:val="24"/>
              </w:rPr>
              <w:t>clopidogrel;</w:t>
            </w:r>
            <w:proofErr w:type="gramEnd"/>
            <w:r w:rsidRPr="00CA4DD7">
              <w:rPr>
                <w:rFonts w:cs="Times New Roman"/>
                <w:szCs w:val="24"/>
              </w:rPr>
              <w:t xml:space="preserve"> analyzed genotype data for the </w:t>
            </w:r>
            <w:r w:rsidRPr="00CA4DD7">
              <w:rPr>
                <w:rFonts w:cs="Times New Roman"/>
                <w:i/>
                <w:szCs w:val="24"/>
              </w:rPr>
              <w:t>CYP2C19</w:t>
            </w:r>
            <w:r w:rsidRPr="00CA4DD7">
              <w:rPr>
                <w:rFonts w:cs="Times New Roman"/>
                <w:szCs w:val="24"/>
              </w:rPr>
              <w:t xml:space="preserve"> LOF polymorphisms</w:t>
            </w:r>
          </w:p>
        </w:tc>
        <w:tc>
          <w:tcPr>
            <w:tcW w:w="0" w:type="auto"/>
            <w:tcBorders>
              <w:left w:val="nil"/>
              <w:bottom w:val="nil"/>
              <w:right w:val="nil"/>
            </w:tcBorders>
            <w:shd w:val="clear" w:color="auto" w:fill="D9D9D9" w:themeFill="background1" w:themeFillShade="D9"/>
          </w:tcPr>
          <w:p w14:paraId="19AD161C" w14:textId="7ADA5290" w:rsidR="0048020D" w:rsidRPr="00CA4DD7" w:rsidRDefault="0048020D" w:rsidP="0048020D">
            <w:pPr>
              <w:spacing w:after="0"/>
              <w:rPr>
                <w:rFonts w:cs="Times New Roman"/>
                <w:szCs w:val="24"/>
              </w:rPr>
            </w:pPr>
            <w:r w:rsidRPr="00CA4DD7">
              <w:rPr>
                <w:rFonts w:cs="Times New Roman"/>
                <w:szCs w:val="24"/>
              </w:rPr>
              <w:t>3</w:t>
            </w:r>
          </w:p>
        </w:tc>
        <w:tc>
          <w:tcPr>
            <w:tcW w:w="0" w:type="auto"/>
            <w:tcBorders>
              <w:left w:val="nil"/>
              <w:bottom w:val="nil"/>
              <w:right w:val="nil"/>
            </w:tcBorders>
            <w:shd w:val="clear" w:color="auto" w:fill="D9D9D9" w:themeFill="background1" w:themeFillShade="D9"/>
          </w:tcPr>
          <w:p w14:paraId="2035FF26" w14:textId="09B40F93" w:rsidR="0048020D" w:rsidRPr="00CA4DD7" w:rsidRDefault="0048020D" w:rsidP="0048020D">
            <w:pPr>
              <w:spacing w:after="0"/>
              <w:rPr>
                <w:rFonts w:cs="Times New Roman"/>
                <w:szCs w:val="24"/>
              </w:rPr>
            </w:pPr>
            <w:r w:rsidRPr="00CA4DD7">
              <w:rPr>
                <w:rFonts w:cs="Times New Roman"/>
                <w:szCs w:val="24"/>
              </w:rPr>
              <w:t>from its inception to Jan 2017</w:t>
            </w:r>
          </w:p>
        </w:tc>
        <w:tc>
          <w:tcPr>
            <w:tcW w:w="0" w:type="auto"/>
            <w:tcBorders>
              <w:left w:val="nil"/>
              <w:bottom w:val="nil"/>
              <w:right w:val="nil"/>
            </w:tcBorders>
            <w:shd w:val="clear" w:color="auto" w:fill="D9D9D9" w:themeFill="background1" w:themeFillShade="D9"/>
          </w:tcPr>
          <w:p w14:paraId="528A1983" w14:textId="044FCF5B" w:rsidR="0048020D" w:rsidRPr="00CA4DD7" w:rsidRDefault="0048020D" w:rsidP="0048020D">
            <w:pPr>
              <w:spacing w:after="0"/>
              <w:rPr>
                <w:rFonts w:cs="Times New Roman"/>
                <w:szCs w:val="24"/>
              </w:rPr>
            </w:pPr>
            <w:r w:rsidRPr="00CA4DD7">
              <w:rPr>
                <w:rFonts w:cs="Times New Roman"/>
                <w:szCs w:val="24"/>
              </w:rPr>
              <w:t xml:space="preserve">20; observational studies </w:t>
            </w:r>
          </w:p>
        </w:tc>
        <w:tc>
          <w:tcPr>
            <w:tcW w:w="0" w:type="auto"/>
            <w:tcBorders>
              <w:left w:val="nil"/>
              <w:bottom w:val="nil"/>
              <w:right w:val="nil"/>
            </w:tcBorders>
            <w:shd w:val="clear" w:color="auto" w:fill="D9D9D9" w:themeFill="background1" w:themeFillShade="D9"/>
          </w:tcPr>
          <w:p w14:paraId="1701A616" w14:textId="7ACDB24A" w:rsidR="0048020D" w:rsidRPr="00CA4DD7" w:rsidRDefault="0048020D" w:rsidP="0048020D">
            <w:pPr>
              <w:spacing w:after="0"/>
              <w:rPr>
                <w:rFonts w:cs="Times New Roman"/>
                <w:szCs w:val="24"/>
              </w:rPr>
            </w:pPr>
            <w:r w:rsidRPr="00CA4DD7">
              <w:rPr>
                <w:rFonts w:cs="Times New Roman"/>
                <w:szCs w:val="24"/>
              </w:rPr>
              <w:t>NOS</w:t>
            </w:r>
          </w:p>
        </w:tc>
      </w:tr>
      <w:tr w:rsidR="00D4689A" w:rsidRPr="00CA4DD7" w14:paraId="7372B913" w14:textId="77777777" w:rsidTr="00267A2F">
        <w:trPr>
          <w:trHeight w:val="1804"/>
        </w:trPr>
        <w:tc>
          <w:tcPr>
            <w:tcW w:w="0" w:type="auto"/>
            <w:tcBorders>
              <w:top w:val="nil"/>
              <w:left w:val="nil"/>
              <w:right w:val="nil"/>
            </w:tcBorders>
            <w:shd w:val="clear" w:color="auto" w:fill="auto"/>
          </w:tcPr>
          <w:p w14:paraId="27A6591C" w14:textId="7A7D4EB4" w:rsidR="0048020D" w:rsidRPr="00CA4DD7" w:rsidRDefault="0048020D" w:rsidP="0048020D">
            <w:pPr>
              <w:spacing w:after="0"/>
              <w:rPr>
                <w:rFonts w:eastAsia="Times New Roman" w:cs="Times New Roman"/>
                <w:szCs w:val="24"/>
                <w:lang w:eastAsia="pt-BR"/>
              </w:rPr>
            </w:pPr>
            <w:proofErr w:type="spellStart"/>
            <w:r w:rsidRPr="00CA4DD7">
              <w:rPr>
                <w:rFonts w:cs="Times New Roman"/>
                <w:szCs w:val="24"/>
              </w:rPr>
              <w:t>Zabalza</w:t>
            </w:r>
            <w:proofErr w:type="spellEnd"/>
            <w:r w:rsidRPr="00CA4DD7">
              <w:rPr>
                <w:rFonts w:cs="Times New Roman"/>
                <w:szCs w:val="24"/>
              </w:rPr>
              <w:t xml:space="preserve"> et al., 2012</w:t>
            </w:r>
            <w:r w:rsidR="00495DFF">
              <w:rPr>
                <w:rFonts w:cs="Times New Roman"/>
                <w:szCs w:val="24"/>
              </w:rPr>
              <w:t xml:space="preserve"> </w:t>
            </w:r>
            <w:r w:rsidR="00495DFF">
              <w:rPr>
                <w:rFonts w:cs="Times New Roman"/>
                <w:szCs w:val="24"/>
              </w:rPr>
              <w:fldChar w:fldCharType="begin"/>
            </w:r>
            <w:r w:rsidR="00D4689A">
              <w:rPr>
                <w:rFonts w:cs="Times New Roman"/>
                <w:szCs w:val="24"/>
              </w:rPr>
              <w:instrText xml:space="preserve"> ADDIN ZOTERO_ITEM CSL_CITATION {"citationID":"RmsKUnoN","properties":{"formattedCitation":"[14]","plainCitation":"[14]","noteIndex":0},"citationItems":[{"id":10,"uris":["http://zotero.org/users/local/CMEncDpE/items/VJEDIRGC"],"uri":["http://zotero.org/users/local/CMEncDpE/items/VJEDIRGC"],"itemData":{"id":10,"type":"article-journal","abstract":"AIMS: To perform a meta-analysis of the association between CYP2C19 loss- and gain-of-function variants and cardiovascular outcomes and bleeding in patients with coronary artery disease treated with clopidogrel, and to explore the causes of heterogeneity between studies.\nMETHODS: A comprehensive literature search was conducted. A random-effects model was used to summarise the results. In the presence of between-study heterogeneity, a meta-regression analysis was performed to identify study characteristics explaining this heterogeneity.\nRESULTS: Patients who carried a loss-of-function allele, mainly CYP2C19*2, did not present an increased risk of a cardiovascular event, HR =1.23 (95% CI 0.97 to 1.55). Substantial heterogeneity was observed between studies (I(2) =35.6), which was partially explained by the study sample size: the pooled HR was higher among studies with a sample size &lt;500 patients (HR =3.55; 95% CI 1.66 to 7.56) and lower among studies with a sample size ≥500 (HR =1.06; 95% CI 0.89 to 1.26). CYP2C19*2 was associated with an increased risk of a stent thrombosis (HR =2.24; 95% CI 1.52 to 3.30). The gain-of-function allele, mainly CYP2C19*17, was associated with a lower risk of cardiovascular events (HR =0.75; 95% CI 0.66 to 0.87) and a higher risk of major bleeding (HR =1.26; 95% CI 1.05 to 1.50).\nCONCLUSIONS: Not only CYP2C19 loss-of-function but also gain-of-function alleles should be considered to define the pharmacogenetic response to clopidogrel. The results question the relevance of the CYP2C19 loss-of-function alleles in the prediction of major cardiovascular events beyond stent thrombosis in coronary patients treated with clopidogrel. The gain-of-function variant is associated with a lower risk of cardiovascular events but a higher risk of bleeding.","container-title":"Heart (British Cardiac Society)","DOI":"10.1136/hrt.2011.227652","ISSN":"1468-201X","issue":"2","journalAbbreviation":"Heart","language":"eng","note":"PMID: 21693476","page":"100-108","source":"PubMed","title":"Meta-analyses of the association between cytochrome CYP2C19 loss- and gain-of-function polymorphisms and cardiovascular outcomes in patients with coronary artery disease treated with clopidogrel","volume":"98","author":[{"family":"Zabalza","given":"Michel"},{"family":"Subirana","given":"Isaac"},{"family":"Sala","given":"Joan"},{"family":"Lluis-Ganella","given":"Carla"},{"family":"Lucas","given":"Gavin"},{"family":"Tomás","given":"Marta"},{"family":"Masiá","given":"Rafel"},{"family":"Marrugat","given":"Jaume"},{"family":"Brugada","given":"Ramon"},{"family":"Elosua","given":"Roberto"}],"issued":{"date-parts":[["2012",1]]}}}],"schema":"https://github.com/citation-style-language/schema/raw/master/csl-citation.json"} </w:instrText>
            </w:r>
            <w:r w:rsidR="00495DFF">
              <w:rPr>
                <w:rFonts w:cs="Times New Roman"/>
                <w:szCs w:val="24"/>
              </w:rPr>
              <w:fldChar w:fldCharType="separate"/>
            </w:r>
            <w:r w:rsidR="00D4689A" w:rsidRPr="00D4689A">
              <w:rPr>
                <w:rFonts w:cs="Times New Roman"/>
              </w:rPr>
              <w:t>[14]</w:t>
            </w:r>
            <w:r w:rsidR="00495DFF">
              <w:rPr>
                <w:rFonts w:cs="Times New Roman"/>
                <w:szCs w:val="24"/>
              </w:rPr>
              <w:fldChar w:fldCharType="end"/>
            </w:r>
          </w:p>
        </w:tc>
        <w:tc>
          <w:tcPr>
            <w:tcW w:w="0" w:type="auto"/>
            <w:tcBorders>
              <w:top w:val="nil"/>
              <w:left w:val="nil"/>
              <w:right w:val="nil"/>
            </w:tcBorders>
            <w:shd w:val="clear" w:color="auto" w:fill="auto"/>
          </w:tcPr>
          <w:p w14:paraId="33B54D4E" w14:textId="55FA957C" w:rsidR="0048020D" w:rsidRPr="00CA4DD7" w:rsidRDefault="0048020D" w:rsidP="0048020D">
            <w:pPr>
              <w:spacing w:after="0"/>
              <w:rPr>
                <w:rFonts w:cs="Times New Roman"/>
                <w:szCs w:val="24"/>
              </w:rPr>
            </w:pPr>
            <w:r w:rsidRPr="00CA4DD7">
              <w:rPr>
                <w:rFonts w:cs="Times New Roman"/>
                <w:szCs w:val="24"/>
              </w:rPr>
              <w:t xml:space="preserve">to </w:t>
            </w:r>
            <w:proofErr w:type="spellStart"/>
            <w:r w:rsidRPr="00CA4DD7">
              <w:rPr>
                <w:rFonts w:cs="Times New Roman"/>
                <w:szCs w:val="24"/>
              </w:rPr>
              <w:t>analyse</w:t>
            </w:r>
            <w:proofErr w:type="spellEnd"/>
            <w:r w:rsidRPr="00CA4DD7">
              <w:rPr>
                <w:rFonts w:cs="Times New Roman"/>
                <w:szCs w:val="24"/>
              </w:rPr>
              <w:t xml:space="preserve"> the association between </w:t>
            </w:r>
            <w:r w:rsidRPr="00CA4DD7">
              <w:rPr>
                <w:rFonts w:cs="Times New Roman"/>
                <w:i/>
                <w:szCs w:val="24"/>
              </w:rPr>
              <w:t>CYP2C19</w:t>
            </w:r>
            <w:r w:rsidRPr="00CA4DD7">
              <w:rPr>
                <w:rFonts w:cs="Times New Roman"/>
                <w:szCs w:val="24"/>
              </w:rPr>
              <w:t xml:space="preserve"> loss- and gain-of-function variants and cardiovascular outcomes and major bleeding in patients with CAD treated with clopidogrel; and to explore the potential causes of heterogeneity between studies</w:t>
            </w:r>
          </w:p>
        </w:tc>
        <w:tc>
          <w:tcPr>
            <w:tcW w:w="0" w:type="auto"/>
            <w:tcBorders>
              <w:top w:val="nil"/>
              <w:left w:val="nil"/>
              <w:right w:val="nil"/>
            </w:tcBorders>
            <w:shd w:val="clear" w:color="auto" w:fill="auto"/>
          </w:tcPr>
          <w:p w14:paraId="4D6383C6" w14:textId="264940A6" w:rsidR="0048020D" w:rsidRPr="00CA4DD7" w:rsidRDefault="0048020D" w:rsidP="0048020D">
            <w:pPr>
              <w:spacing w:after="0"/>
              <w:rPr>
                <w:rFonts w:cs="Times New Roman"/>
                <w:szCs w:val="24"/>
              </w:rPr>
            </w:pPr>
            <w:r w:rsidRPr="00CA4DD7">
              <w:rPr>
                <w:rFonts w:cs="Times New Roman"/>
                <w:szCs w:val="24"/>
              </w:rPr>
              <w:t>not specified</w:t>
            </w:r>
          </w:p>
        </w:tc>
        <w:tc>
          <w:tcPr>
            <w:tcW w:w="0" w:type="auto"/>
            <w:tcBorders>
              <w:top w:val="nil"/>
              <w:left w:val="nil"/>
              <w:right w:val="nil"/>
            </w:tcBorders>
            <w:shd w:val="clear" w:color="auto" w:fill="auto"/>
          </w:tcPr>
          <w:p w14:paraId="7DC325FB" w14:textId="451B3B75" w:rsidR="0048020D" w:rsidRPr="00CA4DD7" w:rsidRDefault="0048020D" w:rsidP="0048020D">
            <w:pPr>
              <w:spacing w:after="0"/>
              <w:rPr>
                <w:rFonts w:cs="Times New Roman"/>
                <w:szCs w:val="24"/>
              </w:rPr>
            </w:pPr>
            <w:r w:rsidRPr="00CA4DD7">
              <w:rPr>
                <w:rFonts w:cs="Times New Roman"/>
                <w:szCs w:val="24"/>
              </w:rPr>
              <w:t xml:space="preserve">patients with CAD receiving clopidogrel treatment; </w:t>
            </w:r>
            <w:proofErr w:type="spellStart"/>
            <w:r w:rsidRPr="00CA4DD7">
              <w:rPr>
                <w:rFonts w:cs="Times New Roman"/>
                <w:szCs w:val="24"/>
              </w:rPr>
              <w:t>analysed</w:t>
            </w:r>
            <w:proofErr w:type="spellEnd"/>
            <w:r w:rsidRPr="00CA4DD7">
              <w:rPr>
                <w:rFonts w:cs="Times New Roman"/>
                <w:szCs w:val="24"/>
              </w:rPr>
              <w:t xml:space="preserve"> genotype data for the </w:t>
            </w:r>
            <w:r w:rsidRPr="00CA4DD7">
              <w:rPr>
                <w:rFonts w:cs="Times New Roman"/>
                <w:i/>
                <w:szCs w:val="24"/>
              </w:rPr>
              <w:t>CYP2C19</w:t>
            </w:r>
            <w:r w:rsidRPr="00CA4DD7">
              <w:rPr>
                <w:rFonts w:cs="Times New Roman"/>
                <w:szCs w:val="24"/>
              </w:rPr>
              <w:t xml:space="preserve"> loss- or gain-of-function polymorphisms </w:t>
            </w:r>
          </w:p>
        </w:tc>
        <w:tc>
          <w:tcPr>
            <w:tcW w:w="0" w:type="auto"/>
            <w:tcBorders>
              <w:top w:val="nil"/>
              <w:left w:val="nil"/>
              <w:right w:val="nil"/>
            </w:tcBorders>
            <w:shd w:val="clear" w:color="auto" w:fill="auto"/>
          </w:tcPr>
          <w:p w14:paraId="42951355" w14:textId="723510FE" w:rsidR="0048020D" w:rsidRPr="00CA4DD7" w:rsidRDefault="0048020D" w:rsidP="0048020D">
            <w:pPr>
              <w:spacing w:after="0"/>
              <w:rPr>
                <w:rFonts w:cs="Times New Roman"/>
                <w:szCs w:val="24"/>
              </w:rPr>
            </w:pPr>
            <w:r w:rsidRPr="00CA4DD7">
              <w:rPr>
                <w:rFonts w:cs="Times New Roman"/>
                <w:szCs w:val="24"/>
              </w:rPr>
              <w:t>2</w:t>
            </w:r>
          </w:p>
        </w:tc>
        <w:tc>
          <w:tcPr>
            <w:tcW w:w="0" w:type="auto"/>
            <w:tcBorders>
              <w:top w:val="nil"/>
              <w:left w:val="nil"/>
              <w:right w:val="nil"/>
            </w:tcBorders>
            <w:shd w:val="clear" w:color="auto" w:fill="auto"/>
          </w:tcPr>
          <w:p w14:paraId="6C13752C" w14:textId="68D1369D" w:rsidR="0048020D" w:rsidRPr="00CA4DD7" w:rsidRDefault="0048020D" w:rsidP="0048020D">
            <w:pPr>
              <w:spacing w:after="0"/>
              <w:rPr>
                <w:rFonts w:cs="Times New Roman"/>
                <w:szCs w:val="24"/>
              </w:rPr>
            </w:pPr>
            <w:r w:rsidRPr="00CA4DD7">
              <w:rPr>
                <w:rFonts w:cs="Times New Roman"/>
                <w:szCs w:val="24"/>
              </w:rPr>
              <w:t>from its inception to Oct 2010</w:t>
            </w:r>
          </w:p>
        </w:tc>
        <w:tc>
          <w:tcPr>
            <w:tcW w:w="0" w:type="auto"/>
            <w:tcBorders>
              <w:top w:val="nil"/>
              <w:left w:val="nil"/>
              <w:right w:val="nil"/>
            </w:tcBorders>
            <w:shd w:val="clear" w:color="auto" w:fill="auto"/>
          </w:tcPr>
          <w:p w14:paraId="41831C42" w14:textId="3F65F8B2" w:rsidR="0048020D" w:rsidRPr="00CA4DD7" w:rsidRDefault="0048020D" w:rsidP="0048020D">
            <w:pPr>
              <w:spacing w:after="0"/>
              <w:rPr>
                <w:rFonts w:cs="Times New Roman"/>
                <w:szCs w:val="24"/>
              </w:rPr>
            </w:pPr>
            <w:r w:rsidRPr="00CA4DD7">
              <w:rPr>
                <w:rFonts w:cs="Times New Roman"/>
                <w:szCs w:val="24"/>
              </w:rPr>
              <w:t>13; observational studies</w:t>
            </w:r>
          </w:p>
        </w:tc>
        <w:tc>
          <w:tcPr>
            <w:tcW w:w="0" w:type="auto"/>
            <w:tcBorders>
              <w:top w:val="nil"/>
              <w:left w:val="nil"/>
              <w:right w:val="nil"/>
            </w:tcBorders>
            <w:shd w:val="clear" w:color="auto" w:fill="auto"/>
          </w:tcPr>
          <w:p w14:paraId="5DDFF2CE" w14:textId="2A6E6F38" w:rsidR="0048020D" w:rsidRPr="00CA4DD7" w:rsidRDefault="0048020D" w:rsidP="0048020D">
            <w:pPr>
              <w:spacing w:after="0"/>
              <w:rPr>
                <w:rFonts w:cs="Times New Roman"/>
                <w:szCs w:val="24"/>
              </w:rPr>
            </w:pPr>
            <w:r w:rsidRPr="00CA4DD7">
              <w:rPr>
                <w:rFonts w:cs="Times New Roman"/>
                <w:szCs w:val="24"/>
              </w:rPr>
              <w:t>not performed</w:t>
            </w:r>
          </w:p>
        </w:tc>
      </w:tr>
      <w:tr w:rsidR="00D4689A" w:rsidRPr="00CA4DD7" w14:paraId="413DFD74" w14:textId="77777777" w:rsidTr="006D4783">
        <w:trPr>
          <w:trHeight w:val="1678"/>
        </w:trPr>
        <w:tc>
          <w:tcPr>
            <w:tcW w:w="0" w:type="auto"/>
            <w:tcBorders>
              <w:top w:val="nil"/>
              <w:left w:val="nil"/>
              <w:right w:val="nil"/>
            </w:tcBorders>
            <w:shd w:val="clear" w:color="auto" w:fill="D9D9D9" w:themeFill="background1" w:themeFillShade="D9"/>
          </w:tcPr>
          <w:p w14:paraId="266C3232" w14:textId="1385595F" w:rsidR="0048020D" w:rsidRPr="00CA4DD7" w:rsidRDefault="0048020D" w:rsidP="0048020D">
            <w:pPr>
              <w:spacing w:after="0"/>
              <w:rPr>
                <w:rFonts w:eastAsia="Times New Roman" w:cs="Times New Roman"/>
                <w:szCs w:val="24"/>
                <w:lang w:eastAsia="pt-BR"/>
              </w:rPr>
            </w:pPr>
            <w:r w:rsidRPr="00CA4DD7">
              <w:rPr>
                <w:rFonts w:cs="Times New Roman"/>
                <w:szCs w:val="24"/>
              </w:rPr>
              <w:t>Zhang et al., 2015</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i7Y8CnSu","properties":{"formattedCitation":"[15]","plainCitation":"[15]","noteIndex":0},"citationItems":[{"id":36,"uris":["http://zotero.org/users/local/CMEncDpE/items/42BS7IRG"],"uri":["http://zotero.org/users/local/CMEncDpE/items/42BS7IRG"],"itemData":{"id":36,"type":"article-journal","abstract":"INTRODUCTION: High-dose clopidogrel has been recommended to overcome clopidogrel non-responsiveness in patients undergoing percutaneous coronary intervention (PCI), especially those with CYP2C19 loss-of-function genotypes. However, there is controversy over the pharmacodynamics and clinical effects of the strategy. This meta-analysis was conducted to evaluate the antiplatelet effects of high-dose clopidogrel according to CYP2C19*2 alleles in patients undergoing PCI.\nMETHODS: Based on PubMed, Cochrane, and EMBASE prior to June 1st, 2014, a systematic review and meta-analysis was conducted to evaluate the antiplatelet effects of high-dose clopidogrel on platelet reactivity and clinical outcomes in PCI treated patients according to CYP2C19*2 genotypes. The reported outcomes including on-treatment platelet reactivity (OTPR), high on-treatment platelet reactivity (HTPR), major adverse cardiovascular events (MACE), stent thrombosis and composite cardiovascular events.\nRESULTS: Nineteen studies involving 10,960 patients were included. After high-dose clopidogrel administration (600/900 mg loading dose and/or 150 mg/day maintenance dose), compared with non-carriers, carriers of CYP2C19*2 genotype had significantly increased OTPR (SMD for VASP assay: 0.69, 95% CI: 0.48-0.90, p = 4 × 10(-4); for VerifyNow P2Y12 assay: 0.70, 95% CI: 0.54-0.85, p &lt; 10(-5); for LTA assay:0.58, 95% CI: 0.48-0.69, p = 4 × 10(-4)). The incidence rate of HTPR was higher in CYP2C19*2 carriers after high-dose clopidogrel treatment (RR: 1.21, 95% CI:1.05-1.39, p = 0.008 for cutoff PRI &gt; 50% by VASP assay; RR: 1.69, 95% CI: 1.44-1.98, p &lt; 1 × 10(-4) for cutoff PRU &gt; 230 by VerifyNow P2Y12 assay). As for clinical outcomes, CYP2C19*2 was associated with higher risk for MACE (RR: 1.68, 95% CI: 1.19- 2.37, p = 0.003), stent thrombosis (RR: 1.75, 95% CI: 1.31-2.34, p = 0.0001), as well as composite cardiovascular events (RR: 1.82, 95% CI: 1.42- 2.34, p &lt; 10(-5)) after treated by high-dose clopidogrel.\nCONCLUSION: High-dose clopidogrel could not overcome the variability of clopidogrel antiplatelet effects between the CYP2C19 *2 carriers and non-carriers in patients treated with PCI.","container-title":"Thrombosis Research","DOI":"10.1016/j.thromres.2014.12.007","ISSN":"1879-2472","issue":"3","journalAbbreviation":"Thromb Res","language":"eng","note":"PMID: 25511576","page":"449-458","source":"PubMed","title":"Effect of high-dose clopidogrel according to CYP2C19*2 genotype in patients undergoing percutaneous coronary intervention- a systematic review and meta-analysis","volume":"135","author":[{"family":"Zhang","given":"Lanning"},{"family":"Yang","given":"Jie"},{"family":"Zhu","given":"Xiaoquan"},{"family":"Wang","given":"Xuyun"},{"family":"Peng","given":"Li"},{"family":"Li","given":"Xiaoqi"},{"family":"Cheng","given":"Peng"},{"family":"Yin","given":"Tong"}],"issued":{"date-parts":[["2015",3]]}}}],"schema":"https://github.com/citation-style-language/schema/raw/master/csl-citation.json"} </w:instrText>
            </w:r>
            <w:r w:rsidR="00D4689A">
              <w:rPr>
                <w:rFonts w:cs="Times New Roman"/>
                <w:szCs w:val="24"/>
              </w:rPr>
              <w:fldChar w:fldCharType="separate"/>
            </w:r>
            <w:r w:rsidR="00D4689A" w:rsidRPr="00D4689A">
              <w:rPr>
                <w:rFonts w:cs="Times New Roman"/>
              </w:rPr>
              <w:t>[15]</w:t>
            </w:r>
            <w:r w:rsidR="00D4689A">
              <w:rPr>
                <w:rFonts w:cs="Times New Roman"/>
                <w:szCs w:val="24"/>
              </w:rPr>
              <w:fldChar w:fldCharType="end"/>
            </w:r>
          </w:p>
        </w:tc>
        <w:tc>
          <w:tcPr>
            <w:tcW w:w="0" w:type="auto"/>
            <w:tcBorders>
              <w:top w:val="nil"/>
              <w:left w:val="nil"/>
              <w:right w:val="nil"/>
            </w:tcBorders>
            <w:shd w:val="clear" w:color="auto" w:fill="D9D9D9" w:themeFill="background1" w:themeFillShade="D9"/>
          </w:tcPr>
          <w:p w14:paraId="1FCE72A5" w14:textId="5738CA51"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to evaluate the antiplatelet effects of </w:t>
            </w:r>
            <w:proofErr w:type="gramStart"/>
            <w:r w:rsidRPr="00CA4DD7">
              <w:rPr>
                <w:rFonts w:eastAsia="Times New Roman" w:cs="Times New Roman"/>
                <w:szCs w:val="24"/>
                <w:lang w:eastAsia="pt-BR"/>
              </w:rPr>
              <w:t>high-dose</w:t>
            </w:r>
            <w:proofErr w:type="gramEnd"/>
            <w:r w:rsidRPr="00CA4DD7">
              <w:rPr>
                <w:rFonts w:eastAsia="Times New Roman" w:cs="Times New Roman"/>
                <w:szCs w:val="24"/>
                <w:lang w:eastAsia="pt-BR"/>
              </w:rPr>
              <w:t xml:space="preserve"> clopidogrel according to </w:t>
            </w:r>
            <w:r w:rsidRPr="00CA4DD7">
              <w:rPr>
                <w:rFonts w:eastAsia="Times New Roman" w:cs="Times New Roman"/>
                <w:i/>
                <w:szCs w:val="24"/>
                <w:lang w:eastAsia="pt-BR"/>
              </w:rPr>
              <w:t>CYP2C19</w:t>
            </w:r>
            <w:r w:rsidRPr="00CA4DD7">
              <w:rPr>
                <w:rFonts w:eastAsia="Times New Roman" w:cs="Times New Roman"/>
                <w:szCs w:val="24"/>
                <w:lang w:eastAsia="pt-BR"/>
              </w:rPr>
              <w:t xml:space="preserve"> *2 alleles in patients undergoing PCI</w:t>
            </w:r>
          </w:p>
        </w:tc>
        <w:tc>
          <w:tcPr>
            <w:tcW w:w="0" w:type="auto"/>
            <w:tcBorders>
              <w:top w:val="nil"/>
              <w:left w:val="nil"/>
              <w:right w:val="nil"/>
            </w:tcBorders>
            <w:shd w:val="clear" w:color="auto" w:fill="D9D9D9" w:themeFill="background1" w:themeFillShade="D9"/>
          </w:tcPr>
          <w:p w14:paraId="4E10EC8C" w14:textId="17CA9EE5" w:rsidR="0048020D" w:rsidRPr="00CA4DD7" w:rsidRDefault="0048020D" w:rsidP="0048020D">
            <w:pPr>
              <w:spacing w:after="0"/>
              <w:rPr>
                <w:rFonts w:cs="Times New Roman"/>
                <w:szCs w:val="24"/>
              </w:rPr>
            </w:pPr>
            <w:r w:rsidRPr="00CA4DD7">
              <w:rPr>
                <w:rFonts w:eastAsia="Times New Roman" w:cs="Times New Roman"/>
                <w:szCs w:val="24"/>
                <w:lang w:eastAsia="pt-BR"/>
              </w:rPr>
              <w:t>not specified</w:t>
            </w:r>
          </w:p>
        </w:tc>
        <w:tc>
          <w:tcPr>
            <w:tcW w:w="0" w:type="auto"/>
            <w:tcBorders>
              <w:top w:val="nil"/>
              <w:left w:val="nil"/>
              <w:right w:val="nil"/>
            </w:tcBorders>
            <w:shd w:val="clear" w:color="auto" w:fill="D9D9D9" w:themeFill="background1" w:themeFillShade="D9"/>
          </w:tcPr>
          <w:p w14:paraId="7A4F9112" w14:textId="7B762C6F" w:rsidR="0048020D" w:rsidRPr="00CA4DD7" w:rsidRDefault="0048020D" w:rsidP="0048020D">
            <w:pPr>
              <w:spacing w:after="0"/>
              <w:rPr>
                <w:rFonts w:cs="Times New Roman"/>
                <w:szCs w:val="24"/>
              </w:rPr>
            </w:pPr>
            <w:proofErr w:type="gramStart"/>
            <w:r w:rsidRPr="00CA4DD7">
              <w:rPr>
                <w:rFonts w:eastAsia="Times New Roman" w:cs="Times New Roman"/>
                <w:szCs w:val="24"/>
                <w:lang w:eastAsia="pt-BR"/>
              </w:rPr>
              <w:t>high-dose</w:t>
            </w:r>
            <w:proofErr w:type="gramEnd"/>
            <w:r w:rsidRPr="00CA4DD7">
              <w:rPr>
                <w:rFonts w:eastAsia="Times New Roman" w:cs="Times New Roman"/>
                <w:szCs w:val="24"/>
                <w:lang w:eastAsia="pt-BR"/>
              </w:rPr>
              <w:t xml:space="preserve"> clopidogrel (600 mg or 900 mg loading dose and/or 150 mg/day maintenance dose); to report at least one of the outcome measures: HTPR and clinical outcomes; </w:t>
            </w:r>
            <w:r w:rsidRPr="00CA4DD7">
              <w:rPr>
                <w:rFonts w:eastAsia="Times New Roman" w:cs="Times New Roman"/>
                <w:i/>
                <w:szCs w:val="24"/>
                <w:lang w:eastAsia="pt-BR"/>
              </w:rPr>
              <w:t>CYP2C19</w:t>
            </w:r>
            <w:r w:rsidRPr="00CA4DD7">
              <w:rPr>
                <w:rFonts w:eastAsia="Times New Roman" w:cs="Times New Roman"/>
                <w:szCs w:val="24"/>
                <w:lang w:eastAsia="pt-BR"/>
              </w:rPr>
              <w:t xml:space="preserve"> *2 alleles should be genotyped</w:t>
            </w:r>
          </w:p>
        </w:tc>
        <w:tc>
          <w:tcPr>
            <w:tcW w:w="0" w:type="auto"/>
            <w:tcBorders>
              <w:top w:val="nil"/>
              <w:left w:val="nil"/>
              <w:right w:val="nil"/>
            </w:tcBorders>
            <w:shd w:val="clear" w:color="auto" w:fill="D9D9D9" w:themeFill="background1" w:themeFillShade="D9"/>
          </w:tcPr>
          <w:p w14:paraId="597D540D" w14:textId="1E32A0EA" w:rsidR="0048020D" w:rsidRPr="00CA4DD7" w:rsidRDefault="0048020D" w:rsidP="0048020D">
            <w:pPr>
              <w:spacing w:after="0"/>
              <w:rPr>
                <w:rFonts w:cs="Times New Roman"/>
                <w:szCs w:val="24"/>
              </w:rPr>
            </w:pPr>
            <w:r w:rsidRPr="00CA4DD7">
              <w:rPr>
                <w:rFonts w:eastAsia="Times New Roman" w:cs="Times New Roman"/>
                <w:szCs w:val="24"/>
                <w:lang w:eastAsia="pt-BR"/>
              </w:rPr>
              <w:t>3</w:t>
            </w:r>
          </w:p>
        </w:tc>
        <w:tc>
          <w:tcPr>
            <w:tcW w:w="0" w:type="auto"/>
            <w:tcBorders>
              <w:top w:val="nil"/>
              <w:left w:val="nil"/>
              <w:right w:val="nil"/>
            </w:tcBorders>
            <w:shd w:val="clear" w:color="auto" w:fill="D9D9D9" w:themeFill="background1" w:themeFillShade="D9"/>
          </w:tcPr>
          <w:p w14:paraId="380E61F2" w14:textId="058B5D3A" w:rsidR="0048020D" w:rsidRPr="00CA4DD7" w:rsidRDefault="0048020D" w:rsidP="0048020D">
            <w:pPr>
              <w:spacing w:after="0"/>
              <w:rPr>
                <w:rFonts w:cs="Times New Roman"/>
                <w:szCs w:val="24"/>
              </w:rPr>
            </w:pPr>
            <w:r w:rsidRPr="00CA4DD7">
              <w:rPr>
                <w:rFonts w:eastAsia="Times New Roman" w:cs="Times New Roman"/>
                <w:szCs w:val="24"/>
                <w:lang w:eastAsia="pt-BR"/>
              </w:rPr>
              <w:t>from its inception to Jun 2014</w:t>
            </w:r>
          </w:p>
        </w:tc>
        <w:tc>
          <w:tcPr>
            <w:tcW w:w="0" w:type="auto"/>
            <w:tcBorders>
              <w:top w:val="nil"/>
              <w:left w:val="nil"/>
              <w:right w:val="nil"/>
            </w:tcBorders>
            <w:shd w:val="clear" w:color="auto" w:fill="D9D9D9" w:themeFill="background1" w:themeFillShade="D9"/>
          </w:tcPr>
          <w:p w14:paraId="1AD057FC" w14:textId="0A31A68C" w:rsidR="0048020D" w:rsidRPr="00CA4DD7" w:rsidRDefault="0048020D" w:rsidP="0048020D">
            <w:pPr>
              <w:spacing w:after="0"/>
              <w:rPr>
                <w:rFonts w:cs="Times New Roman"/>
                <w:szCs w:val="24"/>
              </w:rPr>
            </w:pPr>
            <w:r w:rsidRPr="00CA4DD7">
              <w:rPr>
                <w:rFonts w:eastAsia="Times New Roman" w:cs="Times New Roman"/>
                <w:szCs w:val="24"/>
                <w:lang w:eastAsia="pt-BR"/>
              </w:rPr>
              <w:t>19; not specified</w:t>
            </w:r>
          </w:p>
        </w:tc>
        <w:tc>
          <w:tcPr>
            <w:tcW w:w="0" w:type="auto"/>
            <w:tcBorders>
              <w:top w:val="nil"/>
              <w:left w:val="nil"/>
              <w:right w:val="nil"/>
            </w:tcBorders>
            <w:shd w:val="clear" w:color="auto" w:fill="D9D9D9" w:themeFill="background1" w:themeFillShade="D9"/>
          </w:tcPr>
          <w:p w14:paraId="45CC1492" w14:textId="69AD7814" w:rsidR="0048020D" w:rsidRPr="00CA4DD7" w:rsidRDefault="0048020D" w:rsidP="0048020D">
            <w:pPr>
              <w:spacing w:after="0"/>
              <w:rPr>
                <w:rFonts w:cs="Times New Roman"/>
                <w:szCs w:val="24"/>
              </w:rPr>
            </w:pPr>
            <w:r w:rsidRPr="00CA4DD7">
              <w:rPr>
                <w:rFonts w:eastAsia="Times New Roman" w:cs="Times New Roman"/>
                <w:szCs w:val="24"/>
                <w:lang w:eastAsia="pt-BR"/>
              </w:rPr>
              <w:t>own checklist, not validated</w:t>
            </w:r>
          </w:p>
        </w:tc>
      </w:tr>
      <w:tr w:rsidR="00D4689A" w:rsidRPr="00CA4DD7" w14:paraId="26B45E16" w14:textId="77777777" w:rsidTr="002665C3">
        <w:trPr>
          <w:trHeight w:val="567"/>
        </w:trPr>
        <w:tc>
          <w:tcPr>
            <w:tcW w:w="0" w:type="auto"/>
            <w:tcBorders>
              <w:bottom w:val="single" w:sz="4" w:space="0" w:color="auto"/>
            </w:tcBorders>
            <w:shd w:val="clear" w:color="auto" w:fill="auto"/>
          </w:tcPr>
          <w:p w14:paraId="67DBB2B6" w14:textId="66BB86F8" w:rsidR="0048020D" w:rsidRPr="00CA4DD7" w:rsidRDefault="0048020D" w:rsidP="0048020D">
            <w:pPr>
              <w:spacing w:after="0"/>
              <w:rPr>
                <w:rFonts w:eastAsia="Times New Roman" w:cs="Times New Roman"/>
                <w:szCs w:val="24"/>
                <w:lang w:eastAsia="pt-BR"/>
              </w:rPr>
            </w:pPr>
            <w:r w:rsidRPr="00CA4DD7">
              <w:rPr>
                <w:rFonts w:cs="Times New Roman"/>
                <w:szCs w:val="24"/>
              </w:rPr>
              <w:t>Zheng et al., 2019</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ORaUTieO","properties":{"formattedCitation":"[16]","plainCitation":"[16]","noteIndex":0},"citationItems":[{"id":8,"uris":["http://zotero.org/users/local/CMEncDpE/items/RFQNMKAE"],"uri":["http://zotero.org/users/local/CMEncDpE/items/RFQNMKAE"],"itemData":{"id":8,"type":"article-journal","abstract":"To evaluate whether genotype-guided antiplatelet therapy reduces the rates of cardiovascular events and bleeding events in patients with acute coronary syndrome (ACS). We systematically searched Pubmed, Embase and the Cochrane Central Register of Controlled Trials (CENTRAL) (searched in September 2018) for controlled studies evaluating genotype-guided antiplatelet therapy in ACS with percutaneous coronary intervention (PCI) or without PCI. The primary endpoint was a composite of death, myocardial infarction (MI), stroke, targeted vessel revascularization and/or major bleeding. A total of five studies involving 2900 patients were included. Compared with the conventional group, the genotype-guided group had a decreased risk of primary composite outcomes (RR= 0.54; 95% CI: 0.41-0.72; I2 = 30%), death (RR = 0.54; 95% CI: 0.32-0.94; I2 = 21%), MI (RR = 0.52; 95% CI: 0.31-0.88; I2 = 49%), targeted vessel revascularization (RR = 0.59; 95% CI: 0.35-0.98; I2 = 0%), but not for stroke (RR = 0.53; 95% CI: 0.22-1.24; I2 = 0%) and bleeding events (RR = 0.80; 95% CI: 0.51-1.25; I2 = 33%). Genotype-guided strategies could reduce the rates of cardiovascular events without increasing bleeding events compared with conventional treatment in ACS. Future multi-centre genotype-based randomized control trials are required to confirm these findings.","container-title":"Biomarkers: Biochemical Indicators of Exposure, Response, and Susceptibility to Chemicals","DOI":"10.1080/1354750X.2019.1634764","ISSN":"1366-5804","issue":"6","journalAbbreviation":"Biomarkers","language":"eng","note":"PMID: 31215825","page":"517-523","source":"PubMed","title":"Genotype-guided antiplatelet therapy compared with conventional therapy for patients with acute coronary syndromes: a systematic review and meta-analysis","title-short":"Genotype-guided antiplatelet therapy compared with conventional therapy for patients with acute coronary syndromes","volume":"24","author":[{"family":"Zheng","given":"Lukai"},{"family":"Yang","given":"Chunsong"},{"family":"Xiang","given":"Lingbao"},{"family":"Hao","given":"Zilong"}],"issued":{"date-parts":[["2019",9]]}}}],"schema":"https://github.com/citation-style-language/schema/raw/master/csl-citation.json"} </w:instrText>
            </w:r>
            <w:r w:rsidR="00D4689A">
              <w:rPr>
                <w:rFonts w:cs="Times New Roman"/>
                <w:szCs w:val="24"/>
              </w:rPr>
              <w:fldChar w:fldCharType="separate"/>
            </w:r>
            <w:r w:rsidR="00D4689A" w:rsidRPr="00D4689A">
              <w:rPr>
                <w:rFonts w:cs="Times New Roman"/>
              </w:rPr>
              <w:t>[16]</w:t>
            </w:r>
            <w:r w:rsidR="00D4689A">
              <w:rPr>
                <w:rFonts w:cs="Times New Roman"/>
                <w:szCs w:val="24"/>
              </w:rPr>
              <w:fldChar w:fldCharType="end"/>
            </w:r>
          </w:p>
        </w:tc>
        <w:tc>
          <w:tcPr>
            <w:tcW w:w="0" w:type="auto"/>
            <w:tcBorders>
              <w:bottom w:val="single" w:sz="4" w:space="0" w:color="auto"/>
            </w:tcBorders>
            <w:shd w:val="clear" w:color="auto" w:fill="auto"/>
          </w:tcPr>
          <w:p w14:paraId="7263F184" w14:textId="334C5AFC" w:rsidR="0048020D" w:rsidRPr="00CA4DD7" w:rsidRDefault="0048020D" w:rsidP="0048020D">
            <w:pPr>
              <w:spacing w:after="0"/>
              <w:rPr>
                <w:rFonts w:eastAsia="Times New Roman" w:cs="Times New Roman"/>
                <w:szCs w:val="24"/>
                <w:lang w:eastAsia="pt-BR"/>
              </w:rPr>
            </w:pPr>
            <w:r w:rsidRPr="00CA4DD7">
              <w:rPr>
                <w:rFonts w:cs="Times New Roman"/>
                <w:szCs w:val="24"/>
              </w:rPr>
              <w:t>to evaluate whether genotype-guided antiplatelet therapy reduces the rates of cardiovascular events and bleeding events in patients with ACS compared with conventional treatment</w:t>
            </w:r>
          </w:p>
        </w:tc>
        <w:tc>
          <w:tcPr>
            <w:tcW w:w="0" w:type="auto"/>
            <w:tcBorders>
              <w:bottom w:val="single" w:sz="4" w:space="0" w:color="auto"/>
            </w:tcBorders>
            <w:shd w:val="clear" w:color="auto" w:fill="auto"/>
          </w:tcPr>
          <w:p w14:paraId="7F354963" w14:textId="134B55FC" w:rsidR="0048020D" w:rsidRPr="00CA4DD7" w:rsidRDefault="0048020D" w:rsidP="0048020D">
            <w:pPr>
              <w:spacing w:after="0"/>
              <w:rPr>
                <w:rFonts w:eastAsia="Times New Roman" w:cs="Times New Roman"/>
                <w:szCs w:val="24"/>
                <w:lang w:eastAsia="pt-BR"/>
              </w:rPr>
            </w:pPr>
            <w:r w:rsidRPr="00CA4DD7">
              <w:rPr>
                <w:rFonts w:cs="Times New Roman"/>
                <w:szCs w:val="24"/>
              </w:rPr>
              <w:t>not specified</w:t>
            </w:r>
          </w:p>
        </w:tc>
        <w:tc>
          <w:tcPr>
            <w:tcW w:w="0" w:type="auto"/>
            <w:tcBorders>
              <w:bottom w:val="single" w:sz="4" w:space="0" w:color="auto"/>
            </w:tcBorders>
            <w:shd w:val="clear" w:color="auto" w:fill="auto"/>
          </w:tcPr>
          <w:p w14:paraId="3A4D65A8" w14:textId="4C2E4F41" w:rsidR="0048020D" w:rsidRPr="00CA4DD7" w:rsidRDefault="0048020D" w:rsidP="0048020D">
            <w:pPr>
              <w:spacing w:after="0"/>
              <w:rPr>
                <w:rFonts w:eastAsia="Times New Roman" w:cs="Times New Roman"/>
                <w:szCs w:val="24"/>
                <w:lang w:eastAsia="pt-BR"/>
              </w:rPr>
            </w:pPr>
            <w:r w:rsidRPr="00CA4DD7">
              <w:rPr>
                <w:rFonts w:cs="Times New Roman"/>
                <w:szCs w:val="24"/>
              </w:rPr>
              <w:t xml:space="preserve">patients with ACS with PCI or without PCI; studies comparing genotype-guided antiplatelet therapy with conventional treatment </w:t>
            </w:r>
          </w:p>
        </w:tc>
        <w:tc>
          <w:tcPr>
            <w:tcW w:w="0" w:type="auto"/>
            <w:tcBorders>
              <w:bottom w:val="single" w:sz="4" w:space="0" w:color="auto"/>
            </w:tcBorders>
            <w:shd w:val="clear" w:color="auto" w:fill="auto"/>
          </w:tcPr>
          <w:p w14:paraId="4641C043" w14:textId="27A35EFC" w:rsidR="0048020D" w:rsidRPr="00CA4DD7" w:rsidRDefault="0048020D" w:rsidP="0048020D">
            <w:pPr>
              <w:spacing w:after="0"/>
              <w:rPr>
                <w:rFonts w:eastAsia="Times New Roman" w:cs="Times New Roman"/>
                <w:szCs w:val="24"/>
                <w:lang w:eastAsia="pt-BR"/>
              </w:rPr>
            </w:pPr>
            <w:r w:rsidRPr="00CA4DD7">
              <w:rPr>
                <w:rFonts w:cs="Times New Roman"/>
                <w:szCs w:val="24"/>
              </w:rPr>
              <w:t>3</w:t>
            </w:r>
          </w:p>
        </w:tc>
        <w:tc>
          <w:tcPr>
            <w:tcW w:w="0" w:type="auto"/>
            <w:tcBorders>
              <w:bottom w:val="single" w:sz="4" w:space="0" w:color="auto"/>
            </w:tcBorders>
            <w:shd w:val="clear" w:color="auto" w:fill="auto"/>
          </w:tcPr>
          <w:p w14:paraId="6379A932" w14:textId="6AE53B10" w:rsidR="0048020D" w:rsidRPr="00CA4DD7" w:rsidRDefault="0048020D" w:rsidP="0048020D">
            <w:pPr>
              <w:spacing w:after="0"/>
              <w:rPr>
                <w:rFonts w:eastAsia="Times New Roman" w:cs="Times New Roman"/>
                <w:szCs w:val="24"/>
                <w:lang w:eastAsia="pt-BR"/>
              </w:rPr>
            </w:pPr>
            <w:r w:rsidRPr="00CA4DD7">
              <w:rPr>
                <w:rFonts w:cs="Times New Roman"/>
                <w:szCs w:val="24"/>
              </w:rPr>
              <w:t>from its inception to Sep 2018</w:t>
            </w:r>
          </w:p>
        </w:tc>
        <w:tc>
          <w:tcPr>
            <w:tcW w:w="0" w:type="auto"/>
            <w:tcBorders>
              <w:bottom w:val="single" w:sz="4" w:space="0" w:color="auto"/>
            </w:tcBorders>
            <w:shd w:val="clear" w:color="auto" w:fill="auto"/>
          </w:tcPr>
          <w:p w14:paraId="4D5CE1B8" w14:textId="39640CEA" w:rsidR="0048020D" w:rsidRPr="00CA4DD7" w:rsidRDefault="0048020D" w:rsidP="0048020D">
            <w:pPr>
              <w:spacing w:after="0"/>
              <w:rPr>
                <w:rFonts w:eastAsia="Times New Roman" w:cs="Times New Roman"/>
                <w:szCs w:val="24"/>
                <w:lang w:eastAsia="pt-BR"/>
              </w:rPr>
            </w:pPr>
            <w:r w:rsidRPr="00CA4DD7">
              <w:rPr>
                <w:rFonts w:cs="Times New Roman"/>
                <w:szCs w:val="24"/>
              </w:rPr>
              <w:t>5; observational studies, RCT</w:t>
            </w:r>
          </w:p>
        </w:tc>
        <w:tc>
          <w:tcPr>
            <w:tcW w:w="0" w:type="auto"/>
            <w:tcBorders>
              <w:bottom w:val="single" w:sz="4" w:space="0" w:color="auto"/>
            </w:tcBorders>
            <w:shd w:val="clear" w:color="auto" w:fill="auto"/>
          </w:tcPr>
          <w:p w14:paraId="7F4C21A9" w14:textId="03D2276E" w:rsidR="0048020D" w:rsidRPr="00CA4DD7" w:rsidRDefault="0048020D" w:rsidP="0048020D">
            <w:pPr>
              <w:spacing w:after="0"/>
              <w:rPr>
                <w:rFonts w:eastAsia="Times New Roman" w:cs="Times New Roman"/>
                <w:szCs w:val="24"/>
                <w:lang w:eastAsia="pt-BR"/>
              </w:rPr>
            </w:pPr>
            <w:r w:rsidRPr="00CA4DD7">
              <w:rPr>
                <w:rFonts w:cs="Times New Roman"/>
                <w:szCs w:val="24"/>
              </w:rPr>
              <w:t xml:space="preserve">Jadad scale, NOS </w:t>
            </w:r>
          </w:p>
        </w:tc>
      </w:tr>
      <w:tr w:rsidR="0048020D" w:rsidRPr="00CA4DD7" w14:paraId="4B46A062" w14:textId="77777777" w:rsidTr="002E0614">
        <w:trPr>
          <w:trHeight w:val="323"/>
        </w:trPr>
        <w:tc>
          <w:tcPr>
            <w:tcW w:w="0" w:type="auto"/>
            <w:gridSpan w:val="8"/>
            <w:tcBorders>
              <w:bottom w:val="single" w:sz="4" w:space="0" w:color="auto"/>
            </w:tcBorders>
            <w:shd w:val="clear" w:color="auto" w:fill="auto"/>
          </w:tcPr>
          <w:p w14:paraId="26C76A52" w14:textId="67CFFDC6" w:rsidR="0048020D" w:rsidRPr="00CA4DD7" w:rsidRDefault="0048020D" w:rsidP="0048020D">
            <w:pPr>
              <w:spacing w:after="0"/>
              <w:rPr>
                <w:rFonts w:cs="Times New Roman"/>
                <w:szCs w:val="24"/>
              </w:rPr>
            </w:pPr>
            <w:r w:rsidRPr="00CA4DD7">
              <w:rPr>
                <w:rFonts w:eastAsia="Times New Roman" w:cs="Times New Roman"/>
                <w:b/>
                <w:bCs/>
                <w:szCs w:val="24"/>
                <w:lang w:eastAsia="pt-BR"/>
              </w:rPr>
              <w:t xml:space="preserve">Clopidogrel – </w:t>
            </w:r>
            <w:r w:rsidRPr="00CA4DD7">
              <w:rPr>
                <w:rFonts w:eastAsia="Times New Roman" w:cs="Times New Roman"/>
                <w:b/>
                <w:bCs/>
                <w:i/>
                <w:iCs/>
                <w:szCs w:val="24"/>
                <w:lang w:eastAsia="pt-BR"/>
              </w:rPr>
              <w:t>CYP2C19</w:t>
            </w:r>
            <w:r w:rsidRPr="00CA4DD7">
              <w:rPr>
                <w:rFonts w:eastAsia="Times New Roman" w:cs="Times New Roman"/>
                <w:b/>
                <w:bCs/>
                <w:szCs w:val="24"/>
                <w:lang w:eastAsia="pt-BR"/>
              </w:rPr>
              <w:t xml:space="preserve"> (SRs without MA)</w:t>
            </w:r>
          </w:p>
        </w:tc>
      </w:tr>
      <w:tr w:rsidR="00D4689A" w:rsidRPr="00CA4DD7" w14:paraId="0CCC1575" w14:textId="77777777" w:rsidTr="0062498A">
        <w:trPr>
          <w:trHeight w:val="1562"/>
        </w:trPr>
        <w:tc>
          <w:tcPr>
            <w:tcW w:w="0" w:type="auto"/>
            <w:tcBorders>
              <w:top w:val="nil"/>
              <w:left w:val="nil"/>
              <w:bottom w:val="nil"/>
              <w:right w:val="nil"/>
            </w:tcBorders>
            <w:shd w:val="clear" w:color="auto" w:fill="D9D9D9" w:themeFill="background1" w:themeFillShade="D9"/>
          </w:tcPr>
          <w:p w14:paraId="25824C7E" w14:textId="223E414A" w:rsidR="0048020D" w:rsidRPr="00CA4DD7" w:rsidRDefault="0048020D" w:rsidP="0048020D">
            <w:pPr>
              <w:spacing w:after="0"/>
              <w:rPr>
                <w:rFonts w:eastAsia="Times New Roman" w:cs="Times New Roman"/>
                <w:szCs w:val="24"/>
                <w:lang w:eastAsia="pt-BR"/>
              </w:rPr>
            </w:pPr>
            <w:r w:rsidRPr="00CA4DD7">
              <w:rPr>
                <w:rFonts w:cs="Times New Roman"/>
                <w:szCs w:val="24"/>
              </w:rPr>
              <w:lastRenderedPageBreak/>
              <w:t xml:space="preserve">Ali and </w:t>
            </w:r>
            <w:proofErr w:type="spellStart"/>
            <w:r w:rsidRPr="00CA4DD7">
              <w:rPr>
                <w:rFonts w:cs="Times New Roman"/>
                <w:szCs w:val="24"/>
              </w:rPr>
              <w:t>Elewa</w:t>
            </w:r>
            <w:proofErr w:type="spellEnd"/>
            <w:r w:rsidRPr="00CA4DD7">
              <w:rPr>
                <w:rFonts w:cs="Times New Roman"/>
                <w:szCs w:val="24"/>
              </w:rPr>
              <w:t>, 2019</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pBZ3gvwb","properties":{"formattedCitation":"[17]","plainCitation":"[17]","noteIndex":0},"citationItems":[{"id":54,"uris":["http://zotero.org/users/local/CMEncDpE/items/C8DVMVC8"],"uri":["http://zotero.org/users/local/CMEncDpE/items/C8DVMVC8"],"itemData":{"id":54,"type":"article-journal","abstract":"Clopidogrel is the cornerstone antiplatelet used in the treatment and prevention of thrombotic events. Some studies examined the effect of CYP2C19 polymorphism and nongenetic factors on clopidogrel response in the Middle East and North Africa (MENA) region. However, the consistency among these studies is yet unknown. This study aims to estimate the prevalence of CYP2C19 genetic variants in MENA region and to evaluate the effect of these variants as well as the nongenetic factors on clopidogrel responsiveness. A systematic literature search was performed to identify relevant articles. Only observational studies were included. A total of 20 studies in 8 different populations were included. The CYP2C19*2 variant is the most prevalent loss-of-function (LOF) allele in the MENA region (1.7%-35%). The frequency of CYP2C19*17 ranged from 5.3% to 26.9%. Of the 9 studies, 6 found an association between carriers of at least 1 LOF allele and clopidogrel resistance. Older age, high body mass index, females, and the use of calcium channel blockers were associated with clopidogrel resistance as well. Association between the CYP2C19*2 allele and clopidogrel resistance is common among MENA populations. Future studies should focus on having larger sample sizes to detect other minor variant alleles and their effect on bleeding and cardiovascular outcomes.","container-title":"Clinical and Applied Thrombosis/Hemostasis: Official Journal of the International Academy of Clinical and Applied Thrombosis/Hemostasis","DOI":"10.1177/1076029619875520","ISSN":"1938-2723","journalAbbreviation":"Clin Appl Thromb Hemost","language":"eng","note":"PMID: 31512486\nPMCID: PMC6829969","page":"1076029619875520","source":"PubMed","title":"The Effect of CYP2C19 and Nongenetic Factors on Clopidogrel Responsiveness in the MENA Region: A Systematic Review","title-short":"The Effect of CYP2C19 and Nongenetic Factors on Clopidogrel Responsiveness in the MENA Region","volume":"25","author":[{"family":"Ali","given":"Zainab"},{"family":"Elewa","given":"Hazem"}],"issued":{"date-parts":[["2019",12]]}}}],"schema":"https://github.com/citation-style-language/schema/raw/master/csl-citation.json"} </w:instrText>
            </w:r>
            <w:r w:rsidR="00D4689A">
              <w:rPr>
                <w:rFonts w:cs="Times New Roman"/>
                <w:szCs w:val="24"/>
              </w:rPr>
              <w:fldChar w:fldCharType="separate"/>
            </w:r>
            <w:r w:rsidR="00D4689A" w:rsidRPr="00D4689A">
              <w:rPr>
                <w:rFonts w:cs="Times New Roman"/>
              </w:rPr>
              <w:t>[17]</w:t>
            </w:r>
            <w:r w:rsidR="00D4689A">
              <w:rPr>
                <w:rFonts w:cs="Times New Roman"/>
                <w:szCs w:val="24"/>
              </w:rPr>
              <w:fldChar w:fldCharType="end"/>
            </w:r>
          </w:p>
        </w:tc>
        <w:tc>
          <w:tcPr>
            <w:tcW w:w="0" w:type="auto"/>
            <w:tcBorders>
              <w:top w:val="nil"/>
              <w:left w:val="nil"/>
              <w:bottom w:val="nil"/>
              <w:right w:val="nil"/>
            </w:tcBorders>
            <w:shd w:val="clear" w:color="auto" w:fill="D9D9D9" w:themeFill="background1" w:themeFillShade="D9"/>
          </w:tcPr>
          <w:p w14:paraId="12BD3E24" w14:textId="13F353D1"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to estimate the prevalence of </w:t>
            </w:r>
            <w:r w:rsidRPr="00CA4DD7">
              <w:rPr>
                <w:rFonts w:eastAsia="Times New Roman" w:cs="Times New Roman"/>
                <w:i/>
                <w:szCs w:val="24"/>
                <w:lang w:eastAsia="pt-BR"/>
              </w:rPr>
              <w:t>CYP2C19</w:t>
            </w:r>
            <w:r w:rsidRPr="00CA4DD7">
              <w:rPr>
                <w:rFonts w:eastAsia="Times New Roman" w:cs="Times New Roman"/>
                <w:szCs w:val="24"/>
                <w:lang w:eastAsia="pt-BR"/>
              </w:rPr>
              <w:t xml:space="preserve"> genetic variants in the MENA region, and to evaluate the effect of these variants, as well as the nongenetic factors on clopidogrel responsiveness</w:t>
            </w:r>
          </w:p>
        </w:tc>
        <w:tc>
          <w:tcPr>
            <w:tcW w:w="0" w:type="auto"/>
            <w:tcBorders>
              <w:top w:val="nil"/>
              <w:left w:val="nil"/>
              <w:bottom w:val="nil"/>
              <w:right w:val="nil"/>
            </w:tcBorders>
            <w:shd w:val="clear" w:color="auto" w:fill="D9D9D9" w:themeFill="background1" w:themeFillShade="D9"/>
          </w:tcPr>
          <w:p w14:paraId="01059FAF" w14:textId="45DB6F87" w:rsidR="0048020D" w:rsidRPr="00CA4DD7" w:rsidRDefault="0048020D" w:rsidP="0048020D">
            <w:pPr>
              <w:spacing w:after="0"/>
              <w:rPr>
                <w:rFonts w:cs="Times New Roman"/>
                <w:szCs w:val="24"/>
              </w:rPr>
            </w:pPr>
            <w:r w:rsidRPr="00CA4DD7">
              <w:rPr>
                <w:rFonts w:eastAsia="Times New Roman" w:cs="Times New Roman"/>
                <w:szCs w:val="24"/>
                <w:lang w:eastAsia="pt-BR"/>
              </w:rPr>
              <w:t>≥ 16 years old from the MENA region</w:t>
            </w:r>
          </w:p>
        </w:tc>
        <w:tc>
          <w:tcPr>
            <w:tcW w:w="0" w:type="auto"/>
            <w:tcBorders>
              <w:top w:val="nil"/>
              <w:left w:val="nil"/>
              <w:bottom w:val="nil"/>
              <w:right w:val="nil"/>
            </w:tcBorders>
            <w:shd w:val="clear" w:color="auto" w:fill="D9D9D9" w:themeFill="background1" w:themeFillShade="D9"/>
          </w:tcPr>
          <w:p w14:paraId="4FCB9D51" w14:textId="07F7E1DF" w:rsidR="0048020D" w:rsidRPr="00CA4DD7" w:rsidRDefault="0048020D" w:rsidP="0048020D">
            <w:pPr>
              <w:spacing w:after="0"/>
              <w:rPr>
                <w:rFonts w:cs="Times New Roman"/>
                <w:szCs w:val="24"/>
              </w:rPr>
            </w:pPr>
            <w:r w:rsidRPr="00CA4DD7">
              <w:rPr>
                <w:rFonts w:eastAsia="Times New Roman" w:cs="Times New Roman"/>
                <w:szCs w:val="24"/>
                <w:lang w:eastAsia="pt-BR"/>
              </w:rPr>
              <w:t>Patients with ACS who require PCI and/or CABG, and are starting or continuing clopidogrel; clopidogrel users for an indication other than a cardiac one, such as stroke secondary prevention, were also included</w:t>
            </w:r>
          </w:p>
        </w:tc>
        <w:tc>
          <w:tcPr>
            <w:tcW w:w="0" w:type="auto"/>
            <w:tcBorders>
              <w:top w:val="nil"/>
              <w:left w:val="nil"/>
              <w:bottom w:val="nil"/>
              <w:right w:val="nil"/>
            </w:tcBorders>
            <w:shd w:val="clear" w:color="auto" w:fill="D9D9D9" w:themeFill="background1" w:themeFillShade="D9"/>
          </w:tcPr>
          <w:p w14:paraId="515F14BA" w14:textId="0B22F25F" w:rsidR="0048020D" w:rsidRPr="00CA4DD7" w:rsidRDefault="0048020D" w:rsidP="0048020D">
            <w:pPr>
              <w:spacing w:after="0"/>
              <w:rPr>
                <w:rFonts w:cs="Times New Roman"/>
                <w:szCs w:val="24"/>
              </w:rPr>
            </w:pPr>
            <w:r w:rsidRPr="00CA4DD7">
              <w:rPr>
                <w:rFonts w:eastAsia="Times New Roman" w:cs="Times New Roman"/>
                <w:szCs w:val="24"/>
                <w:lang w:eastAsia="pt-BR"/>
              </w:rPr>
              <w:t>6</w:t>
            </w:r>
          </w:p>
        </w:tc>
        <w:tc>
          <w:tcPr>
            <w:tcW w:w="0" w:type="auto"/>
            <w:tcBorders>
              <w:top w:val="nil"/>
              <w:left w:val="nil"/>
              <w:bottom w:val="nil"/>
              <w:right w:val="nil"/>
            </w:tcBorders>
            <w:shd w:val="clear" w:color="auto" w:fill="D9D9D9" w:themeFill="background1" w:themeFillShade="D9"/>
          </w:tcPr>
          <w:p w14:paraId="47AB02E1" w14:textId="4D2C85EE" w:rsidR="0048020D" w:rsidRPr="00CA4DD7" w:rsidRDefault="0048020D" w:rsidP="0048020D">
            <w:pPr>
              <w:spacing w:after="0"/>
              <w:rPr>
                <w:rFonts w:cs="Times New Roman"/>
                <w:szCs w:val="24"/>
              </w:rPr>
            </w:pPr>
            <w:r w:rsidRPr="00CA4DD7">
              <w:rPr>
                <w:rFonts w:eastAsia="Times New Roman" w:cs="Times New Roman"/>
                <w:szCs w:val="24"/>
                <w:lang w:eastAsia="pt-BR"/>
              </w:rPr>
              <w:t>from its inception to Apr 2016</w:t>
            </w:r>
          </w:p>
        </w:tc>
        <w:tc>
          <w:tcPr>
            <w:tcW w:w="0" w:type="auto"/>
            <w:tcBorders>
              <w:top w:val="nil"/>
              <w:left w:val="nil"/>
              <w:bottom w:val="nil"/>
              <w:right w:val="nil"/>
            </w:tcBorders>
            <w:shd w:val="clear" w:color="auto" w:fill="D9D9D9" w:themeFill="background1" w:themeFillShade="D9"/>
          </w:tcPr>
          <w:p w14:paraId="069A4D61" w14:textId="34E091E7" w:rsidR="0048020D" w:rsidRPr="00CA4DD7" w:rsidRDefault="0048020D" w:rsidP="0048020D">
            <w:pPr>
              <w:spacing w:after="0"/>
              <w:rPr>
                <w:rFonts w:cs="Times New Roman"/>
                <w:szCs w:val="24"/>
              </w:rPr>
            </w:pPr>
            <w:r w:rsidRPr="00CA4DD7">
              <w:rPr>
                <w:rFonts w:eastAsia="Times New Roman" w:cs="Times New Roman"/>
                <w:szCs w:val="24"/>
                <w:lang w:eastAsia="pt-BR"/>
              </w:rPr>
              <w:t>20; observational studies</w:t>
            </w:r>
          </w:p>
        </w:tc>
        <w:tc>
          <w:tcPr>
            <w:tcW w:w="0" w:type="auto"/>
            <w:tcBorders>
              <w:top w:val="nil"/>
              <w:left w:val="nil"/>
              <w:bottom w:val="nil"/>
              <w:right w:val="nil"/>
            </w:tcBorders>
            <w:shd w:val="clear" w:color="auto" w:fill="D9D9D9" w:themeFill="background1" w:themeFillShade="D9"/>
          </w:tcPr>
          <w:p w14:paraId="68973B55" w14:textId="457DBB31"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NHLBI tool for observational cohort and cross-sectional studies </w:t>
            </w:r>
          </w:p>
        </w:tc>
      </w:tr>
      <w:tr w:rsidR="0048020D" w:rsidRPr="00CA4DD7" w14:paraId="68F94170" w14:textId="77777777" w:rsidTr="00267A2F">
        <w:trPr>
          <w:trHeight w:val="323"/>
        </w:trPr>
        <w:tc>
          <w:tcPr>
            <w:tcW w:w="0" w:type="auto"/>
            <w:gridSpan w:val="8"/>
            <w:tcBorders>
              <w:top w:val="single" w:sz="4" w:space="0" w:color="auto"/>
              <w:bottom w:val="single" w:sz="4" w:space="0" w:color="auto"/>
            </w:tcBorders>
            <w:shd w:val="clear" w:color="auto" w:fill="FFFFFF" w:themeFill="background1"/>
          </w:tcPr>
          <w:p w14:paraId="07D74831" w14:textId="00556BC5" w:rsidR="0048020D" w:rsidRPr="00CA4DD7" w:rsidRDefault="0048020D" w:rsidP="0048020D">
            <w:pPr>
              <w:spacing w:after="0"/>
              <w:rPr>
                <w:rFonts w:cs="Times New Roman"/>
                <w:b/>
                <w:bCs/>
                <w:szCs w:val="24"/>
              </w:rPr>
            </w:pPr>
            <w:r w:rsidRPr="00CA4DD7">
              <w:rPr>
                <w:rFonts w:eastAsia="Times New Roman" w:cs="Times New Roman"/>
                <w:b/>
                <w:bCs/>
                <w:szCs w:val="24"/>
                <w:lang w:eastAsia="pt-BR"/>
              </w:rPr>
              <w:t xml:space="preserve">Warfarin – </w:t>
            </w:r>
            <w:r w:rsidRPr="00CA4DD7">
              <w:rPr>
                <w:rFonts w:eastAsia="Times New Roman" w:cs="Times New Roman"/>
                <w:b/>
                <w:bCs/>
                <w:i/>
                <w:iCs/>
                <w:szCs w:val="24"/>
                <w:lang w:eastAsia="pt-BR"/>
              </w:rPr>
              <w:t xml:space="preserve">CYP2C9 </w:t>
            </w:r>
            <w:r w:rsidRPr="00CA4DD7">
              <w:rPr>
                <w:rFonts w:eastAsia="Times New Roman" w:cs="Times New Roman"/>
                <w:b/>
                <w:bCs/>
                <w:szCs w:val="24"/>
                <w:lang w:eastAsia="pt-BR"/>
              </w:rPr>
              <w:t>and</w:t>
            </w:r>
            <w:r w:rsidRPr="00CA4DD7">
              <w:rPr>
                <w:rFonts w:eastAsia="Times New Roman" w:cs="Times New Roman"/>
                <w:b/>
                <w:bCs/>
                <w:i/>
                <w:iCs/>
                <w:szCs w:val="24"/>
                <w:lang w:eastAsia="pt-BR"/>
              </w:rPr>
              <w:t xml:space="preserve"> VKORC1</w:t>
            </w:r>
            <w:r w:rsidRPr="00CA4DD7">
              <w:rPr>
                <w:rFonts w:eastAsia="Times New Roman" w:cs="Times New Roman"/>
                <w:b/>
                <w:bCs/>
                <w:szCs w:val="24"/>
                <w:lang w:eastAsia="pt-BR"/>
              </w:rPr>
              <w:t xml:space="preserve"> (SRs with MA)</w:t>
            </w:r>
          </w:p>
        </w:tc>
      </w:tr>
      <w:tr w:rsidR="00D4689A" w:rsidRPr="00CA4DD7" w14:paraId="18EB30F7" w14:textId="77777777" w:rsidTr="00C9428D">
        <w:trPr>
          <w:trHeight w:val="1522"/>
        </w:trPr>
        <w:tc>
          <w:tcPr>
            <w:tcW w:w="0" w:type="auto"/>
            <w:tcBorders>
              <w:top w:val="single" w:sz="4" w:space="0" w:color="auto"/>
            </w:tcBorders>
            <w:shd w:val="clear" w:color="auto" w:fill="D9D9D9" w:themeFill="background1" w:themeFillShade="D9"/>
          </w:tcPr>
          <w:p w14:paraId="5F161A70" w14:textId="1FF0AA04" w:rsidR="0048020D" w:rsidRPr="00CA4DD7" w:rsidRDefault="0048020D" w:rsidP="0048020D">
            <w:pPr>
              <w:spacing w:after="0"/>
              <w:rPr>
                <w:rFonts w:eastAsia="Times New Roman" w:cs="Times New Roman"/>
                <w:szCs w:val="24"/>
                <w:lang w:eastAsia="pt-BR"/>
              </w:rPr>
            </w:pPr>
            <w:r w:rsidRPr="00CC3F07">
              <w:rPr>
                <w:rFonts w:cs="Times New Roman"/>
                <w:szCs w:val="24"/>
              </w:rPr>
              <w:t>Goulding et al., 2015</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0dhbcreQ","properties":{"formattedCitation":"[18]","plainCitation":"[18]","noteIndex":0},"citationItems":[{"id":57,"uris":["http://zotero.org/users/local/CMEncDpE/items/XC3JP4U9"],"uri":["http://zotero.org/users/local/CMEncDpE/items/XC3JP4U9"],"itemData":{"id":57,"type":"article-journal","abstract":"AIM: Adverse drug events lead to increased morbidity, mortality and health care costs. Pharmacogenetic testing that guides drug prescribing has the potential to reduced adverse drug events and increase drug effectiveness. Our aim was to quantify the clinical effectiveness of genotype-guided prescribing.\nMETHODS: Three electronic databases were searched from January 1980 through December 2013. Studies were eligible if they were RCTs comparing genotype-guided prescribing with non-genetic informed prescribing, reported drug specific adverse drug events and clinical effectiveness outcomes. Two reviewers independently screened titles and abstracts, extracted data and assessed study quality. Meta-analyses of specific outcomes were conducted where data allowed.\nRESULTS: Fifteen studies, involving 5688 patients and 19 drugs, met the inclusion and exclusion criteria. Eight studies had statistically significant results for their primary outcome in favour of genotype-guided prescribing. Nine studies evaluated genotype-guided warfarin dosing. Analysis of percentage of time in therapeutic international normalized ratio range (1952 individuals) showed a statistically significant benefit in favour of genotype-guided warfarin dosing (mean difference = 6.67; 95% CI 1.34, 12.0, I(2) = 80%). There was a statistically significant reduction in numbers of warfarin-related minor bleeding, major bleeding and thromboembolisms associated with genotype guided warfarin dosing, relative risk 0.57 (95% CI 0.33, 0.99; I(2) = 60%). It was not possible to meta-analyze genotype-guided dosing for other drugs. Of the six non-warfarin genotype-guided trials, two demonstrated a statistically significant benefit for their primary outcome, odds ratio 0.03 (95% CI 0.00, 0.62, P &lt; 0.001) for abacavir.\nCONCLUSIONS: There is evidence of improved clinical effectiveness associated with genotype-guided warfarin dosing.","container-title":"British Journal of Clinical Pharmacology","DOI":"10.1111/bcp.12475","ISSN":"1365-2125","issue":"4","journalAbbreviation":"Br J Clin Pharmacol","language":"eng","note":"PMID: 25060532\nPMCID: PMC4594730","page":"868-877","source":"PubMed","title":"Genotype-guided drug prescribing: a systematic review and meta-analysis of randomized control trials","title-short":"Genotype-guided drug prescribing","volume":"80","author":[{"family":"Goulding","given":"Rebecca"},{"family":"Dawes","given":"Diana"},{"family":"Price","given":"Morgan"},{"family":"Wilkie","given":"Sabrina"},{"family":"Dawes","given":"Martin"}],"issued":{"date-parts":[["2015",10]]}}}],"schema":"https://github.com/citation-style-language/schema/raw/master/csl-citation.json"} </w:instrText>
            </w:r>
            <w:r w:rsidR="00D4689A">
              <w:rPr>
                <w:rFonts w:cs="Times New Roman"/>
                <w:szCs w:val="24"/>
              </w:rPr>
              <w:fldChar w:fldCharType="separate"/>
            </w:r>
            <w:r w:rsidR="00D4689A" w:rsidRPr="00D4689A">
              <w:rPr>
                <w:rFonts w:cs="Times New Roman"/>
              </w:rPr>
              <w:t>[18]</w:t>
            </w:r>
            <w:r w:rsidR="00D4689A">
              <w:rPr>
                <w:rFonts w:cs="Times New Roman"/>
                <w:szCs w:val="24"/>
              </w:rPr>
              <w:fldChar w:fldCharType="end"/>
            </w:r>
          </w:p>
        </w:tc>
        <w:tc>
          <w:tcPr>
            <w:tcW w:w="0" w:type="auto"/>
            <w:tcBorders>
              <w:top w:val="single" w:sz="4" w:space="0" w:color="auto"/>
            </w:tcBorders>
            <w:shd w:val="clear" w:color="auto" w:fill="D9D9D9" w:themeFill="background1" w:themeFillShade="D9"/>
          </w:tcPr>
          <w:p w14:paraId="6E0112DB" w14:textId="60BF8DD7" w:rsidR="0048020D" w:rsidRPr="00CA4DD7" w:rsidRDefault="0048020D" w:rsidP="0048020D">
            <w:pPr>
              <w:spacing w:after="0"/>
              <w:rPr>
                <w:rFonts w:cs="Times New Roman"/>
                <w:szCs w:val="24"/>
              </w:rPr>
            </w:pPr>
            <w:r w:rsidRPr="00CA4DD7">
              <w:rPr>
                <w:rFonts w:eastAsia="Times New Roman" w:cs="Times New Roman"/>
                <w:szCs w:val="24"/>
                <w:lang w:eastAsia="pt-BR"/>
              </w:rPr>
              <w:t>to quantify the clinical effectiveness of genotype-guided prescription</w:t>
            </w:r>
          </w:p>
        </w:tc>
        <w:tc>
          <w:tcPr>
            <w:tcW w:w="0" w:type="auto"/>
            <w:tcBorders>
              <w:top w:val="single" w:sz="4" w:space="0" w:color="auto"/>
            </w:tcBorders>
            <w:shd w:val="clear" w:color="auto" w:fill="D9D9D9" w:themeFill="background1" w:themeFillShade="D9"/>
          </w:tcPr>
          <w:p w14:paraId="3A3D5B9D" w14:textId="08C122E5" w:rsidR="0048020D" w:rsidRPr="00CA4DD7" w:rsidRDefault="0048020D" w:rsidP="0048020D">
            <w:pPr>
              <w:spacing w:after="0"/>
              <w:rPr>
                <w:rFonts w:cs="Times New Roman"/>
                <w:szCs w:val="24"/>
              </w:rPr>
            </w:pPr>
            <w:r w:rsidRPr="00CA4DD7">
              <w:rPr>
                <w:rFonts w:eastAsia="Times New Roman" w:cs="Times New Roman"/>
                <w:szCs w:val="24"/>
                <w:lang w:eastAsia="pt-BR"/>
              </w:rPr>
              <w:t>not specified</w:t>
            </w:r>
          </w:p>
        </w:tc>
        <w:tc>
          <w:tcPr>
            <w:tcW w:w="0" w:type="auto"/>
            <w:tcBorders>
              <w:top w:val="single" w:sz="4" w:space="0" w:color="auto"/>
            </w:tcBorders>
            <w:shd w:val="clear" w:color="auto" w:fill="D9D9D9" w:themeFill="background1" w:themeFillShade="D9"/>
          </w:tcPr>
          <w:p w14:paraId="5EF059D8" w14:textId="00DEC270" w:rsidR="0048020D" w:rsidRPr="00CA4DD7" w:rsidRDefault="0048020D" w:rsidP="0048020D">
            <w:pPr>
              <w:spacing w:after="0"/>
              <w:rPr>
                <w:rFonts w:cs="Times New Roman"/>
                <w:szCs w:val="24"/>
              </w:rPr>
            </w:pPr>
            <w:r w:rsidRPr="00CA4DD7">
              <w:rPr>
                <w:rFonts w:eastAsia="Times New Roman" w:cs="Times New Roman"/>
                <w:szCs w:val="24"/>
                <w:lang w:eastAsia="pt-BR"/>
              </w:rPr>
              <w:t>use of genetic information such as SNP or CNV to guide drug prescription (</w:t>
            </w:r>
            <w:proofErr w:type="gramStart"/>
            <w:r w:rsidRPr="00CA4DD7">
              <w:rPr>
                <w:rFonts w:eastAsia="Times New Roman" w:cs="Times New Roman"/>
                <w:szCs w:val="24"/>
                <w:lang w:eastAsia="pt-BR"/>
              </w:rPr>
              <w:t>e.g.</w:t>
            </w:r>
            <w:proofErr w:type="gramEnd"/>
            <w:r w:rsidRPr="00CA4DD7">
              <w:rPr>
                <w:rFonts w:eastAsia="Times New Roman" w:cs="Times New Roman"/>
                <w:szCs w:val="24"/>
                <w:lang w:eastAsia="pt-BR"/>
              </w:rPr>
              <w:t xml:space="preserve"> dose, choice of drug) and measured clinical outcome or outcomes that determine the benefits of using the genetic information</w:t>
            </w:r>
          </w:p>
        </w:tc>
        <w:tc>
          <w:tcPr>
            <w:tcW w:w="0" w:type="auto"/>
            <w:tcBorders>
              <w:top w:val="single" w:sz="4" w:space="0" w:color="auto"/>
            </w:tcBorders>
            <w:shd w:val="clear" w:color="auto" w:fill="D9D9D9" w:themeFill="background1" w:themeFillShade="D9"/>
          </w:tcPr>
          <w:p w14:paraId="45B39C12" w14:textId="4A2EB0AE" w:rsidR="0048020D" w:rsidRPr="00CA4DD7" w:rsidRDefault="0048020D" w:rsidP="0048020D">
            <w:pPr>
              <w:spacing w:after="0"/>
              <w:rPr>
                <w:rFonts w:cs="Times New Roman"/>
                <w:szCs w:val="24"/>
              </w:rPr>
            </w:pPr>
            <w:r w:rsidRPr="00CA4DD7">
              <w:rPr>
                <w:rFonts w:eastAsia="Times New Roman" w:cs="Times New Roman"/>
                <w:szCs w:val="24"/>
                <w:lang w:eastAsia="pt-BR"/>
              </w:rPr>
              <w:t>3</w:t>
            </w:r>
          </w:p>
        </w:tc>
        <w:tc>
          <w:tcPr>
            <w:tcW w:w="0" w:type="auto"/>
            <w:tcBorders>
              <w:top w:val="single" w:sz="4" w:space="0" w:color="auto"/>
            </w:tcBorders>
            <w:shd w:val="clear" w:color="auto" w:fill="D9D9D9" w:themeFill="background1" w:themeFillShade="D9"/>
          </w:tcPr>
          <w:p w14:paraId="167727E6" w14:textId="37097FCD" w:rsidR="0048020D" w:rsidRPr="00CA4DD7" w:rsidRDefault="0048020D" w:rsidP="0048020D">
            <w:pPr>
              <w:spacing w:after="0"/>
              <w:rPr>
                <w:rFonts w:cs="Times New Roman"/>
                <w:szCs w:val="24"/>
              </w:rPr>
            </w:pPr>
            <w:r w:rsidRPr="00CA4DD7">
              <w:rPr>
                <w:rFonts w:eastAsia="Times New Roman" w:cs="Times New Roman"/>
                <w:szCs w:val="24"/>
                <w:lang w:eastAsia="pt-BR"/>
              </w:rPr>
              <w:t>Jan 1980 to Dec 2013</w:t>
            </w:r>
          </w:p>
        </w:tc>
        <w:tc>
          <w:tcPr>
            <w:tcW w:w="0" w:type="auto"/>
            <w:tcBorders>
              <w:top w:val="single" w:sz="4" w:space="0" w:color="auto"/>
            </w:tcBorders>
            <w:shd w:val="clear" w:color="auto" w:fill="D9D9D9" w:themeFill="background1" w:themeFillShade="D9"/>
          </w:tcPr>
          <w:p w14:paraId="74424F5C" w14:textId="4671C7F6" w:rsidR="0048020D" w:rsidRPr="00CA4DD7" w:rsidRDefault="0048020D" w:rsidP="0048020D">
            <w:pPr>
              <w:spacing w:after="0"/>
              <w:rPr>
                <w:rFonts w:cs="Times New Roman"/>
                <w:szCs w:val="24"/>
              </w:rPr>
            </w:pPr>
            <w:r w:rsidRPr="00CA4DD7">
              <w:rPr>
                <w:rFonts w:eastAsia="Times New Roman" w:cs="Times New Roman"/>
                <w:szCs w:val="24"/>
                <w:lang w:eastAsia="pt-BR"/>
              </w:rPr>
              <w:t>15; RCT</w:t>
            </w:r>
          </w:p>
        </w:tc>
        <w:tc>
          <w:tcPr>
            <w:tcW w:w="0" w:type="auto"/>
            <w:tcBorders>
              <w:top w:val="single" w:sz="4" w:space="0" w:color="auto"/>
            </w:tcBorders>
            <w:shd w:val="clear" w:color="auto" w:fill="D9D9D9" w:themeFill="background1" w:themeFillShade="D9"/>
          </w:tcPr>
          <w:p w14:paraId="2EEB6E17" w14:textId="667F38D1" w:rsidR="0048020D" w:rsidRPr="00CA4DD7" w:rsidRDefault="0048020D" w:rsidP="0048020D">
            <w:pPr>
              <w:spacing w:after="0"/>
              <w:rPr>
                <w:rFonts w:cs="Times New Roman"/>
                <w:szCs w:val="24"/>
              </w:rPr>
            </w:pPr>
            <w:r w:rsidRPr="00CA4DD7">
              <w:rPr>
                <w:rFonts w:eastAsia="Times New Roman" w:cs="Times New Roman"/>
                <w:szCs w:val="24"/>
                <w:lang w:eastAsia="pt-BR"/>
              </w:rPr>
              <w:t>Cochrane risk-of-bias tool for randomized trials</w:t>
            </w:r>
          </w:p>
        </w:tc>
      </w:tr>
      <w:tr w:rsidR="00D4689A" w:rsidRPr="00CA4DD7" w14:paraId="15D44ADB" w14:textId="77777777" w:rsidTr="00C9428D">
        <w:trPr>
          <w:trHeight w:val="1113"/>
        </w:trPr>
        <w:tc>
          <w:tcPr>
            <w:tcW w:w="0" w:type="auto"/>
            <w:tcBorders>
              <w:left w:val="nil"/>
              <w:bottom w:val="nil"/>
              <w:right w:val="nil"/>
            </w:tcBorders>
            <w:shd w:val="clear" w:color="auto" w:fill="FFFFFF" w:themeFill="background1"/>
          </w:tcPr>
          <w:p w14:paraId="160B8481" w14:textId="6E6EF1F7" w:rsidR="0048020D" w:rsidRPr="00CA4DD7" w:rsidRDefault="0048020D" w:rsidP="0048020D">
            <w:pPr>
              <w:spacing w:after="0"/>
              <w:rPr>
                <w:rFonts w:eastAsia="Times New Roman" w:cs="Times New Roman"/>
                <w:szCs w:val="24"/>
                <w:lang w:eastAsia="pt-BR"/>
              </w:rPr>
            </w:pPr>
            <w:r w:rsidRPr="00CC3F07">
              <w:rPr>
                <w:rFonts w:cs="Times New Roman"/>
                <w:szCs w:val="24"/>
              </w:rPr>
              <w:t>Jorgensen et al., 2012</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NYm51VGv","properties":{"formattedCitation":"[19]","plainCitation":"[19]","noteIndex":0},"citationItems":[{"id":49,"uris":["http://zotero.org/users/local/CMEncDpE/items/BJFHRSQL"],"uri":["http://zotero.org/users/local/CMEncDpE/items/BJFHRSQL"],"itemData":{"id":49,"type":"article-journal","abstract":"Background Warfarin is a highly effective anticoagulant however its effectiveness relies on maintaining INR in therapeutic range. Finding the correct dose is difficult due to large inter-individual variability. Two genes, CYP2C9 and VKORC1, have been associated with this variability, leading to genotype-guided dosing tables in warfarin labeling. Nonetheless, it remains unclear how genotypic information should be used in practice. Navigating the literature to determine how genotype will influence warfarin response in a particular patient is difficult, due to significant variation in patient ethnicity, outcomes investigated, study design, and methodological rigor. Our systematic review was conducted to enable fair and accurate interpretation of which variants affect which outcomes, in which patients, and to what extent. Methodology/Principal Findings A comprehensive search strategy was applied and 117 studies included. Primary outcomes were stable dose, time to stable dose and bleeding events. Methodological quality was assessed using criteria of Jorgensen and Williamson and data synthesized in meta-analyses using advanced methods. Pooled effect estimates were significant in most ethnic groups for CYP2C9*3 and stable dose (mutant types requiring between 1.1(0.7–1.5) and 2.3 (1.6–3.0)mg/day). Effect estimates were also significant for VKORC1 and stable dose for most ethnicities, although direction differed between asians and non-asians (mutant types requiring between 0.8(0.4–1.3) and 1.5(1.1–1.8)mg/day more in asians and between 1.5(0.7–2.2) and 3.1(2.7–3.6)mg/day less in non-asians). Several studies were excluded due to inadequate data reporting. Assessing study quality highlighted significant variability in methodological rigor. Notably, there was significant evidence of selective reporting, of outcomes and analysis approaches. Conclusions/Significance Genetic associations with warfarin response vary between ethnicities. In order to achieve unbiased estimates in different populations, a high level of methodological rigor must be maintained and studies should report sufficient data to enable inclusion in meta-analyses. We propose minimum reporting requirements, suggest methodological guidelines and provide recommendations for reducing the risk of selective reporting.","container-title":"PLOS ONE","DOI":"10.1371/journal.pone.0044064","ISSN":"1932-6203","issue":"8","journalAbbreviation":"PLOS ONE","language":"en","note":"publisher: Public Library of Science","page":"e44064","source":"PLoS Journals","title":"Influence of CYP2C9 and VKORC1 on Patient Response to Warfarin: A Systematic Review and Meta-Analysis","title-short":"Influence of CYP2C9 and VKORC1 on Patient Response to Warfarin","volume":"7","author":[{"family":"Jorgensen","given":"Andrea L."},{"family":"FitzGerald","given":"Richard J."},{"family":"Oyee","given":"James"},{"family":"Pirmohamed","given":"Munir"},{"family":"Williamson","given":"Paula R."}],"issued":{"date-parts":[["2012",8,29]]}}}],"schema":"https://github.com/citation-style-language/schema/raw/master/csl-citation.json"} </w:instrText>
            </w:r>
            <w:r w:rsidR="00D4689A">
              <w:rPr>
                <w:rFonts w:cs="Times New Roman"/>
                <w:szCs w:val="24"/>
              </w:rPr>
              <w:fldChar w:fldCharType="separate"/>
            </w:r>
            <w:r w:rsidR="00D4689A" w:rsidRPr="00D4689A">
              <w:rPr>
                <w:rFonts w:cs="Times New Roman"/>
              </w:rPr>
              <w:t>[19]</w:t>
            </w:r>
            <w:r w:rsidR="00D4689A">
              <w:rPr>
                <w:rFonts w:cs="Times New Roman"/>
                <w:szCs w:val="24"/>
              </w:rPr>
              <w:fldChar w:fldCharType="end"/>
            </w:r>
          </w:p>
        </w:tc>
        <w:tc>
          <w:tcPr>
            <w:tcW w:w="0" w:type="auto"/>
            <w:tcBorders>
              <w:left w:val="nil"/>
              <w:bottom w:val="nil"/>
              <w:right w:val="nil"/>
            </w:tcBorders>
            <w:shd w:val="clear" w:color="000000" w:fill="FFFFFF"/>
          </w:tcPr>
          <w:p w14:paraId="52E706D4" w14:textId="5332F096" w:rsidR="0048020D" w:rsidRPr="00CA4DD7" w:rsidRDefault="0048020D" w:rsidP="0048020D">
            <w:pPr>
              <w:spacing w:after="0"/>
              <w:rPr>
                <w:rFonts w:cs="Times New Roman"/>
                <w:szCs w:val="24"/>
              </w:rPr>
            </w:pPr>
            <w:r w:rsidRPr="00CA4DD7">
              <w:rPr>
                <w:rFonts w:eastAsia="Times New Roman" w:cs="Times New Roman"/>
                <w:szCs w:val="24"/>
                <w:lang w:eastAsia="pt-BR"/>
              </w:rPr>
              <w:t>to enable fair and accurate interpretation of which variants affect which outcomes, in which patients, and to what extent</w:t>
            </w:r>
          </w:p>
        </w:tc>
        <w:tc>
          <w:tcPr>
            <w:tcW w:w="0" w:type="auto"/>
            <w:tcBorders>
              <w:left w:val="nil"/>
              <w:bottom w:val="nil"/>
              <w:right w:val="nil"/>
            </w:tcBorders>
            <w:shd w:val="clear" w:color="000000" w:fill="FFFFFF"/>
          </w:tcPr>
          <w:p w14:paraId="03FDD52D" w14:textId="64448EE5" w:rsidR="0048020D" w:rsidRPr="00CA4DD7" w:rsidRDefault="0048020D" w:rsidP="0048020D">
            <w:pPr>
              <w:spacing w:after="0"/>
              <w:rPr>
                <w:rFonts w:cs="Times New Roman"/>
                <w:szCs w:val="24"/>
              </w:rPr>
            </w:pPr>
            <w:r w:rsidRPr="00CA4DD7">
              <w:rPr>
                <w:rFonts w:eastAsia="Times New Roman" w:cs="Times New Roman"/>
                <w:szCs w:val="24"/>
                <w:lang w:eastAsia="pt-BR"/>
              </w:rPr>
              <w:t>not specified</w:t>
            </w:r>
          </w:p>
        </w:tc>
        <w:tc>
          <w:tcPr>
            <w:tcW w:w="0" w:type="auto"/>
            <w:tcBorders>
              <w:left w:val="nil"/>
              <w:bottom w:val="nil"/>
              <w:right w:val="nil"/>
            </w:tcBorders>
            <w:shd w:val="clear" w:color="000000" w:fill="FFFFFF"/>
          </w:tcPr>
          <w:p w14:paraId="3BE7D0E0" w14:textId="48B34802"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patients who are commencing/ established on warfarin and genotyped for </w:t>
            </w:r>
            <w:r w:rsidRPr="00CA4DD7">
              <w:rPr>
                <w:rFonts w:eastAsia="Times New Roman" w:cs="Times New Roman"/>
                <w:i/>
                <w:szCs w:val="24"/>
                <w:lang w:eastAsia="pt-BR"/>
              </w:rPr>
              <w:t>CYP2C9</w:t>
            </w:r>
            <w:r w:rsidRPr="00CA4DD7">
              <w:rPr>
                <w:rFonts w:eastAsia="Times New Roman" w:cs="Times New Roman"/>
                <w:szCs w:val="24"/>
                <w:lang w:eastAsia="pt-BR"/>
              </w:rPr>
              <w:t>/</w:t>
            </w:r>
            <w:r w:rsidRPr="00CA4DD7">
              <w:rPr>
                <w:rFonts w:eastAsia="Times New Roman" w:cs="Times New Roman"/>
                <w:i/>
                <w:szCs w:val="24"/>
                <w:lang w:eastAsia="pt-BR"/>
              </w:rPr>
              <w:t>VKORC1</w:t>
            </w:r>
            <w:r w:rsidRPr="00CA4DD7">
              <w:rPr>
                <w:rFonts w:eastAsia="Times New Roman" w:cs="Times New Roman"/>
                <w:szCs w:val="24"/>
                <w:lang w:eastAsia="pt-BR"/>
              </w:rPr>
              <w:t xml:space="preserve"> variants, to investigate their effect on treatment response</w:t>
            </w:r>
          </w:p>
        </w:tc>
        <w:tc>
          <w:tcPr>
            <w:tcW w:w="0" w:type="auto"/>
            <w:tcBorders>
              <w:left w:val="nil"/>
              <w:bottom w:val="nil"/>
              <w:right w:val="nil"/>
            </w:tcBorders>
            <w:shd w:val="clear" w:color="000000" w:fill="FFFFFF"/>
          </w:tcPr>
          <w:p w14:paraId="4744FDB0" w14:textId="46868732" w:rsidR="0048020D" w:rsidRPr="00CA4DD7" w:rsidRDefault="0048020D" w:rsidP="0048020D">
            <w:pPr>
              <w:spacing w:after="0"/>
              <w:rPr>
                <w:rFonts w:cs="Times New Roman"/>
                <w:szCs w:val="24"/>
              </w:rPr>
            </w:pPr>
            <w:r w:rsidRPr="00CA4DD7">
              <w:rPr>
                <w:rFonts w:eastAsia="Times New Roman" w:cs="Times New Roman"/>
                <w:szCs w:val="24"/>
                <w:lang w:eastAsia="pt-BR"/>
              </w:rPr>
              <w:t>1</w:t>
            </w:r>
          </w:p>
        </w:tc>
        <w:tc>
          <w:tcPr>
            <w:tcW w:w="0" w:type="auto"/>
            <w:tcBorders>
              <w:left w:val="nil"/>
              <w:bottom w:val="nil"/>
              <w:right w:val="nil"/>
            </w:tcBorders>
            <w:shd w:val="clear" w:color="000000" w:fill="FFFFFF"/>
          </w:tcPr>
          <w:p w14:paraId="3CC51A63" w14:textId="0278A2A9" w:rsidR="0048020D" w:rsidRPr="00CA4DD7" w:rsidRDefault="0048020D" w:rsidP="0048020D">
            <w:pPr>
              <w:spacing w:after="0"/>
              <w:rPr>
                <w:rFonts w:cs="Times New Roman"/>
                <w:szCs w:val="24"/>
              </w:rPr>
            </w:pPr>
            <w:r w:rsidRPr="00CA4DD7">
              <w:rPr>
                <w:rFonts w:eastAsia="Times New Roman" w:cs="Times New Roman"/>
                <w:szCs w:val="24"/>
                <w:lang w:eastAsia="pt-BR"/>
              </w:rPr>
              <w:t>Sep 2009</w:t>
            </w:r>
          </w:p>
        </w:tc>
        <w:tc>
          <w:tcPr>
            <w:tcW w:w="0" w:type="auto"/>
            <w:tcBorders>
              <w:left w:val="nil"/>
              <w:bottom w:val="nil"/>
              <w:right w:val="nil"/>
            </w:tcBorders>
            <w:shd w:val="clear" w:color="000000" w:fill="FFFFFF"/>
          </w:tcPr>
          <w:p w14:paraId="70920C72" w14:textId="02C00990" w:rsidR="0048020D" w:rsidRPr="00CA4DD7" w:rsidRDefault="0048020D" w:rsidP="0048020D">
            <w:pPr>
              <w:spacing w:after="0"/>
              <w:rPr>
                <w:rFonts w:cs="Times New Roman"/>
                <w:szCs w:val="24"/>
              </w:rPr>
            </w:pPr>
            <w:r w:rsidRPr="00CA4DD7">
              <w:rPr>
                <w:rFonts w:eastAsia="Times New Roman" w:cs="Times New Roman"/>
                <w:szCs w:val="24"/>
                <w:lang w:eastAsia="pt-BR"/>
              </w:rPr>
              <w:t>117; observational studies, RCT</w:t>
            </w:r>
          </w:p>
        </w:tc>
        <w:tc>
          <w:tcPr>
            <w:tcW w:w="0" w:type="auto"/>
            <w:tcBorders>
              <w:left w:val="nil"/>
              <w:bottom w:val="nil"/>
              <w:right w:val="nil"/>
            </w:tcBorders>
            <w:shd w:val="clear" w:color="000000" w:fill="FFFFFF"/>
          </w:tcPr>
          <w:p w14:paraId="2DF4725E" w14:textId="54C42DBE"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Jorgensen and Williamson, 2008 </w:t>
            </w:r>
            <w:r w:rsidRPr="00CA4DD7">
              <w:rPr>
                <w:rFonts w:eastAsia="Times New Roman" w:cs="Times New Roman"/>
                <w:szCs w:val="24"/>
                <w:lang w:eastAsia="pt-BR"/>
              </w:rPr>
              <w:fldChar w:fldCharType="begin"/>
            </w:r>
            <w:r w:rsidR="00D4689A">
              <w:rPr>
                <w:rFonts w:eastAsia="Times New Roman" w:cs="Times New Roman"/>
                <w:szCs w:val="24"/>
                <w:lang w:eastAsia="pt-BR"/>
              </w:rPr>
              <w:instrText xml:space="preserve"> ADDIN ZOTERO_ITEM CSL_CITATION {"citationID":"6ptTwCmy","properties":{"formattedCitation":"[20]","plainCitation":"[20]","noteIndex":0},"citationItems":[{"id":102,"uris":["http://zotero.org/users/local/CMEncDpE/items/685MXXAD"],"uri":["http://zotero.org/users/local/CMEncDpE/items/685MXXAD"],"itemData":{"id":102,"type":"article-journal","abstract":"Pharmacogenetic studies investigate association between genetic variants(double dagger) and drug efficacy and toxicity. Regardless of the extent of current knowledge regarding the human genome(double dagger) and relatively low genotyping costs, the value of pharmacogenetic studies in improving understanding of variable drug response remains contentious. Failure to replicate initial significant findings in subsequent studies is one reason for this and problems with methodological quality has been cited as contributing to this lack of replication. Here, concerns raised in the literature regarding the methodological quality of genetic association studies in general are discussed with particular consideration given to how applicable they are to the conduct and reporting of pharmacogenetic studies. Some of these issues such as sample size and quality of genotypes(double dagger) have been given significant attention in the literature already whereas others, such as dealing with missing genotypes and assumptions regarding mode of inheritance, have been discussed very little. Issues of quality believed to be uniquely relevant to pharmacogenetic studies are also considered. These discussions close with an assessment of how well the issues are dealt with in pharmacogenetic studies published over recent years and, overall, methodological quality is found to be poor. A checklist is provided of issues to be addressed whenever a future pharmacogenetic study is embarked upon. Referring to this checklist will improve the chances of replication and instil confidence in the integrity of future pharmacogenetic studies. It will also serve as a tool in assessing methodological quality of studies included in a systematic review of pharmacogenetic studies.","container-title":"Statistics in Medicine","DOI":"10.1002/sim.3420","ISSN":"0277-6715","issue":"30","journalAbbreviation":"Stat Med","language":"eng","note":"PMID: 18837075","page":"6547-6569","source":"PubMed","title":"Methodological quality of pharmacogenetic studies: issues of concern","title-short":"Methodological quality of pharmacogenetic studies","volume":"27","author":[{"family":"Jorgensen","given":"Andrea L."},{"family":"Williamson","given":"Paula R."}],"issued":{"date-parts":[["2008",12,30]]}}}],"schema":"https://github.com/citation-style-language/schema/raw/master/csl-citation.json"} </w:instrText>
            </w:r>
            <w:r w:rsidRPr="00CA4DD7">
              <w:rPr>
                <w:rFonts w:eastAsia="Times New Roman" w:cs="Times New Roman"/>
                <w:szCs w:val="24"/>
                <w:lang w:eastAsia="pt-BR"/>
              </w:rPr>
              <w:fldChar w:fldCharType="separate"/>
            </w:r>
            <w:r w:rsidR="00D4689A" w:rsidRPr="00D4689A">
              <w:rPr>
                <w:rFonts w:cs="Times New Roman"/>
              </w:rPr>
              <w:t>[20]</w:t>
            </w:r>
            <w:r w:rsidRPr="00CA4DD7">
              <w:rPr>
                <w:rFonts w:eastAsia="Times New Roman" w:cs="Times New Roman"/>
                <w:szCs w:val="24"/>
                <w:lang w:eastAsia="pt-BR"/>
              </w:rPr>
              <w:fldChar w:fldCharType="end"/>
            </w:r>
          </w:p>
        </w:tc>
      </w:tr>
      <w:tr w:rsidR="00D4689A" w:rsidRPr="00CA4DD7" w14:paraId="0BDAAC0F" w14:textId="77777777" w:rsidTr="0062498A">
        <w:trPr>
          <w:trHeight w:val="1135"/>
        </w:trPr>
        <w:tc>
          <w:tcPr>
            <w:tcW w:w="0" w:type="auto"/>
            <w:tcBorders>
              <w:top w:val="nil"/>
              <w:left w:val="nil"/>
              <w:right w:val="nil"/>
            </w:tcBorders>
            <w:shd w:val="clear" w:color="auto" w:fill="D9D9D9" w:themeFill="background1" w:themeFillShade="D9"/>
          </w:tcPr>
          <w:p w14:paraId="2BB7C1D9" w14:textId="7E2FE7BF" w:rsidR="0048020D" w:rsidRPr="00CA4DD7" w:rsidRDefault="0048020D" w:rsidP="0048020D">
            <w:pPr>
              <w:spacing w:after="0"/>
              <w:rPr>
                <w:rFonts w:eastAsia="Times New Roman" w:cs="Times New Roman"/>
                <w:szCs w:val="24"/>
                <w:lang w:eastAsia="pt-BR"/>
              </w:rPr>
            </w:pPr>
            <w:r w:rsidRPr="00CC3F07">
              <w:rPr>
                <w:rFonts w:cs="Times New Roman"/>
                <w:szCs w:val="24"/>
              </w:rPr>
              <w:t>Sanderson et al., 2005</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cWK4tnPm","properties":{"formattedCitation":"[21]","plainCitation":"[21]","noteIndex":0},"citationItems":[{"id":43,"uris":["http://zotero.org/users/local/CMEncDpE/items/BC5EIJXU"],"uri":["http://zotero.org/users/local/CMEncDpE/items/BC5EIJXU"],"itemData":{"id":43,"type":"article-journal","abstract":"PURPOSE: Two common variant alleles of the cytochrome CYP2C9 (CYP2C9*2 and CYP2C9*3) lead to reduced warfarin metabolism in vitro and in vivo. The study objective was to examine the strength and quality of existing evidence about CYP2C9 gene variants and clinical outcomes in warfarin-treated patients.\nMETHODS: The study was a systematic review and meta-analysis. Multiple electronic databases were searched, references identified from bibliographies were sought, and experts and authors of primary studies were also contacted. Strict review inclusion criteria were determined. Three reviewers independently extracted data using prepiloted proformas.\nRESULTS: In all, 11 studies meeting review inclusion criteria were identified (3029 patients). Nine were included in the meta-analyses (2775 patients). Random effects meta-analyses were performed; statistical heterogeneity and inconsistency was assessed. Twenty percent of patients studied carry a variant allele: CYP2C9*2 12.2% (9.7%-15.0%) and CYP2C9*3, 7.9% (6.5%-9.7%). Mean difference in daily warfarin dose: for CYP2C9*2, the reduction was 0.85 mg (0.60-1.11 mg), a 17% reduction. For CYP2C9*3, the reduction was 1.92 mg (1.37-2.47 mg), a 37% reduction. For CYP2C9*2 or *3, the reduction was 1.47 mg (1.24-1.71 mg), a 27% reduction. The relative bleeding risk for CYP2C9*2 was 1.91 (1.16-3.17) and for CYP2C9*3 1.77 (1.07-2.91). For either variant, the relative risk was 2.26 (1.36-3.75).\nCONCLUSIONS: Patients with CYP2C9*2 and CYP2C9*3 alleles have lower mean daily warfarin doses and a greater risk of bleeding. Testing for gene variants could potentially alter clinical management in patients commencing warfarin. Evidence for the clinical utility and cost-effectiveness of genotyping is needed before routine testing can be recommended.","container-title":"Genetics in Medicine: Official Journal of the American College of Medical Genetics","DOI":"10.1097/01.gim.0000153664.65759.cf","ISSN":"1098-3600","issue":"2","journalAbbreviation":"Genet Med","language":"eng","note":"PMID: 15714076","page":"97-104","source":"PubMed","title":"CYP2C9 gene variants, drug dose, and bleeding risk in warfarin-treated patients: a HuGEnet systematic review and meta-analysis","title-short":"CYP2C9 gene variants, drug dose, and bleeding risk in warfarin-treated patients","volume":"7","author":[{"family":"Sanderson","given":"Simon"},{"family":"Emery","given":"Jon"},{"family":"Higgins","given":"Julian"}],"issued":{"date-parts":[["2005",2]]}}}],"schema":"https://github.com/citation-style-language/schema/raw/master/csl-citation.json"} </w:instrText>
            </w:r>
            <w:r w:rsidR="00D4689A">
              <w:rPr>
                <w:rFonts w:cs="Times New Roman"/>
                <w:szCs w:val="24"/>
              </w:rPr>
              <w:fldChar w:fldCharType="separate"/>
            </w:r>
            <w:r w:rsidR="00D4689A" w:rsidRPr="00D4689A">
              <w:rPr>
                <w:rFonts w:cs="Times New Roman"/>
              </w:rPr>
              <w:t>[21]</w:t>
            </w:r>
            <w:r w:rsidR="00D4689A">
              <w:rPr>
                <w:rFonts w:cs="Times New Roman"/>
                <w:szCs w:val="24"/>
              </w:rPr>
              <w:fldChar w:fldCharType="end"/>
            </w:r>
          </w:p>
        </w:tc>
        <w:tc>
          <w:tcPr>
            <w:tcW w:w="0" w:type="auto"/>
            <w:tcBorders>
              <w:top w:val="nil"/>
              <w:left w:val="nil"/>
              <w:right w:val="nil"/>
            </w:tcBorders>
            <w:shd w:val="clear" w:color="auto" w:fill="D9D9D9" w:themeFill="background1" w:themeFillShade="D9"/>
          </w:tcPr>
          <w:p w14:paraId="43947B26" w14:textId="100521F5"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to examine the strength and quality of existing evidence about </w:t>
            </w:r>
            <w:r w:rsidRPr="00CA4DD7">
              <w:rPr>
                <w:rFonts w:eastAsia="Times New Roman" w:cs="Times New Roman"/>
                <w:i/>
                <w:szCs w:val="24"/>
                <w:lang w:eastAsia="pt-BR"/>
              </w:rPr>
              <w:t>CYP2C9</w:t>
            </w:r>
            <w:r w:rsidRPr="00CA4DD7">
              <w:rPr>
                <w:rFonts w:eastAsia="Times New Roman" w:cs="Times New Roman"/>
                <w:szCs w:val="24"/>
                <w:lang w:eastAsia="pt-BR"/>
              </w:rPr>
              <w:t xml:space="preserve"> gene variants and clinical outcomes in warfarin-treated patients</w:t>
            </w:r>
          </w:p>
        </w:tc>
        <w:tc>
          <w:tcPr>
            <w:tcW w:w="0" w:type="auto"/>
            <w:tcBorders>
              <w:top w:val="nil"/>
              <w:left w:val="nil"/>
              <w:right w:val="nil"/>
            </w:tcBorders>
            <w:shd w:val="clear" w:color="auto" w:fill="D9D9D9" w:themeFill="background1" w:themeFillShade="D9"/>
          </w:tcPr>
          <w:p w14:paraId="32452810" w14:textId="62421340" w:rsidR="0048020D" w:rsidRPr="00CA4DD7" w:rsidRDefault="0048020D" w:rsidP="0048020D">
            <w:pPr>
              <w:spacing w:after="0"/>
              <w:rPr>
                <w:rFonts w:cs="Times New Roman"/>
                <w:szCs w:val="24"/>
              </w:rPr>
            </w:pPr>
            <w:r w:rsidRPr="00CA4DD7">
              <w:rPr>
                <w:rFonts w:eastAsia="Times New Roman" w:cs="Times New Roman"/>
                <w:szCs w:val="24"/>
                <w:lang w:eastAsia="pt-BR"/>
              </w:rPr>
              <w:t>not specified</w:t>
            </w:r>
          </w:p>
        </w:tc>
        <w:tc>
          <w:tcPr>
            <w:tcW w:w="0" w:type="auto"/>
            <w:tcBorders>
              <w:top w:val="nil"/>
              <w:left w:val="nil"/>
              <w:right w:val="nil"/>
            </w:tcBorders>
            <w:shd w:val="clear" w:color="auto" w:fill="D9D9D9" w:themeFill="background1" w:themeFillShade="D9"/>
          </w:tcPr>
          <w:p w14:paraId="221EBDB0" w14:textId="2B7AA66C" w:rsidR="0048020D" w:rsidRPr="00CA4DD7" w:rsidRDefault="0048020D" w:rsidP="0048020D">
            <w:pPr>
              <w:spacing w:after="0"/>
              <w:rPr>
                <w:rFonts w:cs="Times New Roman"/>
                <w:szCs w:val="24"/>
              </w:rPr>
            </w:pPr>
            <w:r w:rsidRPr="00CA4DD7">
              <w:rPr>
                <w:rFonts w:eastAsia="Times New Roman" w:cs="Times New Roman"/>
                <w:szCs w:val="24"/>
                <w:lang w:eastAsia="pt-BR"/>
              </w:rPr>
              <w:t xml:space="preserve">patients who are commencing/ established on warfarin who were tested for </w:t>
            </w:r>
            <w:r w:rsidRPr="00CA4DD7">
              <w:rPr>
                <w:rFonts w:eastAsia="Times New Roman" w:cs="Times New Roman"/>
                <w:i/>
                <w:szCs w:val="24"/>
                <w:lang w:eastAsia="pt-BR"/>
              </w:rPr>
              <w:t>CYP2C9</w:t>
            </w:r>
            <w:r w:rsidRPr="00CA4DD7">
              <w:rPr>
                <w:rFonts w:eastAsia="Times New Roman" w:cs="Times New Roman"/>
                <w:szCs w:val="24"/>
                <w:lang w:eastAsia="pt-BR"/>
              </w:rPr>
              <w:t xml:space="preserve"> variants from anticoagulant clinics or their equivalent</w:t>
            </w:r>
          </w:p>
        </w:tc>
        <w:tc>
          <w:tcPr>
            <w:tcW w:w="0" w:type="auto"/>
            <w:tcBorders>
              <w:top w:val="nil"/>
              <w:left w:val="nil"/>
              <w:right w:val="nil"/>
            </w:tcBorders>
            <w:shd w:val="clear" w:color="auto" w:fill="D9D9D9" w:themeFill="background1" w:themeFillShade="D9"/>
          </w:tcPr>
          <w:p w14:paraId="105FD48B" w14:textId="64663F30" w:rsidR="0048020D" w:rsidRPr="00CA4DD7" w:rsidRDefault="0048020D" w:rsidP="0048020D">
            <w:pPr>
              <w:spacing w:after="0"/>
              <w:rPr>
                <w:rFonts w:cs="Times New Roman"/>
                <w:szCs w:val="24"/>
              </w:rPr>
            </w:pPr>
            <w:r w:rsidRPr="00CA4DD7">
              <w:rPr>
                <w:rFonts w:eastAsia="Times New Roman" w:cs="Times New Roman"/>
                <w:szCs w:val="24"/>
                <w:lang w:eastAsia="pt-BR"/>
              </w:rPr>
              <w:t>6</w:t>
            </w:r>
          </w:p>
        </w:tc>
        <w:tc>
          <w:tcPr>
            <w:tcW w:w="0" w:type="auto"/>
            <w:tcBorders>
              <w:top w:val="nil"/>
              <w:left w:val="nil"/>
              <w:right w:val="nil"/>
            </w:tcBorders>
            <w:shd w:val="clear" w:color="auto" w:fill="D9D9D9" w:themeFill="background1" w:themeFillShade="D9"/>
          </w:tcPr>
          <w:p w14:paraId="47699689" w14:textId="6F0B6F97" w:rsidR="0048020D" w:rsidRPr="00CA4DD7" w:rsidRDefault="0048020D" w:rsidP="0048020D">
            <w:pPr>
              <w:spacing w:after="0"/>
              <w:rPr>
                <w:rFonts w:cs="Times New Roman"/>
                <w:szCs w:val="24"/>
              </w:rPr>
            </w:pPr>
            <w:r w:rsidRPr="00CA4DD7">
              <w:rPr>
                <w:rFonts w:eastAsia="Times New Roman" w:cs="Times New Roman"/>
                <w:szCs w:val="24"/>
                <w:lang w:eastAsia="pt-BR"/>
              </w:rPr>
              <w:t>1980 to Jan 2003</w:t>
            </w:r>
          </w:p>
        </w:tc>
        <w:tc>
          <w:tcPr>
            <w:tcW w:w="0" w:type="auto"/>
            <w:tcBorders>
              <w:top w:val="nil"/>
              <w:left w:val="nil"/>
              <w:right w:val="nil"/>
            </w:tcBorders>
            <w:shd w:val="clear" w:color="auto" w:fill="D9D9D9" w:themeFill="background1" w:themeFillShade="D9"/>
          </w:tcPr>
          <w:p w14:paraId="38C0EEE5" w14:textId="697F7C47" w:rsidR="0048020D" w:rsidRPr="00CA4DD7" w:rsidRDefault="0048020D" w:rsidP="0048020D">
            <w:pPr>
              <w:spacing w:after="0"/>
              <w:rPr>
                <w:rFonts w:cs="Times New Roman"/>
                <w:szCs w:val="24"/>
              </w:rPr>
            </w:pPr>
            <w:r w:rsidRPr="00CA4DD7">
              <w:rPr>
                <w:rFonts w:eastAsia="Times New Roman" w:cs="Times New Roman"/>
                <w:szCs w:val="24"/>
                <w:lang w:eastAsia="pt-BR"/>
              </w:rPr>
              <w:t>11; observational studies</w:t>
            </w:r>
          </w:p>
        </w:tc>
        <w:tc>
          <w:tcPr>
            <w:tcW w:w="0" w:type="auto"/>
            <w:tcBorders>
              <w:top w:val="nil"/>
              <w:left w:val="nil"/>
              <w:right w:val="nil"/>
            </w:tcBorders>
            <w:shd w:val="clear" w:color="auto" w:fill="D9D9D9" w:themeFill="background1" w:themeFillShade="D9"/>
          </w:tcPr>
          <w:p w14:paraId="5C999AF6" w14:textId="3EE49512" w:rsidR="0048020D" w:rsidRPr="00CA4DD7" w:rsidRDefault="0048020D" w:rsidP="0048020D">
            <w:pPr>
              <w:spacing w:after="0"/>
              <w:rPr>
                <w:rFonts w:cs="Times New Roman"/>
                <w:strike/>
                <w:szCs w:val="24"/>
                <w:highlight w:val="yellow"/>
              </w:rPr>
            </w:pPr>
            <w:r w:rsidRPr="00CA4DD7">
              <w:rPr>
                <w:rFonts w:cs="Times New Roman"/>
                <w:szCs w:val="24"/>
              </w:rPr>
              <w:t>not performed</w:t>
            </w:r>
            <w:r w:rsidRPr="00CA4DD7">
              <w:rPr>
                <w:rFonts w:eastAsia="Times New Roman" w:cs="Times New Roman"/>
                <w:strike/>
                <w:szCs w:val="24"/>
                <w:highlight w:val="yellow"/>
                <w:lang w:eastAsia="pt-BR"/>
              </w:rPr>
              <w:t xml:space="preserve"> </w:t>
            </w:r>
          </w:p>
        </w:tc>
      </w:tr>
      <w:tr w:rsidR="00D4689A" w:rsidRPr="00CA4DD7" w14:paraId="0511B438" w14:textId="77777777" w:rsidTr="0062498A">
        <w:trPr>
          <w:trHeight w:val="848"/>
        </w:trPr>
        <w:tc>
          <w:tcPr>
            <w:tcW w:w="0" w:type="auto"/>
            <w:tcBorders>
              <w:top w:val="nil"/>
              <w:left w:val="nil"/>
              <w:bottom w:val="single" w:sz="4" w:space="0" w:color="auto"/>
              <w:right w:val="nil"/>
            </w:tcBorders>
            <w:shd w:val="clear" w:color="auto" w:fill="FFFFFF" w:themeFill="background1"/>
          </w:tcPr>
          <w:p w14:paraId="4899B076" w14:textId="4F1130BF" w:rsidR="0048020D" w:rsidRPr="00CA4DD7" w:rsidRDefault="0048020D" w:rsidP="0048020D">
            <w:pPr>
              <w:spacing w:after="0"/>
              <w:rPr>
                <w:rFonts w:eastAsia="Times New Roman" w:cs="Times New Roman"/>
                <w:szCs w:val="24"/>
                <w:lang w:eastAsia="pt-BR"/>
              </w:rPr>
            </w:pPr>
            <w:r w:rsidRPr="00CC3F07">
              <w:rPr>
                <w:rFonts w:cs="Times New Roman"/>
                <w:szCs w:val="24"/>
              </w:rPr>
              <w:t>Shi et al., 2015</w:t>
            </w:r>
            <w:r w:rsidR="00D4689A">
              <w:rPr>
                <w:rFonts w:cs="Times New Roman"/>
                <w:szCs w:val="24"/>
              </w:rPr>
              <w:t xml:space="preserve"> </w:t>
            </w:r>
            <w:r w:rsidR="00D4689A">
              <w:rPr>
                <w:rFonts w:cs="Times New Roman"/>
                <w:szCs w:val="24"/>
              </w:rPr>
              <w:fldChar w:fldCharType="begin"/>
            </w:r>
            <w:r w:rsidR="00D4689A">
              <w:rPr>
                <w:rFonts w:cs="Times New Roman"/>
                <w:szCs w:val="24"/>
              </w:rPr>
              <w:instrText xml:space="preserve"> ADDIN ZOTERO_ITEM CSL_CITATION {"citationID":"U9MCkRCb","properties":{"formattedCitation":"[22]","plainCitation":"[22]","noteIndex":0},"citationItems":[{"id":40,"uris":["http://zotero.org/users/local/CMEncDpE/items/AY9FXARL"],"uri":["http://zotero.org/users/local/CMEncDpE/items/AY9FXARL"],"itemData":{"id":40,"type":"article-journal","abstract":"Background Recently, using the patient’s genotype to guide warfarin dosing has gained interest; however, whether pharmacogenetics-based dosing (PD) improves clinical outcomes compared to conventional dosing (CD) remains unclear. Thus, we performed a meta-analysis to evaluate these two strategies. Methods The PubMed, Embase, Cochrane Library, China National Knowledge Infrastructure (CNKI), Chinese VIP and Chinese Wan-fang databases were searched. The Cochrane Collaboration’s tool was used to assess the risk of bias in randomized controlled trials (RCTs). The primary outcome was time within the therapeutic range (TTR); the secondary end points were the time to maintenance dose and time to first therapeutic international normalized ratio (INR), an INR greater than 4, adverse events, major bleeding, thromboembolism and death from any cause. Results A total of 11 trials involving 2,678 patients were included in our meta-analysis. The results showed that PD did not improve the TTR compared to CD, although PD significantly shortened the time to maintenance dose (MD = -8.80; 95% CI: -11.99 to -5.60; P&lt;0.00001) and the time to first therapeutic INR (MD = -2.80; 95% CI: -3.45 to -2.15; P&lt;0.00001). Additionally, PD significantly reduced the risk of adverse events (RR = 0.86; 95% CI: 0.75 to 0.99; P = 0.03) and major bleeding (RR = 0.36; 95% CI: 0.15 to 0.89, P = 0.03), although it did not reduce the percentage of INR greater than 4, the risk of thromboembolic events and death from any cause. Subgroup analysis showed that PD resulted in a better improvement in the endpoints of TTR and over-anticoagulation at a fixed initial dosage rather than a non-fixed initial dosage. Conclusions The use of genotype testing in the management of warfarin anticoagulation was associated with significant improvements in INR-related and clinical outcomes. Thus, genotype-based regimens can be considered a reliable and accurate method to determine warfarin dosing and may be preferred over fixed-dose regimens. Trial Registration PROSPERO Database registration: CRD42015024127.","container-title":"PLOS ONE","DOI":"10.1371/journal.pone.0144511","ISSN":"1932-6203","issue":"12","journalAbbreviation":"PLOS ONE","language":"en","note":"publisher: Public Library of Science","page":"e0144511","source":"PLoS Journals","title":"Pharmacogenetics-Based versus Conventional Dosing of Warfarin: A Meta-Analysis of Randomized Controlled Trials","title-short":"Pharmacogenetics-Based versus Conventional Dosing of Warfarin","volume":"10","author":[{"family":"Shi","given":"Changcheng"},{"family":"Yan","given":"Wei"},{"family":"Wang","given":"Gang"},{"family":"Wang","given":"Fei"},{"family":"Li","given":"Qingyu"},{"family":"Lin","given":"Nengming"}],"issued":{"date-parts":[["2015",12,16]]}}}],"schema":"https://github.com/citation-style-language/schema/raw/master/csl-citation.json"} </w:instrText>
            </w:r>
            <w:r w:rsidR="00D4689A">
              <w:rPr>
                <w:rFonts w:cs="Times New Roman"/>
                <w:szCs w:val="24"/>
              </w:rPr>
              <w:fldChar w:fldCharType="separate"/>
            </w:r>
            <w:r w:rsidR="00D4689A" w:rsidRPr="00D4689A">
              <w:rPr>
                <w:rFonts w:cs="Times New Roman"/>
              </w:rPr>
              <w:t>[22]</w:t>
            </w:r>
            <w:r w:rsidR="00D4689A">
              <w:rPr>
                <w:rFonts w:cs="Times New Roman"/>
                <w:szCs w:val="24"/>
              </w:rPr>
              <w:fldChar w:fldCharType="end"/>
            </w:r>
          </w:p>
        </w:tc>
        <w:tc>
          <w:tcPr>
            <w:tcW w:w="0" w:type="auto"/>
            <w:tcBorders>
              <w:top w:val="nil"/>
              <w:left w:val="nil"/>
              <w:bottom w:val="single" w:sz="4" w:space="0" w:color="auto"/>
              <w:right w:val="nil"/>
            </w:tcBorders>
            <w:shd w:val="clear" w:color="000000" w:fill="FFFFFF"/>
          </w:tcPr>
          <w:p w14:paraId="4B1389B8" w14:textId="5E81212C" w:rsidR="0048020D" w:rsidRPr="00CA4DD7" w:rsidRDefault="0048020D" w:rsidP="0048020D">
            <w:pPr>
              <w:spacing w:after="0"/>
              <w:rPr>
                <w:rFonts w:cs="Times New Roman"/>
                <w:szCs w:val="24"/>
              </w:rPr>
            </w:pPr>
            <w:r w:rsidRPr="00CA4DD7">
              <w:rPr>
                <w:rFonts w:eastAsia="Times New Roman" w:cs="Times New Roman"/>
                <w:szCs w:val="24"/>
                <w:lang w:eastAsia="pt-BR"/>
              </w:rPr>
              <w:t>to evaluate whether pharmacogenetics-based dosing improves clinical outcomes compared to conventional dosing</w:t>
            </w:r>
          </w:p>
        </w:tc>
        <w:tc>
          <w:tcPr>
            <w:tcW w:w="0" w:type="auto"/>
            <w:tcBorders>
              <w:top w:val="nil"/>
              <w:left w:val="nil"/>
              <w:bottom w:val="single" w:sz="4" w:space="0" w:color="auto"/>
              <w:right w:val="nil"/>
            </w:tcBorders>
            <w:shd w:val="clear" w:color="000000" w:fill="FFFFFF"/>
          </w:tcPr>
          <w:p w14:paraId="47972312" w14:textId="6BFFF672" w:rsidR="0048020D" w:rsidRPr="00CA4DD7" w:rsidRDefault="0048020D" w:rsidP="0048020D">
            <w:pPr>
              <w:spacing w:after="0"/>
              <w:rPr>
                <w:rFonts w:cs="Times New Roman"/>
                <w:szCs w:val="24"/>
              </w:rPr>
            </w:pPr>
            <w:r w:rsidRPr="00CA4DD7">
              <w:rPr>
                <w:rFonts w:eastAsia="Times New Roman" w:cs="Times New Roman"/>
                <w:szCs w:val="24"/>
                <w:lang w:eastAsia="pt-BR"/>
              </w:rPr>
              <w:t>≥ 16 years old</w:t>
            </w:r>
          </w:p>
        </w:tc>
        <w:tc>
          <w:tcPr>
            <w:tcW w:w="0" w:type="auto"/>
            <w:tcBorders>
              <w:top w:val="nil"/>
              <w:left w:val="nil"/>
              <w:bottom w:val="single" w:sz="4" w:space="0" w:color="auto"/>
              <w:right w:val="nil"/>
            </w:tcBorders>
            <w:shd w:val="clear" w:color="000000" w:fill="FFFFFF"/>
          </w:tcPr>
          <w:p w14:paraId="0C295178" w14:textId="210973B3" w:rsidR="0048020D" w:rsidRPr="00CA4DD7" w:rsidRDefault="0048020D" w:rsidP="0048020D">
            <w:pPr>
              <w:spacing w:after="0"/>
              <w:rPr>
                <w:rFonts w:cs="Times New Roman"/>
                <w:szCs w:val="24"/>
              </w:rPr>
            </w:pPr>
            <w:r w:rsidRPr="00CA4DD7">
              <w:rPr>
                <w:rFonts w:eastAsia="Times New Roman" w:cs="Times New Roman"/>
                <w:szCs w:val="24"/>
                <w:lang w:eastAsia="pt-BR"/>
              </w:rPr>
              <w:t>patients with an indication for anticoagulation of warfarin</w:t>
            </w:r>
          </w:p>
        </w:tc>
        <w:tc>
          <w:tcPr>
            <w:tcW w:w="0" w:type="auto"/>
            <w:tcBorders>
              <w:top w:val="nil"/>
              <w:left w:val="nil"/>
              <w:bottom w:val="single" w:sz="4" w:space="0" w:color="auto"/>
              <w:right w:val="nil"/>
            </w:tcBorders>
            <w:shd w:val="clear" w:color="000000" w:fill="FFFFFF"/>
          </w:tcPr>
          <w:p w14:paraId="28271999" w14:textId="36C13472" w:rsidR="0048020D" w:rsidRPr="00CA4DD7" w:rsidRDefault="0048020D" w:rsidP="0048020D">
            <w:pPr>
              <w:spacing w:after="0"/>
              <w:rPr>
                <w:rFonts w:cs="Times New Roman"/>
                <w:szCs w:val="24"/>
              </w:rPr>
            </w:pPr>
            <w:r w:rsidRPr="00CA4DD7">
              <w:rPr>
                <w:rFonts w:eastAsia="Times New Roman" w:cs="Times New Roman"/>
                <w:szCs w:val="24"/>
                <w:lang w:eastAsia="pt-BR"/>
              </w:rPr>
              <w:t>6</w:t>
            </w:r>
          </w:p>
        </w:tc>
        <w:tc>
          <w:tcPr>
            <w:tcW w:w="0" w:type="auto"/>
            <w:tcBorders>
              <w:top w:val="nil"/>
              <w:left w:val="nil"/>
              <w:bottom w:val="single" w:sz="4" w:space="0" w:color="auto"/>
              <w:right w:val="nil"/>
            </w:tcBorders>
            <w:shd w:val="clear" w:color="000000" w:fill="FFFFFF"/>
          </w:tcPr>
          <w:p w14:paraId="7F0DD47A" w14:textId="601A65A3" w:rsidR="0048020D" w:rsidRPr="00CA4DD7" w:rsidRDefault="0048020D" w:rsidP="0048020D">
            <w:pPr>
              <w:spacing w:after="0"/>
              <w:rPr>
                <w:rFonts w:cs="Times New Roman"/>
                <w:szCs w:val="24"/>
              </w:rPr>
            </w:pPr>
            <w:r w:rsidRPr="00CA4DD7">
              <w:rPr>
                <w:rFonts w:eastAsia="Times New Roman" w:cs="Times New Roman"/>
                <w:szCs w:val="24"/>
                <w:lang w:eastAsia="pt-BR"/>
              </w:rPr>
              <w:t>from its inception to Mar 2015</w:t>
            </w:r>
          </w:p>
        </w:tc>
        <w:tc>
          <w:tcPr>
            <w:tcW w:w="0" w:type="auto"/>
            <w:tcBorders>
              <w:top w:val="nil"/>
              <w:left w:val="nil"/>
              <w:bottom w:val="single" w:sz="4" w:space="0" w:color="auto"/>
              <w:right w:val="nil"/>
            </w:tcBorders>
            <w:shd w:val="clear" w:color="000000" w:fill="FFFFFF"/>
          </w:tcPr>
          <w:p w14:paraId="509D3A9D" w14:textId="51612EFC" w:rsidR="0048020D" w:rsidRPr="00CA4DD7" w:rsidRDefault="0048020D" w:rsidP="0048020D">
            <w:pPr>
              <w:spacing w:after="0"/>
              <w:rPr>
                <w:rFonts w:cs="Times New Roman"/>
                <w:szCs w:val="24"/>
              </w:rPr>
            </w:pPr>
            <w:r w:rsidRPr="00CA4DD7">
              <w:rPr>
                <w:rFonts w:eastAsia="Times New Roman" w:cs="Times New Roman"/>
                <w:szCs w:val="24"/>
                <w:lang w:eastAsia="pt-BR"/>
              </w:rPr>
              <w:t>11; RCT</w:t>
            </w:r>
          </w:p>
        </w:tc>
        <w:tc>
          <w:tcPr>
            <w:tcW w:w="0" w:type="auto"/>
            <w:tcBorders>
              <w:top w:val="nil"/>
              <w:left w:val="nil"/>
              <w:bottom w:val="single" w:sz="4" w:space="0" w:color="auto"/>
              <w:right w:val="nil"/>
            </w:tcBorders>
            <w:shd w:val="clear" w:color="000000" w:fill="FFFFFF"/>
          </w:tcPr>
          <w:p w14:paraId="3ADE8143" w14:textId="2C58979C" w:rsidR="0048020D" w:rsidRPr="00CA4DD7" w:rsidRDefault="0048020D" w:rsidP="0048020D">
            <w:pPr>
              <w:spacing w:after="0"/>
              <w:rPr>
                <w:rFonts w:cs="Times New Roman"/>
                <w:szCs w:val="24"/>
              </w:rPr>
            </w:pPr>
            <w:r w:rsidRPr="00CA4DD7">
              <w:rPr>
                <w:rFonts w:eastAsia="Times New Roman" w:cs="Times New Roman"/>
                <w:szCs w:val="24"/>
                <w:lang w:eastAsia="pt-BR"/>
              </w:rPr>
              <w:t>Cochrane risk-of-bias tool for randomized trials</w:t>
            </w:r>
          </w:p>
        </w:tc>
      </w:tr>
    </w:tbl>
    <w:bookmarkEnd w:id="0"/>
    <w:p w14:paraId="43AA0FBB" w14:textId="19C6432A" w:rsidR="001709E6" w:rsidRDefault="00CF764C" w:rsidP="00C44CB5">
      <w:pPr>
        <w:jc w:val="both"/>
        <w:rPr>
          <w:b/>
        </w:rPr>
      </w:pPr>
      <w:r w:rsidRPr="00CF764C">
        <w:rPr>
          <w:sz w:val="20"/>
          <w:szCs w:val="20"/>
        </w:rPr>
        <w:t xml:space="preserve">ACS: acute coronary syndrome; CABG: coronary-artery bypass grafting; CAD: coronary artery disease; CCVD: cardiovascular and cerebrovascular disease; CNV: copy number variation; </w:t>
      </w:r>
      <w:r w:rsidRPr="00584A9C">
        <w:rPr>
          <w:i/>
          <w:iCs/>
          <w:sz w:val="20"/>
          <w:szCs w:val="20"/>
        </w:rPr>
        <w:t>CYP</w:t>
      </w:r>
      <w:r w:rsidRPr="00CF764C">
        <w:rPr>
          <w:sz w:val="20"/>
          <w:szCs w:val="20"/>
        </w:rPr>
        <w:t xml:space="preserve">: </w:t>
      </w:r>
      <w:proofErr w:type="spellStart"/>
      <w:r w:rsidRPr="00CF764C">
        <w:rPr>
          <w:sz w:val="20"/>
          <w:szCs w:val="20"/>
        </w:rPr>
        <w:t>cytocrome</w:t>
      </w:r>
      <w:proofErr w:type="spellEnd"/>
      <w:r w:rsidRPr="00CF764C">
        <w:rPr>
          <w:sz w:val="20"/>
          <w:szCs w:val="20"/>
        </w:rPr>
        <w:t xml:space="preserve"> p450; HCPR: high on-clopidogrel platelet reactivity; HTPR: high on-treatment platelet reactivity; IS/TIA: ischaemic stroke or transient ischaemic attack; LOF: loss</w:t>
      </w:r>
      <w:r w:rsidR="00F71642">
        <w:rPr>
          <w:sz w:val="20"/>
          <w:szCs w:val="20"/>
        </w:rPr>
        <w:t xml:space="preserve"> </w:t>
      </w:r>
      <w:r w:rsidRPr="00CF764C">
        <w:rPr>
          <w:sz w:val="20"/>
          <w:szCs w:val="20"/>
        </w:rPr>
        <w:t>of</w:t>
      </w:r>
      <w:r w:rsidR="00F71642">
        <w:rPr>
          <w:sz w:val="20"/>
          <w:szCs w:val="20"/>
        </w:rPr>
        <w:t xml:space="preserve"> </w:t>
      </w:r>
      <w:r w:rsidRPr="00CF764C">
        <w:rPr>
          <w:sz w:val="20"/>
          <w:szCs w:val="20"/>
        </w:rPr>
        <w:t xml:space="preserve">function; MA: meta-analysis; MACE: major adverse cardiovascular events; MENA: </w:t>
      </w:r>
      <w:r w:rsidR="00296D23">
        <w:rPr>
          <w:sz w:val="20"/>
          <w:szCs w:val="20"/>
        </w:rPr>
        <w:t>M</w:t>
      </w:r>
      <w:r w:rsidRPr="00CF764C">
        <w:rPr>
          <w:sz w:val="20"/>
          <w:szCs w:val="20"/>
        </w:rPr>
        <w:t xml:space="preserve">iddle </w:t>
      </w:r>
      <w:r w:rsidR="00296D23">
        <w:rPr>
          <w:sz w:val="20"/>
          <w:szCs w:val="20"/>
        </w:rPr>
        <w:t>E</w:t>
      </w:r>
      <w:r w:rsidRPr="00CF764C">
        <w:rPr>
          <w:sz w:val="20"/>
          <w:szCs w:val="20"/>
        </w:rPr>
        <w:t xml:space="preserve">ast and </w:t>
      </w:r>
      <w:r w:rsidR="00296D23">
        <w:rPr>
          <w:sz w:val="20"/>
          <w:szCs w:val="20"/>
        </w:rPr>
        <w:t>N</w:t>
      </w:r>
      <w:r w:rsidRPr="00CF764C">
        <w:rPr>
          <w:sz w:val="20"/>
          <w:szCs w:val="20"/>
        </w:rPr>
        <w:t xml:space="preserve">orth </w:t>
      </w:r>
      <w:r w:rsidR="00296D23">
        <w:rPr>
          <w:sz w:val="20"/>
          <w:szCs w:val="20"/>
        </w:rPr>
        <w:t>A</w:t>
      </w:r>
      <w:r w:rsidRPr="00CF764C">
        <w:rPr>
          <w:sz w:val="20"/>
          <w:szCs w:val="20"/>
        </w:rPr>
        <w:t xml:space="preserve">frica; NHLBI: national heart, lung, and blood institute; NOS: </w:t>
      </w:r>
      <w:r w:rsidR="006510CD">
        <w:rPr>
          <w:sz w:val="20"/>
          <w:szCs w:val="20"/>
        </w:rPr>
        <w:t>N</w:t>
      </w:r>
      <w:r w:rsidRPr="00CF764C">
        <w:rPr>
          <w:sz w:val="20"/>
          <w:szCs w:val="20"/>
        </w:rPr>
        <w:t>ewcastle-</w:t>
      </w:r>
      <w:r w:rsidR="006510CD">
        <w:rPr>
          <w:sz w:val="20"/>
          <w:szCs w:val="20"/>
        </w:rPr>
        <w:t>O</w:t>
      </w:r>
      <w:r w:rsidRPr="00CF764C">
        <w:rPr>
          <w:sz w:val="20"/>
          <w:szCs w:val="20"/>
        </w:rPr>
        <w:t>ttawa scale; PCI: percutaneous coronary intervention; PPI: proton pump inhibitors; RCT: randomi</w:t>
      </w:r>
      <w:r w:rsidR="000140FE">
        <w:rPr>
          <w:sz w:val="20"/>
          <w:szCs w:val="20"/>
        </w:rPr>
        <w:t>z</w:t>
      </w:r>
      <w:r w:rsidRPr="00CF764C">
        <w:rPr>
          <w:sz w:val="20"/>
          <w:szCs w:val="20"/>
        </w:rPr>
        <w:t xml:space="preserve">ed controlled trial; SR: systematic review; SNP: single nucleotide polymorphism; </w:t>
      </w:r>
      <w:r w:rsidR="00401549" w:rsidRPr="00401549">
        <w:rPr>
          <w:i/>
          <w:sz w:val="20"/>
          <w:szCs w:val="20"/>
        </w:rPr>
        <w:t>VKORC1</w:t>
      </w:r>
      <w:r w:rsidRPr="00CF764C">
        <w:rPr>
          <w:sz w:val="20"/>
          <w:szCs w:val="20"/>
        </w:rPr>
        <w:t>: vitamin K epoxide reductase complex subunit 1.</w:t>
      </w:r>
    </w:p>
    <w:p w14:paraId="21B4C807" w14:textId="0F2D0B95" w:rsidR="002E1342" w:rsidRDefault="002E1342" w:rsidP="002E1342">
      <w:pPr>
        <w:rPr>
          <w:sz w:val="20"/>
          <w:szCs w:val="20"/>
        </w:rPr>
      </w:pPr>
      <w:r w:rsidRPr="00997DC6">
        <w:rPr>
          <w:b/>
        </w:rPr>
        <w:t xml:space="preserve">Table </w:t>
      </w:r>
      <w:r>
        <w:rPr>
          <w:b/>
        </w:rPr>
        <w:t>S</w:t>
      </w:r>
      <w:r w:rsidR="00C51C8B">
        <w:rPr>
          <w:b/>
        </w:rPr>
        <w:t>2</w:t>
      </w:r>
      <w:r w:rsidRPr="00997DC6">
        <w:rPr>
          <w:b/>
        </w:rPr>
        <w:t>.</w:t>
      </w:r>
      <w:r w:rsidRPr="00997DC6">
        <w:t xml:space="preserve"> Methodological quality of included systematic reviews, according to AMSTAR-2.</w:t>
      </w:r>
    </w:p>
    <w:tbl>
      <w:tblPr>
        <w:tblW w:w="16269" w:type="dxa"/>
        <w:tblCellMar>
          <w:left w:w="70" w:type="dxa"/>
          <w:right w:w="70" w:type="dxa"/>
        </w:tblCellMar>
        <w:tblLook w:val="04A0" w:firstRow="1" w:lastRow="0" w:firstColumn="1" w:lastColumn="0" w:noHBand="0" w:noVBand="1"/>
      </w:tblPr>
      <w:tblGrid>
        <w:gridCol w:w="3123"/>
        <w:gridCol w:w="580"/>
        <w:gridCol w:w="580"/>
        <w:gridCol w:w="580"/>
        <w:gridCol w:w="579"/>
        <w:gridCol w:w="579"/>
        <w:gridCol w:w="579"/>
        <w:gridCol w:w="579"/>
        <w:gridCol w:w="579"/>
        <w:gridCol w:w="764"/>
        <w:gridCol w:w="865"/>
        <w:gridCol w:w="579"/>
        <w:gridCol w:w="764"/>
        <w:gridCol w:w="865"/>
        <w:gridCol w:w="579"/>
        <w:gridCol w:w="579"/>
        <w:gridCol w:w="579"/>
        <w:gridCol w:w="579"/>
        <w:gridCol w:w="579"/>
        <w:gridCol w:w="1779"/>
      </w:tblGrid>
      <w:tr w:rsidR="00CC3F07" w:rsidRPr="00CA4DD7" w14:paraId="4BDA7AD6" w14:textId="77777777" w:rsidTr="0048020D">
        <w:trPr>
          <w:trHeight w:val="89"/>
        </w:trPr>
        <w:tc>
          <w:tcPr>
            <w:tcW w:w="0" w:type="auto"/>
            <w:vMerge w:val="restart"/>
            <w:tcBorders>
              <w:top w:val="single" w:sz="4" w:space="0" w:color="auto"/>
              <w:left w:val="nil"/>
              <w:bottom w:val="single" w:sz="4" w:space="0" w:color="000000"/>
              <w:right w:val="nil"/>
            </w:tcBorders>
            <w:shd w:val="clear" w:color="000000" w:fill="D9D9D9"/>
            <w:vAlign w:val="center"/>
            <w:hideMark/>
          </w:tcPr>
          <w:p w14:paraId="18E90DEE" w14:textId="77777777" w:rsidR="000701C9" w:rsidRPr="00CA4DD7" w:rsidRDefault="000701C9" w:rsidP="00535557">
            <w:pPr>
              <w:spacing w:after="0"/>
              <w:jc w:val="center"/>
              <w:rPr>
                <w:rFonts w:eastAsia="Times New Roman" w:cs="Times New Roman"/>
                <w:szCs w:val="24"/>
                <w:lang w:eastAsia="pt-BR"/>
              </w:rPr>
            </w:pPr>
            <w:bookmarkStart w:id="1" w:name="_Hlk81768684"/>
            <w:r w:rsidRPr="00CA4DD7">
              <w:rPr>
                <w:rFonts w:eastAsia="Times New Roman" w:cs="Times New Roman"/>
                <w:szCs w:val="24"/>
                <w:lang w:eastAsia="pt-BR"/>
              </w:rPr>
              <w:lastRenderedPageBreak/>
              <w:t>Systematic review</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3FC8227A"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7BDF72F1"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2</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46497279"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3</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0AB96D98"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4</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06AE0756"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5</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5D5C1AAC"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6</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31782DAC"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7</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6A7CFC9E"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8</w:t>
            </w:r>
          </w:p>
        </w:tc>
        <w:tc>
          <w:tcPr>
            <w:tcW w:w="0" w:type="auto"/>
            <w:gridSpan w:val="2"/>
            <w:tcBorders>
              <w:top w:val="single" w:sz="4" w:space="0" w:color="auto"/>
              <w:left w:val="nil"/>
              <w:bottom w:val="single" w:sz="4" w:space="0" w:color="auto"/>
              <w:right w:val="nil"/>
            </w:tcBorders>
            <w:shd w:val="clear" w:color="000000" w:fill="D9D9D9"/>
            <w:vAlign w:val="center"/>
            <w:hideMark/>
          </w:tcPr>
          <w:p w14:paraId="57F43122"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9</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4E0DC93B"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10</w:t>
            </w:r>
          </w:p>
        </w:tc>
        <w:tc>
          <w:tcPr>
            <w:tcW w:w="0" w:type="auto"/>
            <w:gridSpan w:val="2"/>
            <w:tcBorders>
              <w:top w:val="single" w:sz="4" w:space="0" w:color="auto"/>
              <w:left w:val="nil"/>
              <w:bottom w:val="single" w:sz="4" w:space="0" w:color="auto"/>
              <w:right w:val="nil"/>
            </w:tcBorders>
            <w:shd w:val="clear" w:color="000000" w:fill="D9D9D9"/>
            <w:vAlign w:val="center"/>
            <w:hideMark/>
          </w:tcPr>
          <w:p w14:paraId="01EDBB26"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11</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183144B3"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12</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35253ABB"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13</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704AEF26"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14</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05C56F22"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15</w:t>
            </w:r>
          </w:p>
        </w:tc>
        <w:tc>
          <w:tcPr>
            <w:tcW w:w="0" w:type="auto"/>
            <w:vMerge w:val="restart"/>
            <w:tcBorders>
              <w:top w:val="single" w:sz="4" w:space="0" w:color="auto"/>
              <w:left w:val="nil"/>
              <w:bottom w:val="single" w:sz="4" w:space="0" w:color="000000"/>
              <w:right w:val="nil"/>
            </w:tcBorders>
            <w:shd w:val="clear" w:color="000000" w:fill="D9D9D9"/>
            <w:vAlign w:val="center"/>
            <w:hideMark/>
          </w:tcPr>
          <w:p w14:paraId="0245153E"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16</w:t>
            </w:r>
          </w:p>
        </w:tc>
        <w:tc>
          <w:tcPr>
            <w:tcW w:w="0" w:type="auto"/>
            <w:vMerge w:val="restart"/>
            <w:tcBorders>
              <w:top w:val="single" w:sz="4" w:space="0" w:color="auto"/>
              <w:left w:val="nil"/>
              <w:right w:val="nil"/>
            </w:tcBorders>
            <w:shd w:val="clear" w:color="000000" w:fill="D9D9D9"/>
            <w:vAlign w:val="center"/>
          </w:tcPr>
          <w:p w14:paraId="5F4BB713" w14:textId="57417615" w:rsidR="000701C9" w:rsidRPr="00CA4DD7" w:rsidRDefault="000701C9" w:rsidP="000701C9">
            <w:pPr>
              <w:spacing w:after="0"/>
              <w:jc w:val="center"/>
              <w:rPr>
                <w:rFonts w:eastAsia="Times New Roman" w:cs="Times New Roman"/>
                <w:szCs w:val="24"/>
                <w:lang w:eastAsia="pt-BR"/>
              </w:rPr>
            </w:pPr>
            <w:r w:rsidRPr="00CA4DD7">
              <w:rPr>
                <w:rFonts w:eastAsia="Times New Roman" w:cs="Times New Roman"/>
                <w:szCs w:val="24"/>
                <w:lang w:eastAsia="pt-BR"/>
              </w:rPr>
              <w:t>Quality</w:t>
            </w:r>
          </w:p>
        </w:tc>
      </w:tr>
      <w:tr w:rsidR="00A73A66" w:rsidRPr="00CA4DD7" w14:paraId="7CE667F2" w14:textId="76BB342F" w:rsidTr="0048020D">
        <w:trPr>
          <w:trHeight w:val="89"/>
        </w:trPr>
        <w:tc>
          <w:tcPr>
            <w:tcW w:w="0" w:type="auto"/>
            <w:vMerge/>
            <w:tcBorders>
              <w:top w:val="single" w:sz="4" w:space="0" w:color="auto"/>
              <w:left w:val="nil"/>
              <w:bottom w:val="single" w:sz="4" w:space="0" w:color="auto"/>
              <w:right w:val="nil"/>
            </w:tcBorders>
            <w:vAlign w:val="center"/>
            <w:hideMark/>
          </w:tcPr>
          <w:p w14:paraId="143072CB"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21B08ED8"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0D64B7AF"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6BE7656D"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272AF0EC"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35695DFC"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264754A1"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1986744A"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5627FF84" w14:textId="77777777" w:rsidR="000701C9" w:rsidRPr="00CA4DD7" w:rsidRDefault="000701C9" w:rsidP="00535557">
            <w:pPr>
              <w:spacing w:after="0"/>
              <w:rPr>
                <w:rFonts w:eastAsia="Times New Roman" w:cs="Times New Roman"/>
                <w:szCs w:val="24"/>
                <w:lang w:eastAsia="pt-BR"/>
              </w:rPr>
            </w:pPr>
          </w:p>
        </w:tc>
        <w:tc>
          <w:tcPr>
            <w:tcW w:w="0" w:type="auto"/>
            <w:tcBorders>
              <w:top w:val="nil"/>
              <w:left w:val="nil"/>
              <w:bottom w:val="single" w:sz="4" w:space="0" w:color="auto"/>
              <w:right w:val="nil"/>
            </w:tcBorders>
            <w:shd w:val="clear" w:color="000000" w:fill="D9D9D9"/>
            <w:vAlign w:val="center"/>
            <w:hideMark/>
          </w:tcPr>
          <w:p w14:paraId="5782537A"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RCT</w:t>
            </w:r>
          </w:p>
        </w:tc>
        <w:tc>
          <w:tcPr>
            <w:tcW w:w="0" w:type="auto"/>
            <w:tcBorders>
              <w:top w:val="nil"/>
              <w:left w:val="nil"/>
              <w:bottom w:val="single" w:sz="4" w:space="0" w:color="auto"/>
              <w:right w:val="nil"/>
            </w:tcBorders>
            <w:shd w:val="clear" w:color="000000" w:fill="D9D9D9"/>
            <w:vAlign w:val="center"/>
            <w:hideMark/>
          </w:tcPr>
          <w:p w14:paraId="3DC95812"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NRSI</w:t>
            </w:r>
          </w:p>
        </w:tc>
        <w:tc>
          <w:tcPr>
            <w:tcW w:w="0" w:type="auto"/>
            <w:vMerge/>
            <w:tcBorders>
              <w:top w:val="single" w:sz="4" w:space="0" w:color="auto"/>
              <w:left w:val="nil"/>
              <w:bottom w:val="single" w:sz="4" w:space="0" w:color="auto"/>
              <w:right w:val="nil"/>
            </w:tcBorders>
            <w:vAlign w:val="center"/>
            <w:hideMark/>
          </w:tcPr>
          <w:p w14:paraId="704481D4" w14:textId="77777777" w:rsidR="000701C9" w:rsidRPr="00CA4DD7" w:rsidRDefault="000701C9" w:rsidP="00535557">
            <w:pPr>
              <w:spacing w:after="0"/>
              <w:rPr>
                <w:rFonts w:eastAsia="Times New Roman" w:cs="Times New Roman"/>
                <w:szCs w:val="24"/>
                <w:lang w:eastAsia="pt-BR"/>
              </w:rPr>
            </w:pPr>
          </w:p>
        </w:tc>
        <w:tc>
          <w:tcPr>
            <w:tcW w:w="0" w:type="auto"/>
            <w:tcBorders>
              <w:top w:val="nil"/>
              <w:left w:val="nil"/>
              <w:bottom w:val="single" w:sz="4" w:space="0" w:color="auto"/>
              <w:right w:val="nil"/>
            </w:tcBorders>
            <w:shd w:val="clear" w:color="000000" w:fill="D9D9D9"/>
            <w:vAlign w:val="center"/>
            <w:hideMark/>
          </w:tcPr>
          <w:p w14:paraId="0F35934F"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RCT</w:t>
            </w:r>
          </w:p>
        </w:tc>
        <w:tc>
          <w:tcPr>
            <w:tcW w:w="0" w:type="auto"/>
            <w:tcBorders>
              <w:top w:val="nil"/>
              <w:left w:val="nil"/>
              <w:bottom w:val="single" w:sz="4" w:space="0" w:color="auto"/>
              <w:right w:val="nil"/>
            </w:tcBorders>
            <w:shd w:val="clear" w:color="000000" w:fill="D9D9D9"/>
            <w:vAlign w:val="center"/>
            <w:hideMark/>
          </w:tcPr>
          <w:p w14:paraId="156109C1" w14:textId="77777777" w:rsidR="000701C9" w:rsidRPr="00CA4DD7" w:rsidRDefault="000701C9" w:rsidP="00535557">
            <w:pPr>
              <w:spacing w:after="0"/>
              <w:jc w:val="center"/>
              <w:rPr>
                <w:rFonts w:eastAsia="Times New Roman" w:cs="Times New Roman"/>
                <w:szCs w:val="24"/>
                <w:lang w:eastAsia="pt-BR"/>
              </w:rPr>
            </w:pPr>
            <w:r w:rsidRPr="00CA4DD7">
              <w:rPr>
                <w:rFonts w:eastAsia="Times New Roman" w:cs="Times New Roman"/>
                <w:szCs w:val="24"/>
                <w:lang w:eastAsia="pt-BR"/>
              </w:rPr>
              <w:t>NRSI</w:t>
            </w:r>
          </w:p>
        </w:tc>
        <w:tc>
          <w:tcPr>
            <w:tcW w:w="0" w:type="auto"/>
            <w:vMerge/>
            <w:tcBorders>
              <w:top w:val="single" w:sz="4" w:space="0" w:color="auto"/>
              <w:left w:val="nil"/>
              <w:bottom w:val="single" w:sz="4" w:space="0" w:color="auto"/>
              <w:right w:val="nil"/>
            </w:tcBorders>
            <w:vAlign w:val="center"/>
            <w:hideMark/>
          </w:tcPr>
          <w:p w14:paraId="46BFF29A"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4CCACE58"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1B5ADBFD"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07B64078" w14:textId="77777777" w:rsidR="000701C9" w:rsidRPr="00CA4DD7" w:rsidRDefault="000701C9" w:rsidP="00535557">
            <w:pPr>
              <w:spacing w:after="0"/>
              <w:rPr>
                <w:rFonts w:eastAsia="Times New Roman" w:cs="Times New Roman"/>
                <w:szCs w:val="24"/>
                <w:lang w:eastAsia="pt-BR"/>
              </w:rPr>
            </w:pPr>
          </w:p>
        </w:tc>
        <w:tc>
          <w:tcPr>
            <w:tcW w:w="0" w:type="auto"/>
            <w:vMerge/>
            <w:tcBorders>
              <w:top w:val="single" w:sz="4" w:space="0" w:color="auto"/>
              <w:left w:val="nil"/>
              <w:bottom w:val="single" w:sz="4" w:space="0" w:color="auto"/>
              <w:right w:val="nil"/>
            </w:tcBorders>
            <w:vAlign w:val="center"/>
            <w:hideMark/>
          </w:tcPr>
          <w:p w14:paraId="75D400F9" w14:textId="77777777" w:rsidR="000701C9" w:rsidRPr="00CA4DD7" w:rsidRDefault="000701C9" w:rsidP="00535557">
            <w:pPr>
              <w:spacing w:after="0"/>
              <w:rPr>
                <w:rFonts w:eastAsia="Times New Roman" w:cs="Times New Roman"/>
                <w:szCs w:val="24"/>
                <w:lang w:eastAsia="pt-BR"/>
              </w:rPr>
            </w:pPr>
          </w:p>
        </w:tc>
        <w:tc>
          <w:tcPr>
            <w:tcW w:w="0" w:type="auto"/>
            <w:vMerge/>
            <w:tcBorders>
              <w:left w:val="nil"/>
              <w:bottom w:val="single" w:sz="4" w:space="0" w:color="auto"/>
              <w:right w:val="nil"/>
            </w:tcBorders>
          </w:tcPr>
          <w:p w14:paraId="06CDD894" w14:textId="77777777" w:rsidR="000701C9" w:rsidRPr="00CA4DD7" w:rsidRDefault="000701C9" w:rsidP="00535557">
            <w:pPr>
              <w:spacing w:after="0"/>
              <w:rPr>
                <w:rFonts w:eastAsia="Times New Roman" w:cs="Times New Roman"/>
                <w:szCs w:val="24"/>
                <w:lang w:eastAsia="pt-BR"/>
              </w:rPr>
            </w:pPr>
          </w:p>
        </w:tc>
      </w:tr>
      <w:tr w:rsidR="008901EA" w:rsidRPr="00CA4DD7" w14:paraId="1B1855C0" w14:textId="77777777" w:rsidTr="0048020D">
        <w:trPr>
          <w:trHeight w:val="46"/>
        </w:trPr>
        <w:tc>
          <w:tcPr>
            <w:tcW w:w="0" w:type="auto"/>
            <w:gridSpan w:val="20"/>
            <w:tcBorders>
              <w:top w:val="single" w:sz="4" w:space="0" w:color="auto"/>
              <w:left w:val="nil"/>
              <w:bottom w:val="single" w:sz="4" w:space="0" w:color="auto"/>
              <w:right w:val="nil"/>
            </w:tcBorders>
            <w:shd w:val="clear" w:color="auto" w:fill="D9D9D9" w:themeFill="background1" w:themeFillShade="D9"/>
            <w:vAlign w:val="center"/>
          </w:tcPr>
          <w:p w14:paraId="27058DA9" w14:textId="4B9CA220" w:rsidR="00CE4A7F" w:rsidRPr="00CA4DD7" w:rsidRDefault="00CE4A7F" w:rsidP="00CE4A7F">
            <w:pPr>
              <w:spacing w:after="0"/>
              <w:rPr>
                <w:rFonts w:eastAsia="Times New Roman" w:cs="Times New Roman"/>
                <w:b/>
                <w:bCs/>
                <w:szCs w:val="24"/>
                <w:lang w:eastAsia="pt-BR"/>
              </w:rPr>
            </w:pPr>
            <w:r w:rsidRPr="00CA4DD7">
              <w:rPr>
                <w:rFonts w:eastAsia="Times New Roman" w:cs="Times New Roman"/>
                <w:b/>
                <w:bCs/>
                <w:szCs w:val="24"/>
                <w:lang w:eastAsia="pt-BR"/>
              </w:rPr>
              <w:t>Clopidogrel – CYP2C19 (SRs with MA)</w:t>
            </w:r>
          </w:p>
        </w:tc>
      </w:tr>
      <w:tr w:rsidR="0048020D" w:rsidRPr="00CA4DD7" w14:paraId="5800EE1E" w14:textId="21FA4FA7" w:rsidTr="0048020D">
        <w:trPr>
          <w:trHeight w:val="402"/>
        </w:trPr>
        <w:tc>
          <w:tcPr>
            <w:tcW w:w="0" w:type="auto"/>
            <w:tcBorders>
              <w:top w:val="single" w:sz="4" w:space="0" w:color="auto"/>
              <w:left w:val="nil"/>
              <w:bottom w:val="nil"/>
              <w:right w:val="nil"/>
            </w:tcBorders>
            <w:shd w:val="clear" w:color="auto" w:fill="auto"/>
            <w:vAlign w:val="center"/>
            <w:hideMark/>
          </w:tcPr>
          <w:p w14:paraId="099084E1" w14:textId="22C31276" w:rsidR="000701C9" w:rsidRPr="00CA4DD7" w:rsidRDefault="00CC3F07" w:rsidP="00202F72">
            <w:pPr>
              <w:spacing w:after="0"/>
              <w:rPr>
                <w:rFonts w:eastAsia="Times New Roman" w:cs="Times New Roman"/>
                <w:szCs w:val="24"/>
                <w:lang w:eastAsia="pt-BR"/>
              </w:rPr>
            </w:pPr>
            <w:r w:rsidRPr="00CA4DD7">
              <w:rPr>
                <w:rFonts w:cs="Times New Roman"/>
                <w:szCs w:val="24"/>
              </w:rPr>
              <w:t>Alakbarzade et al., 2020</w:t>
            </w:r>
          </w:p>
        </w:tc>
        <w:tc>
          <w:tcPr>
            <w:tcW w:w="0" w:type="auto"/>
            <w:tcBorders>
              <w:top w:val="single" w:sz="4" w:space="0" w:color="auto"/>
              <w:left w:val="nil"/>
              <w:bottom w:val="nil"/>
              <w:right w:val="nil"/>
            </w:tcBorders>
            <w:shd w:val="clear" w:color="auto" w:fill="auto"/>
            <w:vAlign w:val="center"/>
            <w:hideMark/>
          </w:tcPr>
          <w:p w14:paraId="084655B4" w14:textId="4FE91219"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0D528315" w14:textId="0A2E17F7"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317B61F2" w14:textId="0ADE13EA"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656945EC" w14:textId="3ABF13B0"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12AC53BE" w14:textId="26919F20"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78154DCD" w14:textId="12928EF6"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6456B100" w14:textId="1219D6C6"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6CD12CD5" w14:textId="361B9961"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2FB1CD6F" w14:textId="4F2C85BE"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__</w:t>
            </w:r>
            <w:r w:rsidRPr="00CA4DD7">
              <w:rPr>
                <w:rFonts w:eastAsia="Times New Roman" w:cs="Times New Roman"/>
                <w:szCs w:val="24"/>
                <w:lang w:eastAsia="pt-BR"/>
              </w:rPr>
              <w:br/>
            </w:r>
          </w:p>
        </w:tc>
        <w:tc>
          <w:tcPr>
            <w:tcW w:w="0" w:type="auto"/>
            <w:tcBorders>
              <w:top w:val="single" w:sz="4" w:space="0" w:color="auto"/>
              <w:left w:val="nil"/>
              <w:bottom w:val="nil"/>
              <w:right w:val="nil"/>
            </w:tcBorders>
            <w:shd w:val="clear" w:color="auto" w:fill="auto"/>
            <w:vAlign w:val="center"/>
            <w:hideMark/>
          </w:tcPr>
          <w:p w14:paraId="5322DE16" w14:textId="426C3386"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7BAEC5C2" w14:textId="707070B1"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7AE5A686" w14:textId="2E32E8D3"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single" w:sz="4" w:space="0" w:color="auto"/>
              <w:left w:val="nil"/>
              <w:bottom w:val="nil"/>
              <w:right w:val="nil"/>
            </w:tcBorders>
            <w:shd w:val="clear" w:color="auto" w:fill="auto"/>
            <w:vAlign w:val="center"/>
            <w:hideMark/>
          </w:tcPr>
          <w:p w14:paraId="5732570B" w14:textId="0304C53D"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41421E48" w14:textId="112DAFDF"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20908F78" w14:textId="1E14DB2D"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64DCA3DE" w14:textId="3EE03B81"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7F875B1B" w14:textId="2986885E"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06BF0463" w14:textId="57A6C048"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tcPr>
          <w:p w14:paraId="1ACE81C0" w14:textId="1782E531" w:rsidR="000701C9" w:rsidRPr="00CA4DD7" w:rsidRDefault="008901EA" w:rsidP="00202F72">
            <w:pPr>
              <w:spacing w:after="0"/>
              <w:jc w:val="center"/>
              <w:rPr>
                <w:rFonts w:eastAsia="Times New Roman" w:cs="Times New Roman"/>
                <w:szCs w:val="24"/>
                <w:lang w:eastAsia="pt-BR"/>
              </w:rPr>
            </w:pPr>
            <w:r w:rsidRPr="00CA4DD7">
              <w:rPr>
                <w:rFonts w:eastAsia="Times New Roman" w:cs="Times New Roman"/>
                <w:szCs w:val="24"/>
                <w:lang w:eastAsia="pt-BR"/>
              </w:rPr>
              <w:t>critically low</w:t>
            </w:r>
          </w:p>
        </w:tc>
      </w:tr>
      <w:tr w:rsidR="0048020D" w:rsidRPr="00CA4DD7" w14:paraId="0C694282" w14:textId="7F54728C" w:rsidTr="0048020D">
        <w:trPr>
          <w:trHeight w:val="113"/>
        </w:trPr>
        <w:tc>
          <w:tcPr>
            <w:tcW w:w="0" w:type="auto"/>
            <w:tcBorders>
              <w:top w:val="nil"/>
              <w:left w:val="nil"/>
              <w:bottom w:val="nil"/>
              <w:right w:val="nil"/>
            </w:tcBorders>
            <w:shd w:val="clear" w:color="auto" w:fill="auto"/>
            <w:vAlign w:val="center"/>
          </w:tcPr>
          <w:p w14:paraId="34D04C82" w14:textId="4C72525A" w:rsidR="000701C9" w:rsidRPr="00CA4DD7" w:rsidRDefault="00CC3F07" w:rsidP="00202F72">
            <w:pPr>
              <w:spacing w:after="0"/>
              <w:rPr>
                <w:rFonts w:eastAsia="Times New Roman" w:cs="Times New Roman"/>
                <w:szCs w:val="24"/>
                <w:lang w:eastAsia="pt-BR"/>
              </w:rPr>
            </w:pPr>
            <w:r w:rsidRPr="00CA4DD7">
              <w:rPr>
                <w:rFonts w:cs="Times New Roman"/>
                <w:szCs w:val="24"/>
              </w:rPr>
              <w:t>Bauer et al., 2011</w:t>
            </w:r>
          </w:p>
        </w:tc>
        <w:tc>
          <w:tcPr>
            <w:tcW w:w="0" w:type="auto"/>
            <w:tcBorders>
              <w:top w:val="nil"/>
              <w:left w:val="nil"/>
              <w:bottom w:val="nil"/>
              <w:right w:val="nil"/>
            </w:tcBorders>
            <w:shd w:val="clear" w:color="auto" w:fill="auto"/>
            <w:vAlign w:val="center"/>
          </w:tcPr>
          <w:p w14:paraId="3613E348" w14:textId="22EA1C56"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40302A5" w14:textId="5178CEED" w:rsidR="000701C9"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2894456" w14:textId="05439B8F"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70F93A0" w14:textId="38A1EF1F"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B9F28AE" w14:textId="60225280"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3E886F5" w14:textId="7DB59780"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A8E467B" w14:textId="28034400"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F32E8F3" w14:textId="6598F0DF"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F1F8D51" w14:textId="1B5AD2B3"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nil"/>
              <w:left w:val="nil"/>
              <w:bottom w:val="nil"/>
              <w:right w:val="nil"/>
            </w:tcBorders>
            <w:shd w:val="clear" w:color="auto" w:fill="auto"/>
            <w:vAlign w:val="center"/>
          </w:tcPr>
          <w:p w14:paraId="187D2A81" w14:textId="0F64AC40"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4D454AF" w14:textId="7D78886C" w:rsidR="000701C9"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0C16B6E" w14:textId="3F862EFD" w:rsidR="000701C9"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nil"/>
              <w:left w:val="nil"/>
              <w:bottom w:val="nil"/>
              <w:right w:val="nil"/>
            </w:tcBorders>
            <w:shd w:val="clear" w:color="auto" w:fill="auto"/>
            <w:vAlign w:val="center"/>
          </w:tcPr>
          <w:p w14:paraId="07433B19" w14:textId="4510CCA0"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93EE348" w14:textId="422C99DD"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CA219A6" w14:textId="539F980D"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1BEBCA3" w14:textId="0576384F"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D57900E" w14:textId="6E4AE50C"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33E56EF" w14:textId="62B1C538" w:rsidR="000701C9"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5BB4FDB" w14:textId="1FF6E4DA" w:rsidR="000701C9" w:rsidRPr="00CA4DD7" w:rsidRDefault="008901EA">
            <w:pPr>
              <w:spacing w:after="0"/>
              <w:jc w:val="center"/>
              <w:rPr>
                <w:rFonts w:cs="Times New Roman"/>
                <w:szCs w:val="24"/>
              </w:rPr>
            </w:pPr>
            <w:r w:rsidRPr="00CA4DD7">
              <w:rPr>
                <w:rFonts w:cs="Times New Roman"/>
                <w:szCs w:val="24"/>
              </w:rPr>
              <w:t>high*</w:t>
            </w:r>
          </w:p>
        </w:tc>
      </w:tr>
      <w:tr w:rsidR="0048020D" w:rsidRPr="00CA4DD7" w14:paraId="0D3FD725" w14:textId="5DF36D15" w:rsidTr="0048020D">
        <w:trPr>
          <w:trHeight w:val="113"/>
        </w:trPr>
        <w:tc>
          <w:tcPr>
            <w:tcW w:w="0" w:type="auto"/>
            <w:tcBorders>
              <w:top w:val="nil"/>
              <w:left w:val="nil"/>
              <w:bottom w:val="nil"/>
              <w:right w:val="nil"/>
            </w:tcBorders>
            <w:shd w:val="clear" w:color="auto" w:fill="auto"/>
            <w:vAlign w:val="center"/>
          </w:tcPr>
          <w:p w14:paraId="743DDD82" w14:textId="3EEF3218" w:rsidR="000809B2" w:rsidRPr="00CA4DD7" w:rsidRDefault="00CC3F07" w:rsidP="00202F72">
            <w:pPr>
              <w:spacing w:after="0"/>
              <w:rPr>
                <w:rFonts w:eastAsia="Times New Roman" w:cs="Times New Roman"/>
                <w:szCs w:val="24"/>
                <w:lang w:eastAsia="pt-BR"/>
              </w:rPr>
            </w:pPr>
            <w:r w:rsidRPr="00CA4DD7">
              <w:rPr>
                <w:rFonts w:cs="Times New Roman"/>
                <w:szCs w:val="24"/>
              </w:rPr>
              <w:t>Holmes et al., 2011</w:t>
            </w:r>
          </w:p>
        </w:tc>
        <w:tc>
          <w:tcPr>
            <w:tcW w:w="0" w:type="auto"/>
            <w:tcBorders>
              <w:top w:val="nil"/>
              <w:left w:val="nil"/>
              <w:bottom w:val="nil"/>
              <w:right w:val="nil"/>
            </w:tcBorders>
            <w:shd w:val="clear" w:color="auto" w:fill="auto"/>
            <w:vAlign w:val="center"/>
          </w:tcPr>
          <w:p w14:paraId="0467CC4D" w14:textId="4FE4712B"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1D15540E" w14:textId="0CAA678D"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6466BC2" w14:textId="14C31F8A"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tcPr>
          <w:p w14:paraId="66A0E709" w14:textId="6A39C4B7"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bottom w:val="nil"/>
              <w:right w:val="nil"/>
            </w:tcBorders>
            <w:shd w:val="clear" w:color="auto" w:fill="auto"/>
            <w:vAlign w:val="center"/>
          </w:tcPr>
          <w:p w14:paraId="45CC443F" w14:textId="3F9D05E3"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tcPr>
          <w:p w14:paraId="48630804" w14:textId="6025644A"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tcPr>
          <w:p w14:paraId="1A376735" w14:textId="3562369A"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A7F295B" w14:textId="03072832"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B625E60" w14:textId="70832A49"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bottom w:val="nil"/>
              <w:right w:val="nil"/>
            </w:tcBorders>
            <w:shd w:val="clear" w:color="auto" w:fill="auto"/>
            <w:vAlign w:val="center"/>
          </w:tcPr>
          <w:p w14:paraId="67CB6C4E" w14:textId="02F19AF6"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bottom w:val="nil"/>
              <w:right w:val="nil"/>
            </w:tcBorders>
            <w:shd w:val="clear" w:color="auto" w:fill="auto"/>
            <w:vAlign w:val="center"/>
          </w:tcPr>
          <w:p w14:paraId="0206C79A" w14:textId="6C2BE78E"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9241B90" w14:textId="5372E145"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r w:rsidRPr="00CA4DD7">
              <w:rPr>
                <w:rFonts w:eastAsia="Times New Roman" w:cs="Times New Roman"/>
                <w:szCs w:val="24"/>
                <w:vertAlign w:val="superscript"/>
                <w:lang w:eastAsia="pt-BR"/>
              </w:rPr>
              <w:t>#</w:t>
            </w:r>
          </w:p>
        </w:tc>
        <w:tc>
          <w:tcPr>
            <w:tcW w:w="0" w:type="auto"/>
            <w:tcBorders>
              <w:top w:val="nil"/>
              <w:left w:val="nil"/>
              <w:bottom w:val="nil"/>
              <w:right w:val="nil"/>
            </w:tcBorders>
            <w:shd w:val="clear" w:color="auto" w:fill="auto"/>
            <w:vAlign w:val="center"/>
          </w:tcPr>
          <w:p w14:paraId="59423B21" w14:textId="78E49653"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r w:rsidRPr="00CA4DD7">
              <w:rPr>
                <w:rFonts w:eastAsia="Times New Roman" w:cs="Times New Roman"/>
                <w:szCs w:val="24"/>
                <w:vertAlign w:val="superscript"/>
                <w:lang w:eastAsia="pt-BR"/>
              </w:rPr>
              <w:t>#</w:t>
            </w:r>
          </w:p>
        </w:tc>
        <w:tc>
          <w:tcPr>
            <w:tcW w:w="0" w:type="auto"/>
            <w:tcBorders>
              <w:top w:val="nil"/>
              <w:left w:val="nil"/>
              <w:bottom w:val="nil"/>
              <w:right w:val="nil"/>
            </w:tcBorders>
            <w:shd w:val="clear" w:color="auto" w:fill="auto"/>
            <w:vAlign w:val="center"/>
          </w:tcPr>
          <w:p w14:paraId="5CE34D55" w14:textId="53499E21"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71AA8BF" w14:textId="38ECF903"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74C86C51" w14:textId="528B37A7"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47F063D3" w14:textId="3905C523"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6C326DFE" w14:textId="23B638D4"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EACA761" w14:textId="7EE7F7F5" w:rsidR="000809B2" w:rsidRPr="00CA4DD7" w:rsidRDefault="008901EA">
            <w:pPr>
              <w:spacing w:after="0"/>
              <w:jc w:val="center"/>
              <w:rPr>
                <w:rFonts w:eastAsia="Times New Roman" w:cs="Times New Roman"/>
                <w:szCs w:val="24"/>
                <w:lang w:eastAsia="pt-BR"/>
              </w:rPr>
            </w:pPr>
            <w:r w:rsidRPr="00CA4DD7">
              <w:rPr>
                <w:rFonts w:eastAsia="Times New Roman" w:cs="Times New Roman"/>
                <w:szCs w:val="24"/>
                <w:lang w:eastAsia="pt-BR"/>
              </w:rPr>
              <w:t>critically low</w:t>
            </w:r>
          </w:p>
        </w:tc>
      </w:tr>
      <w:tr w:rsidR="0048020D" w:rsidRPr="00CA4DD7" w14:paraId="0E882484" w14:textId="209E0B88" w:rsidTr="0048020D">
        <w:trPr>
          <w:trHeight w:val="113"/>
        </w:trPr>
        <w:tc>
          <w:tcPr>
            <w:tcW w:w="0" w:type="auto"/>
            <w:tcBorders>
              <w:top w:val="nil"/>
              <w:left w:val="nil"/>
              <w:bottom w:val="nil"/>
              <w:right w:val="nil"/>
            </w:tcBorders>
            <w:shd w:val="clear" w:color="auto" w:fill="auto"/>
            <w:vAlign w:val="center"/>
          </w:tcPr>
          <w:p w14:paraId="631B2B21" w14:textId="1BCF0E94" w:rsidR="000809B2" w:rsidRPr="00CA4DD7" w:rsidRDefault="00CC3F07" w:rsidP="00202F72">
            <w:pPr>
              <w:spacing w:after="0"/>
              <w:rPr>
                <w:rFonts w:eastAsia="Times New Roman" w:cs="Times New Roman"/>
                <w:szCs w:val="24"/>
                <w:lang w:eastAsia="pt-BR"/>
              </w:rPr>
            </w:pPr>
            <w:r w:rsidRPr="00CA4DD7">
              <w:rPr>
                <w:rFonts w:cs="Times New Roman"/>
                <w:szCs w:val="24"/>
              </w:rPr>
              <w:t>Huang et al., 2017</w:t>
            </w:r>
          </w:p>
        </w:tc>
        <w:tc>
          <w:tcPr>
            <w:tcW w:w="0" w:type="auto"/>
            <w:tcBorders>
              <w:top w:val="nil"/>
              <w:left w:val="nil"/>
              <w:bottom w:val="nil"/>
              <w:right w:val="nil"/>
            </w:tcBorders>
            <w:shd w:val="clear" w:color="auto" w:fill="auto"/>
            <w:vAlign w:val="center"/>
          </w:tcPr>
          <w:p w14:paraId="24527D90" w14:textId="703EA3E3"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BA7B85C" w14:textId="23B1B0B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C5859FE" w14:textId="792FD25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481446F" w14:textId="79C5764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0E2B2407" w14:textId="7DEA90D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811E1E2" w14:textId="046AB9B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1135D90" w14:textId="46073CA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EF93B92" w14:textId="3E22B05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6A6F3D35" w14:textId="0FE53B7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488C0D1E" w14:textId="602414D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FE02332" w14:textId="40E15B5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4B31334" w14:textId="7F208A8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34F463CB" w14:textId="60344FE1"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EA53B8A" w14:textId="0117A3FB"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3E9D9FA" w14:textId="5DB22CE8"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D5C122D" w14:textId="7D9831DD"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03237B1" w14:textId="5AA9B009"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18F5825" w14:textId="533880D9"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A2D2B55" w14:textId="27B1944D" w:rsidR="000809B2" w:rsidRPr="00CA4DD7" w:rsidRDefault="008901EA">
            <w:pPr>
              <w:spacing w:after="0"/>
              <w:jc w:val="center"/>
              <w:rPr>
                <w:rFonts w:cs="Times New Roman"/>
                <w:szCs w:val="24"/>
              </w:rPr>
            </w:pPr>
            <w:r w:rsidRPr="00CA4DD7">
              <w:rPr>
                <w:rFonts w:eastAsia="Times New Roman" w:cs="Times New Roman"/>
                <w:szCs w:val="24"/>
                <w:lang w:eastAsia="pt-BR"/>
              </w:rPr>
              <w:t>critically low</w:t>
            </w:r>
          </w:p>
        </w:tc>
      </w:tr>
      <w:tr w:rsidR="0048020D" w:rsidRPr="00CA4DD7" w14:paraId="3872213B" w14:textId="61E44E4B" w:rsidTr="0048020D">
        <w:trPr>
          <w:trHeight w:val="113"/>
        </w:trPr>
        <w:tc>
          <w:tcPr>
            <w:tcW w:w="0" w:type="auto"/>
            <w:tcBorders>
              <w:top w:val="nil"/>
              <w:left w:val="nil"/>
              <w:bottom w:val="nil"/>
              <w:right w:val="nil"/>
            </w:tcBorders>
            <w:shd w:val="clear" w:color="auto" w:fill="auto"/>
            <w:vAlign w:val="center"/>
          </w:tcPr>
          <w:p w14:paraId="74C1501B" w14:textId="04B9D644" w:rsidR="000809B2" w:rsidRPr="00CA4DD7" w:rsidRDefault="00CC3F07" w:rsidP="00202F72">
            <w:pPr>
              <w:spacing w:after="0"/>
              <w:rPr>
                <w:rFonts w:eastAsia="Times New Roman" w:cs="Times New Roman"/>
                <w:szCs w:val="24"/>
                <w:lang w:eastAsia="pt-BR"/>
              </w:rPr>
            </w:pPr>
            <w:r w:rsidRPr="00CA4DD7">
              <w:rPr>
                <w:rFonts w:cs="Times New Roman"/>
                <w:szCs w:val="24"/>
              </w:rPr>
              <w:t>Hulot et al., 2010</w:t>
            </w:r>
          </w:p>
        </w:tc>
        <w:tc>
          <w:tcPr>
            <w:tcW w:w="0" w:type="auto"/>
            <w:tcBorders>
              <w:top w:val="nil"/>
              <w:left w:val="nil"/>
              <w:bottom w:val="nil"/>
              <w:right w:val="nil"/>
            </w:tcBorders>
            <w:shd w:val="clear" w:color="auto" w:fill="auto"/>
            <w:vAlign w:val="center"/>
          </w:tcPr>
          <w:p w14:paraId="372B1186" w14:textId="46B9C3E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A4C02F2" w14:textId="4E66783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119B969" w14:textId="7ED6A4E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2EAAD29" w14:textId="74D7535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3001EAB1" w14:textId="4DED158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4955840" w14:textId="5C49CBD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06761D3" w14:textId="0E5EE2B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9209593" w14:textId="3962E2B4"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1216EB8B" w14:textId="11034F19"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1456EBC0" w14:textId="2016039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59EEFE2" w14:textId="3C7453E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D6599E9" w14:textId="20C423F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5DCE3F68" w14:textId="660F9C5E"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C6368B9" w14:textId="03A03F85"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CB56949" w14:textId="778222EE"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694D475" w14:textId="7B178259"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6A77C86" w14:textId="5836A859"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260E970" w14:textId="4F7735D0"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E9C7B1A" w14:textId="61423FC9" w:rsidR="000809B2" w:rsidRPr="00CA4DD7" w:rsidRDefault="008901EA">
            <w:pPr>
              <w:spacing w:after="0"/>
              <w:jc w:val="center"/>
              <w:rPr>
                <w:rFonts w:cs="Times New Roman"/>
                <w:szCs w:val="24"/>
              </w:rPr>
            </w:pPr>
            <w:r w:rsidRPr="00CA4DD7">
              <w:rPr>
                <w:rFonts w:eastAsia="Times New Roman" w:cs="Times New Roman"/>
                <w:szCs w:val="24"/>
                <w:lang w:eastAsia="pt-BR"/>
              </w:rPr>
              <w:t>critically low</w:t>
            </w:r>
          </w:p>
        </w:tc>
      </w:tr>
      <w:tr w:rsidR="0048020D" w:rsidRPr="00CA4DD7" w14:paraId="692082EF" w14:textId="242B3E7B" w:rsidTr="0048020D">
        <w:trPr>
          <w:trHeight w:val="113"/>
        </w:trPr>
        <w:tc>
          <w:tcPr>
            <w:tcW w:w="0" w:type="auto"/>
            <w:tcBorders>
              <w:top w:val="nil"/>
              <w:left w:val="nil"/>
              <w:bottom w:val="nil"/>
              <w:right w:val="nil"/>
            </w:tcBorders>
            <w:shd w:val="clear" w:color="auto" w:fill="auto"/>
            <w:vAlign w:val="center"/>
          </w:tcPr>
          <w:p w14:paraId="3AF4A467" w14:textId="3BD43719" w:rsidR="007D16F2" w:rsidRPr="00CA4DD7" w:rsidRDefault="00CC3F07" w:rsidP="00202F72">
            <w:pPr>
              <w:spacing w:after="0"/>
              <w:rPr>
                <w:rFonts w:eastAsia="Times New Roman" w:cs="Times New Roman"/>
                <w:szCs w:val="24"/>
                <w:lang w:eastAsia="pt-BR"/>
              </w:rPr>
            </w:pPr>
            <w:r w:rsidRPr="00CA4DD7">
              <w:rPr>
                <w:rFonts w:cs="Times New Roman"/>
                <w:szCs w:val="24"/>
              </w:rPr>
              <w:t>Jang et al., 2012</w:t>
            </w:r>
          </w:p>
        </w:tc>
        <w:tc>
          <w:tcPr>
            <w:tcW w:w="0" w:type="auto"/>
            <w:tcBorders>
              <w:top w:val="nil"/>
              <w:left w:val="nil"/>
              <w:bottom w:val="nil"/>
              <w:right w:val="nil"/>
            </w:tcBorders>
            <w:shd w:val="clear" w:color="auto" w:fill="auto"/>
            <w:vAlign w:val="center"/>
          </w:tcPr>
          <w:p w14:paraId="5653D550" w14:textId="77DBE932" w:rsidR="007D16F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92B4C5B" w14:textId="0C622DBB"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D1D2749" w14:textId="4E9A5610" w:rsidR="007D16F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278E866" w14:textId="056D6494"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3785278" w14:textId="43FF52CB" w:rsidR="007D16F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A008F07" w14:textId="126D2208" w:rsidR="007D16F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27BB351" w14:textId="6740DF55"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E9B17F8" w14:textId="1977A06E"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EF3745D" w14:textId="7A98C387"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CC3E395" w14:textId="4FA80679"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1FEB621" w14:textId="1F7C6F1F" w:rsidR="007D16F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39DD227" w14:textId="3C9EF8BA" w:rsidR="007D16F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r w:rsidRPr="00CA4DD7">
              <w:rPr>
                <w:rFonts w:eastAsia="Times New Roman" w:cs="Times New Roman"/>
                <w:szCs w:val="24"/>
                <w:vertAlign w:val="superscript"/>
                <w:lang w:eastAsia="pt-BR"/>
              </w:rPr>
              <w:t>#</w:t>
            </w:r>
          </w:p>
        </w:tc>
        <w:tc>
          <w:tcPr>
            <w:tcW w:w="0" w:type="auto"/>
            <w:tcBorders>
              <w:top w:val="nil"/>
              <w:left w:val="nil"/>
              <w:bottom w:val="nil"/>
              <w:right w:val="nil"/>
            </w:tcBorders>
            <w:shd w:val="clear" w:color="auto" w:fill="auto"/>
            <w:vAlign w:val="center"/>
          </w:tcPr>
          <w:p w14:paraId="2893E48E" w14:textId="16BF3E49" w:rsidR="007D16F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r w:rsidRPr="00CA4DD7">
              <w:rPr>
                <w:rFonts w:eastAsia="Times New Roman" w:cs="Times New Roman"/>
                <w:szCs w:val="24"/>
                <w:vertAlign w:val="superscript"/>
                <w:lang w:eastAsia="pt-BR"/>
              </w:rPr>
              <w:t>#</w:t>
            </w:r>
          </w:p>
        </w:tc>
        <w:tc>
          <w:tcPr>
            <w:tcW w:w="0" w:type="auto"/>
            <w:tcBorders>
              <w:top w:val="nil"/>
              <w:left w:val="nil"/>
              <w:bottom w:val="nil"/>
              <w:right w:val="nil"/>
            </w:tcBorders>
            <w:shd w:val="clear" w:color="auto" w:fill="auto"/>
            <w:vAlign w:val="center"/>
          </w:tcPr>
          <w:p w14:paraId="4CB3F2E0" w14:textId="46F83A11" w:rsidR="007D16F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E796CAB" w14:textId="7BC014C4" w:rsidR="007D16F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34AA82D" w14:textId="288D7A30" w:rsidR="007D16F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22287D5" w14:textId="37F50353" w:rsidR="007D16F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1C1ED24" w14:textId="41873C33" w:rsidR="007D16F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A08CAB4" w14:textId="41A86453" w:rsidR="007D16F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46F7C725" w14:textId="2E5522F3" w:rsidTr="0048020D">
        <w:trPr>
          <w:trHeight w:val="113"/>
        </w:trPr>
        <w:tc>
          <w:tcPr>
            <w:tcW w:w="0" w:type="auto"/>
            <w:tcBorders>
              <w:top w:val="nil"/>
              <w:left w:val="nil"/>
              <w:bottom w:val="nil"/>
              <w:right w:val="nil"/>
            </w:tcBorders>
            <w:shd w:val="clear" w:color="auto" w:fill="auto"/>
            <w:vAlign w:val="center"/>
          </w:tcPr>
          <w:p w14:paraId="3FCA9092" w14:textId="12C9ABC4" w:rsidR="000809B2" w:rsidRPr="00CA4DD7" w:rsidRDefault="00CC3F07" w:rsidP="00202F72">
            <w:pPr>
              <w:spacing w:after="0"/>
              <w:rPr>
                <w:rFonts w:eastAsia="Times New Roman" w:cs="Times New Roman"/>
                <w:szCs w:val="24"/>
                <w:lang w:eastAsia="pt-BR"/>
              </w:rPr>
            </w:pPr>
            <w:proofErr w:type="spellStart"/>
            <w:r w:rsidRPr="00CA4DD7">
              <w:rPr>
                <w:rFonts w:cs="Times New Roman"/>
                <w:szCs w:val="24"/>
              </w:rPr>
              <w:t>Jin</w:t>
            </w:r>
            <w:proofErr w:type="spellEnd"/>
            <w:r w:rsidRPr="00CA4DD7">
              <w:rPr>
                <w:rFonts w:cs="Times New Roman"/>
                <w:szCs w:val="24"/>
              </w:rPr>
              <w:t xml:space="preserve"> et al., 2011</w:t>
            </w:r>
          </w:p>
        </w:tc>
        <w:tc>
          <w:tcPr>
            <w:tcW w:w="0" w:type="auto"/>
            <w:tcBorders>
              <w:top w:val="nil"/>
              <w:left w:val="nil"/>
              <w:bottom w:val="nil"/>
              <w:right w:val="nil"/>
            </w:tcBorders>
            <w:shd w:val="clear" w:color="auto" w:fill="auto"/>
            <w:vAlign w:val="center"/>
          </w:tcPr>
          <w:p w14:paraId="5919064E" w14:textId="098CF76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013D34D" w14:textId="0255B52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39DF935" w14:textId="3C8908FE"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E6E1DA0" w14:textId="3319933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417365E1" w14:textId="6D8B8D3E"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3185204" w14:textId="1EC3CF8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70F1ECC" w14:textId="5DD0FD8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A1D4C8D" w14:textId="32C0AE1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10EC943" w14:textId="430FD77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3F4BFBE9" w14:textId="7291F35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10BFB0D" w14:textId="3029D7A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3AB00A9" w14:textId="3413A345"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72450C30" w14:textId="6421D994"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DF18180" w14:textId="31AC3E90"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501F347" w14:textId="7ADAC827"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6DEB43A" w14:textId="71EB1D64"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8B4C8D9" w14:textId="4091D3F3"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A89F404" w14:textId="14465038"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32A89AA" w14:textId="45B4BA37"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03C39DDF" w14:textId="61EFF9E0" w:rsidTr="0048020D">
        <w:trPr>
          <w:trHeight w:val="113"/>
        </w:trPr>
        <w:tc>
          <w:tcPr>
            <w:tcW w:w="0" w:type="auto"/>
            <w:tcBorders>
              <w:top w:val="nil"/>
              <w:left w:val="nil"/>
              <w:bottom w:val="nil"/>
              <w:right w:val="nil"/>
            </w:tcBorders>
            <w:shd w:val="clear" w:color="auto" w:fill="auto"/>
            <w:vAlign w:val="center"/>
          </w:tcPr>
          <w:p w14:paraId="07D700D8" w14:textId="372388E9" w:rsidR="000809B2" w:rsidRPr="00CA4DD7" w:rsidRDefault="00CC3F07" w:rsidP="00202F72">
            <w:pPr>
              <w:spacing w:after="0"/>
              <w:rPr>
                <w:rFonts w:eastAsia="Times New Roman" w:cs="Times New Roman"/>
                <w:szCs w:val="24"/>
                <w:lang w:eastAsia="pt-BR"/>
              </w:rPr>
            </w:pPr>
            <w:r w:rsidRPr="00CA4DD7">
              <w:rPr>
                <w:rFonts w:cs="Times New Roman"/>
                <w:szCs w:val="24"/>
              </w:rPr>
              <w:t>Mega et al., 2010</w:t>
            </w:r>
          </w:p>
        </w:tc>
        <w:tc>
          <w:tcPr>
            <w:tcW w:w="0" w:type="auto"/>
            <w:tcBorders>
              <w:top w:val="nil"/>
              <w:left w:val="nil"/>
              <w:bottom w:val="nil"/>
              <w:right w:val="nil"/>
            </w:tcBorders>
            <w:shd w:val="clear" w:color="auto" w:fill="auto"/>
            <w:vAlign w:val="center"/>
          </w:tcPr>
          <w:p w14:paraId="5E480DF9" w14:textId="1A89B22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D4CE972" w14:textId="2F6F584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AA461AD" w14:textId="6335F3F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F440A94" w14:textId="4FD2521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056BCB7" w14:textId="0B4DBD0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A927027" w14:textId="419C7E6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EE56070" w14:textId="2FF3CF64"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60B15B1D" w14:textId="2BC1B8F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F014ABE" w14:textId="1B5B9749"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3F9D2162" w14:textId="3A1A4EE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0A167596" w14:textId="25E70FD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AA9ABD3" w14:textId="47B34D5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A317732" w14:textId="6FDF6DA3"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6B6A62F" w14:textId="1EC6D6DD"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8123E01" w14:textId="6BF8EF15"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EE1798A" w14:textId="321EDB34"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B00806C" w14:textId="070F13F3"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D4B682D" w14:textId="1D85A4CC"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E51EC47" w14:textId="7839F3A8"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6E0046AE" w14:textId="37E23AD5" w:rsidTr="0048020D">
        <w:trPr>
          <w:trHeight w:val="113"/>
        </w:trPr>
        <w:tc>
          <w:tcPr>
            <w:tcW w:w="0" w:type="auto"/>
            <w:tcBorders>
              <w:top w:val="nil"/>
              <w:left w:val="nil"/>
              <w:bottom w:val="nil"/>
              <w:right w:val="nil"/>
            </w:tcBorders>
            <w:shd w:val="clear" w:color="auto" w:fill="auto"/>
            <w:vAlign w:val="center"/>
          </w:tcPr>
          <w:p w14:paraId="26EA2F75" w14:textId="6C5096CC" w:rsidR="000809B2" w:rsidRPr="00CA4DD7" w:rsidRDefault="00CC3F07" w:rsidP="00202F72">
            <w:pPr>
              <w:spacing w:after="0"/>
              <w:rPr>
                <w:rFonts w:eastAsia="Times New Roman" w:cs="Times New Roman"/>
                <w:szCs w:val="24"/>
                <w:lang w:eastAsia="pt-BR"/>
              </w:rPr>
            </w:pPr>
            <w:proofErr w:type="spellStart"/>
            <w:r w:rsidRPr="00CA4DD7">
              <w:rPr>
                <w:rFonts w:cs="Times New Roman"/>
                <w:szCs w:val="24"/>
              </w:rPr>
              <w:t>Niu</w:t>
            </w:r>
            <w:proofErr w:type="spellEnd"/>
            <w:r w:rsidRPr="00CA4DD7">
              <w:rPr>
                <w:rFonts w:cs="Times New Roman"/>
                <w:szCs w:val="24"/>
              </w:rPr>
              <w:t xml:space="preserve"> et al., 2015</w:t>
            </w:r>
          </w:p>
        </w:tc>
        <w:tc>
          <w:tcPr>
            <w:tcW w:w="0" w:type="auto"/>
            <w:tcBorders>
              <w:top w:val="nil"/>
              <w:left w:val="nil"/>
              <w:bottom w:val="nil"/>
              <w:right w:val="nil"/>
            </w:tcBorders>
            <w:shd w:val="clear" w:color="auto" w:fill="auto"/>
            <w:vAlign w:val="center"/>
          </w:tcPr>
          <w:p w14:paraId="012B68AF" w14:textId="1E960D9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95BB87E" w14:textId="302BB46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EC1BF72" w14:textId="181D253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9DA5F96" w14:textId="39F89784"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49920244" w14:textId="7F03328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16DBF73" w14:textId="0A92DE9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A5662F6" w14:textId="0AF218E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F1F5C73" w14:textId="226E8CC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12A67FE" w14:textId="5FA8A09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12E4484E" w14:textId="3F3796E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AB68152" w14:textId="18647F7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68C0E58" w14:textId="2ADA4CF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660EFA7E" w14:textId="444212CD"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7AC9A46" w14:textId="3FB19000"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3A75BD9" w14:textId="613249FE"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67B8DAB" w14:textId="72C09C4D"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CF699EF" w14:textId="437C4096"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B7C443C" w14:textId="2D26F333"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CF7CB73" w14:textId="40EC2696"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1539202B" w14:textId="49450552" w:rsidTr="0048020D">
        <w:trPr>
          <w:trHeight w:val="113"/>
        </w:trPr>
        <w:tc>
          <w:tcPr>
            <w:tcW w:w="0" w:type="auto"/>
            <w:tcBorders>
              <w:top w:val="nil"/>
              <w:left w:val="nil"/>
              <w:bottom w:val="nil"/>
              <w:right w:val="nil"/>
            </w:tcBorders>
            <w:shd w:val="clear" w:color="auto" w:fill="auto"/>
            <w:vAlign w:val="center"/>
          </w:tcPr>
          <w:p w14:paraId="14617E32" w14:textId="0896DFDB" w:rsidR="000809B2" w:rsidRPr="00CA4DD7" w:rsidRDefault="00CC3F07" w:rsidP="00202F72">
            <w:pPr>
              <w:spacing w:after="0"/>
              <w:rPr>
                <w:rFonts w:eastAsia="Times New Roman" w:cs="Times New Roman"/>
                <w:szCs w:val="24"/>
                <w:lang w:eastAsia="pt-BR"/>
              </w:rPr>
            </w:pPr>
            <w:r w:rsidRPr="00CA4DD7">
              <w:rPr>
                <w:rFonts w:cs="Times New Roman"/>
                <w:szCs w:val="24"/>
              </w:rPr>
              <w:t>Pan et al., 2017</w:t>
            </w:r>
          </w:p>
        </w:tc>
        <w:tc>
          <w:tcPr>
            <w:tcW w:w="0" w:type="auto"/>
            <w:tcBorders>
              <w:top w:val="nil"/>
              <w:left w:val="nil"/>
              <w:bottom w:val="nil"/>
              <w:right w:val="nil"/>
            </w:tcBorders>
            <w:shd w:val="clear" w:color="auto" w:fill="auto"/>
            <w:vAlign w:val="center"/>
          </w:tcPr>
          <w:p w14:paraId="7B330DF7" w14:textId="7B81F83E"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0ABB9B5" w14:textId="2EBF068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7005410" w14:textId="2D84EA8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2A58E4E" w14:textId="66DDCC3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4510B6C" w14:textId="5FF49FA3"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42FF3D9" w14:textId="66E9D5D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EAA757E" w14:textId="01E4AE2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C6A3C50" w14:textId="4CD2C155"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0298A53A" w14:textId="2A497906"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35076595" w14:textId="306C4B3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7D0D1DB" w14:textId="5B4FD5F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10FAF67" w14:textId="76B14B8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1C8CB2C" w14:textId="466D8DA7"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F273F23" w14:textId="785BF518"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FADE7C5" w14:textId="12272F29"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DA16A67" w14:textId="000C8410"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47BB23C" w14:textId="6F94ACEF"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8715FD8" w14:textId="6C61A47B"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7E9EF15" w14:textId="3C4B4D78"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37EF5418" w14:textId="6485DFBA" w:rsidTr="0048020D">
        <w:trPr>
          <w:trHeight w:val="113"/>
        </w:trPr>
        <w:tc>
          <w:tcPr>
            <w:tcW w:w="0" w:type="auto"/>
            <w:tcBorders>
              <w:top w:val="nil"/>
              <w:left w:val="nil"/>
              <w:bottom w:val="nil"/>
              <w:right w:val="nil"/>
            </w:tcBorders>
            <w:shd w:val="clear" w:color="auto" w:fill="auto"/>
            <w:vAlign w:val="center"/>
          </w:tcPr>
          <w:p w14:paraId="62D82DE9" w14:textId="4FEDC5CE" w:rsidR="000809B2" w:rsidRPr="00CA4DD7" w:rsidRDefault="00CC3F07" w:rsidP="00202F72">
            <w:pPr>
              <w:spacing w:after="0"/>
              <w:rPr>
                <w:rFonts w:eastAsia="Times New Roman" w:cs="Times New Roman"/>
                <w:szCs w:val="24"/>
                <w:lang w:eastAsia="pt-BR"/>
              </w:rPr>
            </w:pPr>
            <w:r w:rsidRPr="00CA4DD7">
              <w:rPr>
                <w:rFonts w:cs="Times New Roman"/>
                <w:szCs w:val="24"/>
              </w:rPr>
              <w:t>Sofi et al., 2011</w:t>
            </w:r>
          </w:p>
        </w:tc>
        <w:tc>
          <w:tcPr>
            <w:tcW w:w="0" w:type="auto"/>
            <w:tcBorders>
              <w:top w:val="nil"/>
              <w:left w:val="nil"/>
              <w:bottom w:val="nil"/>
              <w:right w:val="nil"/>
            </w:tcBorders>
            <w:shd w:val="clear" w:color="auto" w:fill="auto"/>
            <w:vAlign w:val="center"/>
          </w:tcPr>
          <w:p w14:paraId="1A661BFD" w14:textId="25A6A9F3"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A4C724E" w14:textId="47B4D24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1C9F96C" w14:textId="4952333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C726AF7" w14:textId="46F0E12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nil"/>
              <w:right w:val="nil"/>
            </w:tcBorders>
            <w:shd w:val="clear" w:color="auto" w:fill="auto"/>
            <w:vAlign w:val="center"/>
          </w:tcPr>
          <w:p w14:paraId="4C7E718D" w14:textId="396BC6E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9D716C0" w14:textId="6B0965FE"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B908623" w14:textId="665932E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276C402" w14:textId="31B8C35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14A4BA8" w14:textId="5B0BDF53"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6A453815" w14:textId="6026922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C85657A" w14:textId="79230B5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492F015" w14:textId="036B6A0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34112BB9" w14:textId="62904A61"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1C726BC" w14:textId="29104EDB"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025BB90" w14:textId="38EBF516"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2993ECE" w14:textId="0214B470"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C0B4738" w14:textId="0E6D24E1"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7B7F5C7" w14:textId="259A0A4E"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EE4E05F" w14:textId="2038BBE0"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7455D5CB" w14:textId="2D809BBE" w:rsidTr="0048020D">
        <w:trPr>
          <w:trHeight w:val="113"/>
        </w:trPr>
        <w:tc>
          <w:tcPr>
            <w:tcW w:w="0" w:type="auto"/>
            <w:tcBorders>
              <w:top w:val="nil"/>
              <w:left w:val="nil"/>
              <w:bottom w:val="nil"/>
              <w:right w:val="nil"/>
            </w:tcBorders>
            <w:shd w:val="clear" w:color="auto" w:fill="auto"/>
            <w:vAlign w:val="center"/>
          </w:tcPr>
          <w:p w14:paraId="270A0842" w14:textId="1F836F1E" w:rsidR="000809B2" w:rsidRPr="00CA4DD7" w:rsidRDefault="00CC3F07" w:rsidP="00202F72">
            <w:pPr>
              <w:spacing w:after="0"/>
              <w:rPr>
                <w:rFonts w:eastAsia="Times New Roman" w:cs="Times New Roman"/>
                <w:szCs w:val="24"/>
                <w:lang w:eastAsia="pt-BR"/>
              </w:rPr>
            </w:pPr>
            <w:proofErr w:type="spellStart"/>
            <w:r w:rsidRPr="00CA4DD7">
              <w:rPr>
                <w:rFonts w:cs="Times New Roman"/>
                <w:szCs w:val="24"/>
              </w:rPr>
              <w:t>Sorich</w:t>
            </w:r>
            <w:proofErr w:type="spellEnd"/>
            <w:r w:rsidRPr="00CA4DD7">
              <w:rPr>
                <w:rFonts w:cs="Times New Roman"/>
                <w:szCs w:val="24"/>
              </w:rPr>
              <w:t xml:space="preserve"> et al., 2014</w:t>
            </w:r>
          </w:p>
        </w:tc>
        <w:tc>
          <w:tcPr>
            <w:tcW w:w="0" w:type="auto"/>
            <w:tcBorders>
              <w:top w:val="nil"/>
              <w:left w:val="nil"/>
              <w:bottom w:val="nil"/>
              <w:right w:val="nil"/>
            </w:tcBorders>
            <w:shd w:val="clear" w:color="auto" w:fill="auto"/>
            <w:vAlign w:val="center"/>
          </w:tcPr>
          <w:p w14:paraId="46EB9508" w14:textId="49C56EF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6C13191" w14:textId="7AFDA9B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C976376" w14:textId="7A7355F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6CF9343" w14:textId="4D2898B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45152AC" w14:textId="4BE187C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7EDD6872" w14:textId="27A6B9F8"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EFCE710" w14:textId="283B9B25"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738F7DA" w14:textId="66457F4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F893205" w14:textId="2997DFB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4D50E320" w14:textId="27170B00"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3261F76" w14:textId="3D45044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891CDBA" w14:textId="2677C9A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6C8E4CEE" w14:textId="3DE5D007"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A2A4A09" w14:textId="7423F592"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367139C" w14:textId="2ADF9AB9"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468276F" w14:textId="216D1FB7"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ABD860B" w14:textId="61CBCAAD"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3CC4117" w14:textId="2F821A0E"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9E38BFC" w14:textId="6853FA21"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46291C8C" w14:textId="697E12B8" w:rsidTr="0048020D">
        <w:trPr>
          <w:trHeight w:val="113"/>
        </w:trPr>
        <w:tc>
          <w:tcPr>
            <w:tcW w:w="0" w:type="auto"/>
            <w:tcBorders>
              <w:top w:val="nil"/>
              <w:left w:val="nil"/>
              <w:bottom w:val="nil"/>
              <w:right w:val="nil"/>
            </w:tcBorders>
            <w:shd w:val="clear" w:color="auto" w:fill="auto"/>
            <w:vAlign w:val="center"/>
          </w:tcPr>
          <w:p w14:paraId="290646EF" w14:textId="58EF08C9" w:rsidR="000809B2" w:rsidRPr="00CA4DD7" w:rsidRDefault="00CC3F07" w:rsidP="00202F72">
            <w:pPr>
              <w:spacing w:after="0"/>
              <w:rPr>
                <w:rFonts w:eastAsia="Times New Roman" w:cs="Times New Roman"/>
                <w:szCs w:val="24"/>
                <w:lang w:eastAsia="pt-BR"/>
              </w:rPr>
            </w:pPr>
            <w:r w:rsidRPr="00CA4DD7">
              <w:rPr>
                <w:rFonts w:cs="Times New Roman"/>
                <w:szCs w:val="24"/>
              </w:rPr>
              <w:t>Xi et al., 2019</w:t>
            </w:r>
          </w:p>
        </w:tc>
        <w:tc>
          <w:tcPr>
            <w:tcW w:w="0" w:type="auto"/>
            <w:tcBorders>
              <w:top w:val="nil"/>
              <w:left w:val="nil"/>
              <w:bottom w:val="nil"/>
              <w:right w:val="nil"/>
            </w:tcBorders>
            <w:shd w:val="clear" w:color="auto" w:fill="auto"/>
            <w:vAlign w:val="center"/>
          </w:tcPr>
          <w:p w14:paraId="70DC0D59" w14:textId="669AF883"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4F8F6F5" w14:textId="4A49A51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E26F6F0" w14:textId="4BF9A515"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7DC182C" w14:textId="5E68969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319838A9" w14:textId="1EC04634"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7C27BB8" w14:textId="464E8A5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B1110E5" w14:textId="5580721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8C1ECDF" w14:textId="5E31BA8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2A8EC05" w14:textId="36C026B5"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057360D3" w14:textId="1868BC77"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6562C6F" w14:textId="40C15B0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22F3777E" w14:textId="13B7B48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713BD617" w14:textId="1D831D7D"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F912ED6" w14:textId="3C1D4791"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FBE9299" w14:textId="62499A09"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6D0ABCAA" w14:textId="781B7D3B"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FF4B1BB" w14:textId="0AB18C6A"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9532307" w14:textId="226CAB97"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24A10452" w14:textId="73DCB575"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132434A8" w14:textId="502F91B5" w:rsidTr="0048020D">
        <w:trPr>
          <w:trHeight w:val="113"/>
        </w:trPr>
        <w:tc>
          <w:tcPr>
            <w:tcW w:w="0" w:type="auto"/>
            <w:tcBorders>
              <w:top w:val="nil"/>
              <w:left w:val="nil"/>
              <w:bottom w:val="nil"/>
              <w:right w:val="nil"/>
            </w:tcBorders>
            <w:shd w:val="clear" w:color="auto" w:fill="auto"/>
            <w:vAlign w:val="center"/>
          </w:tcPr>
          <w:p w14:paraId="0AC2AB08" w14:textId="2B1CE7C3" w:rsidR="000809B2" w:rsidRPr="00CA4DD7" w:rsidRDefault="00CC3F07" w:rsidP="00202F72">
            <w:pPr>
              <w:spacing w:after="0"/>
              <w:rPr>
                <w:rFonts w:eastAsia="Times New Roman" w:cs="Times New Roman"/>
                <w:szCs w:val="24"/>
                <w:lang w:eastAsia="pt-BR"/>
              </w:rPr>
            </w:pPr>
            <w:proofErr w:type="spellStart"/>
            <w:r w:rsidRPr="00CA4DD7">
              <w:rPr>
                <w:rFonts w:cs="Times New Roman"/>
                <w:szCs w:val="24"/>
              </w:rPr>
              <w:t>Zabalza</w:t>
            </w:r>
            <w:proofErr w:type="spellEnd"/>
            <w:r w:rsidRPr="00CA4DD7">
              <w:rPr>
                <w:rFonts w:cs="Times New Roman"/>
                <w:szCs w:val="24"/>
              </w:rPr>
              <w:t xml:space="preserve"> et al., 2012</w:t>
            </w:r>
          </w:p>
        </w:tc>
        <w:tc>
          <w:tcPr>
            <w:tcW w:w="0" w:type="auto"/>
            <w:tcBorders>
              <w:top w:val="nil"/>
              <w:left w:val="nil"/>
              <w:bottom w:val="nil"/>
              <w:right w:val="nil"/>
            </w:tcBorders>
            <w:shd w:val="clear" w:color="auto" w:fill="auto"/>
            <w:vAlign w:val="center"/>
          </w:tcPr>
          <w:p w14:paraId="692802FB" w14:textId="0D0F290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3F07566A" w14:textId="693E47E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78AE452" w14:textId="4311809F"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665E007" w14:textId="7CEC63EB"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D5035E6" w14:textId="1803974C"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19308BBA" w14:textId="4903BF31"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66D29DF" w14:textId="09B24962" w:rsidR="000809B2"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54EC3EE8" w14:textId="3921F29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06361D88" w14:textId="4421BDE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65179650" w14:textId="0A7A7C48" w:rsidR="00492AEA" w:rsidRPr="00CA4DD7" w:rsidRDefault="00E625F0" w:rsidP="006B3ECC">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4EE65D6" w14:textId="1CAAA9BD" w:rsidR="000809B2"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58C5965C" w14:textId="2ACE6ACA" w:rsidR="000809B2" w:rsidRPr="00CA4DD7" w:rsidRDefault="00E625F0" w:rsidP="00202F72">
            <w:pPr>
              <w:spacing w:after="0"/>
              <w:jc w:val="center"/>
              <w:rPr>
                <w:rFonts w:eastAsia="Times New Roman" w:cs="Times New Roman"/>
                <w:szCs w:val="24"/>
                <w:lang w:eastAsia="pt-BR"/>
              </w:rPr>
            </w:pPr>
            <w:r w:rsidRPr="00CA4DD7">
              <w:rPr>
                <w:rFonts w:cs="Times New Roman"/>
                <w:szCs w:val="24"/>
              </w:rPr>
              <w:t>__</w:t>
            </w:r>
          </w:p>
        </w:tc>
        <w:tc>
          <w:tcPr>
            <w:tcW w:w="0" w:type="auto"/>
            <w:tcBorders>
              <w:top w:val="nil"/>
              <w:left w:val="nil"/>
              <w:bottom w:val="nil"/>
              <w:right w:val="nil"/>
            </w:tcBorders>
            <w:shd w:val="clear" w:color="auto" w:fill="auto"/>
            <w:vAlign w:val="center"/>
          </w:tcPr>
          <w:p w14:paraId="2F263C89" w14:textId="744E54AA"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8ED29EF" w14:textId="7DA8CF13"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6D6EB1AE" w14:textId="0782A13F" w:rsidR="000809B2" w:rsidRPr="00CA4DD7" w:rsidRDefault="00E625F0">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nil"/>
              <w:right w:val="nil"/>
            </w:tcBorders>
            <w:shd w:val="clear" w:color="auto" w:fill="auto"/>
            <w:vAlign w:val="center"/>
          </w:tcPr>
          <w:p w14:paraId="4AA343B7" w14:textId="30C5E024"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7469A5B5" w14:textId="2437F7C8"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140715FB" w14:textId="5E263E51" w:rsidR="000809B2"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nil"/>
              <w:right w:val="nil"/>
            </w:tcBorders>
            <w:shd w:val="clear" w:color="auto" w:fill="auto"/>
            <w:vAlign w:val="center"/>
          </w:tcPr>
          <w:p w14:paraId="4BF5B760" w14:textId="4A45899F" w:rsidR="000809B2" w:rsidRPr="00CA4DD7" w:rsidRDefault="008901EA">
            <w:pPr>
              <w:spacing w:after="0"/>
              <w:jc w:val="center"/>
              <w:rPr>
                <w:rFonts w:cs="Times New Roman"/>
                <w:szCs w:val="24"/>
              </w:rPr>
            </w:pPr>
            <w:r w:rsidRPr="00CA4DD7">
              <w:rPr>
                <w:rFonts w:cs="Times New Roman"/>
                <w:szCs w:val="24"/>
              </w:rPr>
              <w:t>critically low</w:t>
            </w:r>
          </w:p>
        </w:tc>
      </w:tr>
      <w:tr w:rsidR="0048020D" w:rsidRPr="00CA4DD7" w14:paraId="2C9AFE56" w14:textId="2C88C9EC" w:rsidTr="0048020D">
        <w:trPr>
          <w:trHeight w:val="113"/>
        </w:trPr>
        <w:tc>
          <w:tcPr>
            <w:tcW w:w="0" w:type="auto"/>
            <w:tcBorders>
              <w:top w:val="nil"/>
              <w:left w:val="nil"/>
              <w:right w:val="nil"/>
            </w:tcBorders>
            <w:shd w:val="clear" w:color="auto" w:fill="auto"/>
            <w:vAlign w:val="center"/>
          </w:tcPr>
          <w:p w14:paraId="521A4613" w14:textId="7F3F05A3" w:rsidR="000809B2" w:rsidRPr="00CA4DD7" w:rsidRDefault="00CC3F07" w:rsidP="00202F72">
            <w:pPr>
              <w:spacing w:after="0"/>
              <w:rPr>
                <w:rFonts w:eastAsia="Times New Roman" w:cs="Times New Roman"/>
                <w:szCs w:val="24"/>
                <w:lang w:eastAsia="pt-BR"/>
              </w:rPr>
            </w:pPr>
            <w:r w:rsidRPr="00CA4DD7">
              <w:rPr>
                <w:rFonts w:cs="Times New Roman"/>
                <w:szCs w:val="24"/>
              </w:rPr>
              <w:t>Zhang et al., 2015</w:t>
            </w:r>
          </w:p>
        </w:tc>
        <w:tc>
          <w:tcPr>
            <w:tcW w:w="0" w:type="auto"/>
            <w:tcBorders>
              <w:top w:val="nil"/>
              <w:left w:val="nil"/>
              <w:right w:val="nil"/>
            </w:tcBorders>
            <w:shd w:val="clear" w:color="auto" w:fill="auto"/>
            <w:vAlign w:val="center"/>
          </w:tcPr>
          <w:p w14:paraId="54FF1A26" w14:textId="15AD550A"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599AF613" w14:textId="7184D4C6"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28DF21AD" w14:textId="2B5C2BF2"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131BBD78" w14:textId="72636A2C"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right w:val="nil"/>
            </w:tcBorders>
            <w:shd w:val="clear" w:color="auto" w:fill="auto"/>
            <w:vAlign w:val="center"/>
          </w:tcPr>
          <w:p w14:paraId="2A407358" w14:textId="211BC2EA"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0595CD24" w14:textId="32443069"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5EEB8D35" w14:textId="506A8034"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0D950DC3" w14:textId="486F10F7"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2A3DADB6" w14:textId="30429506"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1B3DD79E" w14:textId="2F3C20DB"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2E857A3A" w14:textId="178F0BE8"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51AED4E4" w14:textId="5A57D5EB" w:rsidR="000809B2" w:rsidRPr="00CA4DD7" w:rsidRDefault="00E625F0" w:rsidP="00202F72">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3B2A1628" w14:textId="51B842BC"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58A0C283" w14:textId="01A7805B"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auto" w:fill="auto"/>
            <w:vAlign w:val="center"/>
          </w:tcPr>
          <w:p w14:paraId="2A530E75" w14:textId="50916D6D"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4F5E6370" w14:textId="3F826DFE"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73199DB8" w14:textId="0546CB8F"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38C49A79" w14:textId="627662F2" w:rsidR="000809B2"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auto" w:fill="auto"/>
            <w:vAlign w:val="center"/>
          </w:tcPr>
          <w:p w14:paraId="16B739BB" w14:textId="4156520D" w:rsidR="000809B2" w:rsidRPr="00CA4DD7" w:rsidRDefault="008901EA">
            <w:pPr>
              <w:spacing w:after="0"/>
              <w:jc w:val="center"/>
              <w:rPr>
                <w:rFonts w:eastAsia="Times New Roman" w:cs="Times New Roman"/>
                <w:szCs w:val="24"/>
                <w:lang w:eastAsia="pt-BR"/>
              </w:rPr>
            </w:pPr>
            <w:r w:rsidRPr="00CA4DD7">
              <w:rPr>
                <w:rFonts w:cs="Times New Roman"/>
                <w:szCs w:val="24"/>
              </w:rPr>
              <w:t>critically low</w:t>
            </w:r>
          </w:p>
        </w:tc>
      </w:tr>
      <w:tr w:rsidR="0048020D" w:rsidRPr="00CA4DD7" w14:paraId="66A1872F" w14:textId="0E2E69FE" w:rsidTr="0048020D">
        <w:trPr>
          <w:trHeight w:val="113"/>
        </w:trPr>
        <w:tc>
          <w:tcPr>
            <w:tcW w:w="0" w:type="auto"/>
            <w:tcBorders>
              <w:top w:val="nil"/>
              <w:left w:val="nil"/>
              <w:bottom w:val="single" w:sz="4" w:space="0" w:color="auto"/>
              <w:right w:val="nil"/>
            </w:tcBorders>
            <w:shd w:val="clear" w:color="auto" w:fill="auto"/>
            <w:vAlign w:val="center"/>
          </w:tcPr>
          <w:p w14:paraId="3CEB2536" w14:textId="5600C01B" w:rsidR="00EA369B" w:rsidRPr="00CA4DD7" w:rsidRDefault="00CC3F07" w:rsidP="00202F72">
            <w:pPr>
              <w:spacing w:after="0"/>
              <w:rPr>
                <w:rFonts w:eastAsia="Times New Roman" w:cs="Times New Roman"/>
                <w:szCs w:val="24"/>
                <w:lang w:eastAsia="pt-BR"/>
              </w:rPr>
            </w:pPr>
            <w:r w:rsidRPr="00CA4DD7">
              <w:rPr>
                <w:rFonts w:cs="Times New Roman"/>
                <w:szCs w:val="24"/>
              </w:rPr>
              <w:t>Zheng et al., 2019</w:t>
            </w:r>
          </w:p>
        </w:tc>
        <w:tc>
          <w:tcPr>
            <w:tcW w:w="0" w:type="auto"/>
            <w:tcBorders>
              <w:top w:val="nil"/>
              <w:left w:val="nil"/>
              <w:bottom w:val="single" w:sz="4" w:space="0" w:color="auto"/>
              <w:right w:val="nil"/>
            </w:tcBorders>
            <w:shd w:val="clear" w:color="auto" w:fill="auto"/>
            <w:vAlign w:val="center"/>
          </w:tcPr>
          <w:p w14:paraId="23FF5B7D" w14:textId="1979BA57" w:rsidR="00EA369B"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1665A035" w14:textId="6BFA97AD"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53BFC3E8" w14:textId="2EDF0C07"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7ECB6D06" w14:textId="68B94444"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5D2285E6" w14:textId="20A2C73D"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1077B92D" w14:textId="2529BCD3" w:rsidR="00EA369B"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5C07A70C" w14:textId="511BBBD2"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2CA05DF0" w14:textId="3E039FF1" w:rsidR="00EA369B"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1F408D37" w14:textId="3DB38C8C" w:rsidR="00EA369B" w:rsidRPr="00CA4DD7" w:rsidRDefault="00E625F0" w:rsidP="00202F72">
            <w:pPr>
              <w:spacing w:after="0"/>
              <w:jc w:val="center"/>
              <w:rPr>
                <w:rFonts w:eastAsia="Times New Roman" w:cs="Times New Roman"/>
                <w:szCs w:val="24"/>
                <w:lang w:eastAsia="pt-BR"/>
              </w:rPr>
            </w:pPr>
            <w:r w:rsidRPr="00CA4DD7">
              <w:rPr>
                <w:rFonts w:cs="Times New Roman"/>
                <w:szCs w:val="24"/>
              </w:rPr>
              <w:t>p-y</w:t>
            </w:r>
          </w:p>
        </w:tc>
        <w:tc>
          <w:tcPr>
            <w:tcW w:w="0" w:type="auto"/>
            <w:tcBorders>
              <w:top w:val="nil"/>
              <w:left w:val="nil"/>
              <w:bottom w:val="single" w:sz="4" w:space="0" w:color="auto"/>
              <w:right w:val="nil"/>
            </w:tcBorders>
            <w:shd w:val="clear" w:color="auto" w:fill="auto"/>
            <w:vAlign w:val="center"/>
          </w:tcPr>
          <w:p w14:paraId="0A764655" w14:textId="6CD79BE2" w:rsidR="00EA369B"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7674EC10" w14:textId="352199CF" w:rsidR="00EA369B" w:rsidRPr="00CA4DD7" w:rsidRDefault="00E625F0" w:rsidP="00202F72">
            <w:pPr>
              <w:spacing w:after="0"/>
              <w:jc w:val="center"/>
              <w:rPr>
                <w:rFonts w:eastAsia="Times New Roman" w:cs="Times New Roman"/>
                <w:szCs w:val="24"/>
                <w:lang w:eastAsia="pt-BR"/>
              </w:rPr>
            </w:pPr>
            <w:r w:rsidRPr="00CA4DD7">
              <w:rPr>
                <w:rFonts w:cs="Times New Roman"/>
                <w:szCs w:val="24"/>
              </w:rPr>
              <w:t>no</w:t>
            </w:r>
          </w:p>
        </w:tc>
        <w:tc>
          <w:tcPr>
            <w:tcW w:w="0" w:type="auto"/>
            <w:tcBorders>
              <w:top w:val="nil"/>
              <w:left w:val="nil"/>
              <w:bottom w:val="single" w:sz="4" w:space="0" w:color="auto"/>
              <w:right w:val="nil"/>
            </w:tcBorders>
            <w:shd w:val="clear" w:color="auto" w:fill="auto"/>
            <w:vAlign w:val="center"/>
          </w:tcPr>
          <w:p w14:paraId="7E91230F" w14:textId="2857A1DA" w:rsidR="00EA369B" w:rsidRPr="00CA4DD7" w:rsidRDefault="00E625F0" w:rsidP="00202F72">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20FB0364" w14:textId="3698EC21" w:rsidR="00EA369B"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58BDE06E" w14:textId="6A696056" w:rsidR="00EA369B"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tcPr>
          <w:p w14:paraId="0757B248" w14:textId="40A642AF" w:rsidR="00EA369B"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tcPr>
          <w:p w14:paraId="4A5F3139" w14:textId="06A07373" w:rsidR="00EA369B" w:rsidRPr="00CA4DD7" w:rsidRDefault="00E625F0">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tcPr>
          <w:p w14:paraId="40F032F8" w14:textId="5A15A705" w:rsidR="00EA369B"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59E03713" w14:textId="46313A85" w:rsidR="00EA369B" w:rsidRPr="00CA4DD7" w:rsidRDefault="00E625F0">
            <w:pPr>
              <w:spacing w:after="0"/>
              <w:jc w:val="center"/>
              <w:rPr>
                <w:rFonts w:eastAsia="Times New Roman" w:cs="Times New Roman"/>
                <w:szCs w:val="24"/>
                <w:lang w:eastAsia="pt-BR"/>
              </w:rPr>
            </w:pPr>
            <w:r w:rsidRPr="00CA4DD7">
              <w:rPr>
                <w:rFonts w:cs="Times New Roman"/>
                <w:szCs w:val="24"/>
              </w:rPr>
              <w:t>yes</w:t>
            </w:r>
          </w:p>
        </w:tc>
        <w:tc>
          <w:tcPr>
            <w:tcW w:w="0" w:type="auto"/>
            <w:tcBorders>
              <w:top w:val="nil"/>
              <w:left w:val="nil"/>
              <w:bottom w:val="single" w:sz="4" w:space="0" w:color="auto"/>
              <w:right w:val="nil"/>
            </w:tcBorders>
            <w:shd w:val="clear" w:color="auto" w:fill="auto"/>
            <w:vAlign w:val="center"/>
          </w:tcPr>
          <w:p w14:paraId="25A4EB73" w14:textId="5F6CDE4F" w:rsidR="00EA369B" w:rsidRPr="00CA4DD7" w:rsidRDefault="008901EA">
            <w:pPr>
              <w:spacing w:after="0"/>
              <w:jc w:val="center"/>
              <w:rPr>
                <w:rFonts w:cs="Times New Roman"/>
                <w:szCs w:val="24"/>
              </w:rPr>
            </w:pPr>
            <w:r w:rsidRPr="00CA4DD7">
              <w:rPr>
                <w:rFonts w:cs="Times New Roman"/>
                <w:szCs w:val="24"/>
              </w:rPr>
              <w:t>critically low</w:t>
            </w:r>
          </w:p>
        </w:tc>
      </w:tr>
      <w:tr w:rsidR="008901EA" w:rsidRPr="00CA4DD7" w14:paraId="0DC1A036" w14:textId="77777777" w:rsidTr="0048020D">
        <w:trPr>
          <w:trHeight w:val="31"/>
        </w:trPr>
        <w:tc>
          <w:tcPr>
            <w:tcW w:w="0" w:type="auto"/>
            <w:gridSpan w:val="20"/>
            <w:tcBorders>
              <w:top w:val="single" w:sz="4" w:space="0" w:color="auto"/>
              <w:left w:val="nil"/>
              <w:bottom w:val="single" w:sz="4" w:space="0" w:color="auto"/>
              <w:right w:val="nil"/>
            </w:tcBorders>
            <w:shd w:val="clear" w:color="auto" w:fill="D9D9D9" w:themeFill="background1" w:themeFillShade="D9"/>
            <w:vAlign w:val="center"/>
          </w:tcPr>
          <w:p w14:paraId="71E8DF0B" w14:textId="5AD82AC1" w:rsidR="00CE4A7F" w:rsidRPr="00CA4DD7" w:rsidRDefault="00CE4A7F" w:rsidP="00CE4A7F">
            <w:pPr>
              <w:spacing w:after="0"/>
              <w:rPr>
                <w:rFonts w:cs="Times New Roman"/>
                <w:szCs w:val="24"/>
              </w:rPr>
            </w:pPr>
            <w:r w:rsidRPr="00CA4DD7">
              <w:rPr>
                <w:rFonts w:eastAsia="Times New Roman" w:cs="Times New Roman"/>
                <w:b/>
                <w:bCs/>
                <w:szCs w:val="24"/>
                <w:lang w:eastAsia="pt-BR"/>
              </w:rPr>
              <w:t xml:space="preserve">Clopidogrel – </w:t>
            </w:r>
            <w:r w:rsidRPr="00CA4DD7">
              <w:rPr>
                <w:rFonts w:eastAsia="Times New Roman" w:cs="Times New Roman"/>
                <w:b/>
                <w:bCs/>
                <w:i/>
                <w:iCs/>
                <w:szCs w:val="24"/>
                <w:lang w:eastAsia="pt-BR"/>
              </w:rPr>
              <w:t>CYP2C19</w:t>
            </w:r>
            <w:r w:rsidRPr="00CA4DD7">
              <w:rPr>
                <w:rFonts w:eastAsia="Times New Roman" w:cs="Times New Roman"/>
                <w:b/>
                <w:bCs/>
                <w:szCs w:val="24"/>
                <w:lang w:eastAsia="pt-BR"/>
              </w:rPr>
              <w:t xml:space="preserve"> (SRs without MA)</w:t>
            </w:r>
          </w:p>
        </w:tc>
      </w:tr>
      <w:tr w:rsidR="0048020D" w:rsidRPr="00CA4DD7" w14:paraId="603B8754" w14:textId="42E95AC4" w:rsidTr="0048020D">
        <w:trPr>
          <w:trHeight w:val="31"/>
        </w:trPr>
        <w:tc>
          <w:tcPr>
            <w:tcW w:w="0" w:type="auto"/>
            <w:tcBorders>
              <w:top w:val="single" w:sz="4" w:space="0" w:color="auto"/>
              <w:left w:val="nil"/>
              <w:bottom w:val="nil"/>
              <w:right w:val="nil"/>
            </w:tcBorders>
            <w:shd w:val="clear" w:color="auto" w:fill="FFFFFF" w:themeFill="background1"/>
            <w:vAlign w:val="center"/>
          </w:tcPr>
          <w:p w14:paraId="0E9A9D30" w14:textId="298DC19F" w:rsidR="000809B2" w:rsidRPr="00CA4DD7" w:rsidRDefault="00CC3F07" w:rsidP="000809B2">
            <w:pPr>
              <w:spacing w:after="0"/>
              <w:rPr>
                <w:rFonts w:eastAsia="Times New Roman" w:cs="Times New Roman"/>
                <w:szCs w:val="24"/>
                <w:lang w:eastAsia="pt-BR"/>
              </w:rPr>
            </w:pPr>
            <w:r w:rsidRPr="00CA4DD7">
              <w:rPr>
                <w:rFonts w:cs="Times New Roman"/>
                <w:szCs w:val="24"/>
              </w:rPr>
              <w:t xml:space="preserve">Ali and </w:t>
            </w:r>
            <w:proofErr w:type="spellStart"/>
            <w:r w:rsidRPr="00CA4DD7">
              <w:rPr>
                <w:rFonts w:cs="Times New Roman"/>
                <w:szCs w:val="24"/>
              </w:rPr>
              <w:t>Elewa</w:t>
            </w:r>
            <w:proofErr w:type="spellEnd"/>
            <w:r w:rsidRPr="00CA4DD7">
              <w:rPr>
                <w:rFonts w:cs="Times New Roman"/>
                <w:szCs w:val="24"/>
              </w:rPr>
              <w:t>, 2019</w:t>
            </w:r>
          </w:p>
        </w:tc>
        <w:tc>
          <w:tcPr>
            <w:tcW w:w="0" w:type="auto"/>
            <w:tcBorders>
              <w:top w:val="single" w:sz="4" w:space="0" w:color="auto"/>
              <w:left w:val="nil"/>
              <w:bottom w:val="nil"/>
              <w:right w:val="nil"/>
            </w:tcBorders>
            <w:shd w:val="clear" w:color="auto" w:fill="FFFFFF" w:themeFill="background1"/>
            <w:vAlign w:val="center"/>
          </w:tcPr>
          <w:p w14:paraId="5C8D04D7" w14:textId="0C7D2619"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28FF941C" w14:textId="6DF3E425"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6FE1AE24" w14:textId="2FE33F73"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FFFFFF" w:themeFill="background1"/>
            <w:vAlign w:val="center"/>
          </w:tcPr>
          <w:p w14:paraId="3FE28F38" w14:textId="47936B72"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single" w:sz="4" w:space="0" w:color="auto"/>
              <w:left w:val="nil"/>
              <w:bottom w:val="nil"/>
              <w:right w:val="nil"/>
            </w:tcBorders>
            <w:shd w:val="clear" w:color="auto" w:fill="FFFFFF" w:themeFill="background1"/>
            <w:vAlign w:val="center"/>
          </w:tcPr>
          <w:p w14:paraId="719D1FCC" w14:textId="4705A491"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33D9C7C0" w14:textId="7EA612B6"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FFFFFF" w:themeFill="background1"/>
            <w:vAlign w:val="center"/>
          </w:tcPr>
          <w:p w14:paraId="44D0E74B" w14:textId="5EECCD81"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1D45FA38" w14:textId="0F0BA6DD"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209D053F" w14:textId="0A437C21"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single" w:sz="4" w:space="0" w:color="auto"/>
              <w:left w:val="nil"/>
              <w:bottom w:val="nil"/>
              <w:right w:val="nil"/>
            </w:tcBorders>
            <w:shd w:val="clear" w:color="auto" w:fill="FFFFFF" w:themeFill="background1"/>
            <w:vAlign w:val="center"/>
          </w:tcPr>
          <w:p w14:paraId="42DEFFA1" w14:textId="7548CB7E"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000190BE" w14:textId="7A3C0840"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FFFFFF" w:themeFill="background1"/>
            <w:vAlign w:val="center"/>
          </w:tcPr>
          <w:p w14:paraId="571A86EA" w14:textId="0FF27507"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n/a</w:t>
            </w:r>
          </w:p>
        </w:tc>
        <w:tc>
          <w:tcPr>
            <w:tcW w:w="0" w:type="auto"/>
            <w:tcBorders>
              <w:top w:val="single" w:sz="4" w:space="0" w:color="auto"/>
              <w:left w:val="nil"/>
              <w:bottom w:val="nil"/>
              <w:right w:val="nil"/>
            </w:tcBorders>
            <w:shd w:val="clear" w:color="auto" w:fill="FFFFFF" w:themeFill="background1"/>
            <w:vAlign w:val="center"/>
          </w:tcPr>
          <w:p w14:paraId="2FB69A33" w14:textId="48CFBF8F"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n/a</w:t>
            </w:r>
          </w:p>
        </w:tc>
        <w:tc>
          <w:tcPr>
            <w:tcW w:w="0" w:type="auto"/>
            <w:tcBorders>
              <w:top w:val="single" w:sz="4" w:space="0" w:color="auto"/>
              <w:left w:val="nil"/>
              <w:bottom w:val="nil"/>
              <w:right w:val="nil"/>
            </w:tcBorders>
            <w:shd w:val="clear" w:color="auto" w:fill="FFFFFF" w:themeFill="background1"/>
            <w:vAlign w:val="center"/>
          </w:tcPr>
          <w:p w14:paraId="0B465A0B" w14:textId="1A400DEF"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n/a</w:t>
            </w:r>
          </w:p>
        </w:tc>
        <w:tc>
          <w:tcPr>
            <w:tcW w:w="0" w:type="auto"/>
            <w:tcBorders>
              <w:top w:val="single" w:sz="4" w:space="0" w:color="auto"/>
              <w:left w:val="nil"/>
              <w:bottom w:val="nil"/>
              <w:right w:val="nil"/>
            </w:tcBorders>
            <w:shd w:val="clear" w:color="auto" w:fill="FFFFFF" w:themeFill="background1"/>
            <w:vAlign w:val="center"/>
          </w:tcPr>
          <w:p w14:paraId="24F8FE5D" w14:textId="4C8352FC"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FFFFFF" w:themeFill="background1"/>
            <w:vAlign w:val="center"/>
          </w:tcPr>
          <w:p w14:paraId="7F42E942" w14:textId="32F0E3F8"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FFFFFF" w:themeFill="background1"/>
            <w:vAlign w:val="center"/>
          </w:tcPr>
          <w:p w14:paraId="44FB8103" w14:textId="18FA9D5E"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n/a</w:t>
            </w:r>
          </w:p>
        </w:tc>
        <w:tc>
          <w:tcPr>
            <w:tcW w:w="0" w:type="auto"/>
            <w:tcBorders>
              <w:top w:val="single" w:sz="4" w:space="0" w:color="auto"/>
              <w:left w:val="nil"/>
              <w:bottom w:val="nil"/>
              <w:right w:val="nil"/>
            </w:tcBorders>
            <w:shd w:val="clear" w:color="auto" w:fill="FFFFFF" w:themeFill="background1"/>
            <w:vAlign w:val="center"/>
          </w:tcPr>
          <w:p w14:paraId="7F9129A0" w14:textId="33025A32" w:rsidR="000809B2"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FFFFFF" w:themeFill="background1"/>
            <w:vAlign w:val="center"/>
          </w:tcPr>
          <w:p w14:paraId="0D4BEFB1" w14:textId="5122DB0D" w:rsidR="000809B2" w:rsidRPr="00CA4DD7" w:rsidRDefault="00A35845" w:rsidP="00BD2A65">
            <w:pPr>
              <w:spacing w:after="0"/>
              <w:jc w:val="center"/>
              <w:rPr>
                <w:rFonts w:cs="Times New Roman"/>
                <w:szCs w:val="24"/>
              </w:rPr>
            </w:pPr>
            <w:r w:rsidRPr="00CA4DD7">
              <w:rPr>
                <w:rFonts w:cs="Times New Roman"/>
                <w:szCs w:val="24"/>
              </w:rPr>
              <w:t>l</w:t>
            </w:r>
            <w:r w:rsidR="00236D15" w:rsidRPr="00CA4DD7">
              <w:rPr>
                <w:rFonts w:cs="Times New Roman"/>
                <w:szCs w:val="24"/>
              </w:rPr>
              <w:t>ow</w:t>
            </w:r>
          </w:p>
        </w:tc>
      </w:tr>
      <w:tr w:rsidR="008901EA" w:rsidRPr="00CA4DD7" w14:paraId="7D3D85BA" w14:textId="77777777" w:rsidTr="0048020D">
        <w:trPr>
          <w:trHeight w:val="31"/>
        </w:trPr>
        <w:tc>
          <w:tcPr>
            <w:tcW w:w="0" w:type="auto"/>
            <w:gridSpan w:val="20"/>
            <w:tcBorders>
              <w:top w:val="single" w:sz="4" w:space="0" w:color="auto"/>
              <w:left w:val="nil"/>
              <w:bottom w:val="single" w:sz="4" w:space="0" w:color="auto"/>
              <w:right w:val="nil"/>
            </w:tcBorders>
            <w:shd w:val="clear" w:color="auto" w:fill="D9D9D9" w:themeFill="background1" w:themeFillShade="D9"/>
            <w:vAlign w:val="center"/>
          </w:tcPr>
          <w:p w14:paraId="6B74DC8A" w14:textId="32606B42" w:rsidR="00CE4A7F" w:rsidRPr="00CA4DD7" w:rsidRDefault="00CE4A7F" w:rsidP="00CE4A7F">
            <w:pPr>
              <w:spacing w:after="0"/>
              <w:rPr>
                <w:rFonts w:cs="Times New Roman"/>
                <w:szCs w:val="24"/>
              </w:rPr>
            </w:pPr>
            <w:r w:rsidRPr="00CA4DD7">
              <w:rPr>
                <w:rFonts w:eastAsia="Times New Roman" w:cs="Times New Roman"/>
                <w:b/>
                <w:bCs/>
                <w:szCs w:val="24"/>
                <w:lang w:eastAsia="pt-BR"/>
              </w:rPr>
              <w:t xml:space="preserve">Warfarin – </w:t>
            </w:r>
            <w:r w:rsidRPr="00CA4DD7">
              <w:rPr>
                <w:rFonts w:eastAsia="Times New Roman" w:cs="Times New Roman"/>
                <w:b/>
                <w:bCs/>
                <w:i/>
                <w:iCs/>
                <w:szCs w:val="24"/>
                <w:lang w:eastAsia="pt-BR"/>
              </w:rPr>
              <w:t>CYP2C9</w:t>
            </w:r>
            <w:r w:rsidR="00DA4D4B" w:rsidRPr="00CA4DD7">
              <w:rPr>
                <w:rFonts w:eastAsia="Times New Roman" w:cs="Times New Roman"/>
                <w:b/>
                <w:bCs/>
                <w:i/>
                <w:iCs/>
                <w:szCs w:val="24"/>
                <w:lang w:eastAsia="pt-BR"/>
              </w:rPr>
              <w:t xml:space="preserve"> </w:t>
            </w:r>
            <w:r w:rsidR="00DA4D4B" w:rsidRPr="00CA4DD7">
              <w:rPr>
                <w:rFonts w:eastAsia="Times New Roman" w:cs="Times New Roman"/>
                <w:b/>
                <w:bCs/>
                <w:szCs w:val="24"/>
                <w:lang w:eastAsia="pt-BR"/>
              </w:rPr>
              <w:t>and</w:t>
            </w:r>
            <w:r w:rsidRPr="00CA4DD7">
              <w:rPr>
                <w:rFonts w:eastAsia="Times New Roman" w:cs="Times New Roman"/>
                <w:b/>
                <w:bCs/>
                <w:i/>
                <w:iCs/>
                <w:szCs w:val="24"/>
                <w:lang w:eastAsia="pt-BR"/>
              </w:rPr>
              <w:t xml:space="preserve"> VKORC1</w:t>
            </w:r>
            <w:r w:rsidRPr="00CA4DD7">
              <w:rPr>
                <w:rFonts w:eastAsia="Times New Roman" w:cs="Times New Roman"/>
                <w:b/>
                <w:bCs/>
                <w:szCs w:val="24"/>
                <w:lang w:eastAsia="pt-BR"/>
              </w:rPr>
              <w:t xml:space="preserve"> (SRs with MA)</w:t>
            </w:r>
          </w:p>
        </w:tc>
      </w:tr>
      <w:tr w:rsidR="0048020D" w:rsidRPr="00CA4DD7" w14:paraId="1182E0BF" w14:textId="72D5D762" w:rsidTr="0048020D">
        <w:trPr>
          <w:trHeight w:val="31"/>
        </w:trPr>
        <w:tc>
          <w:tcPr>
            <w:tcW w:w="0" w:type="auto"/>
            <w:tcBorders>
              <w:top w:val="single" w:sz="4" w:space="0" w:color="auto"/>
              <w:left w:val="nil"/>
              <w:bottom w:val="nil"/>
              <w:right w:val="nil"/>
            </w:tcBorders>
            <w:shd w:val="clear" w:color="auto" w:fill="auto"/>
            <w:vAlign w:val="center"/>
            <w:hideMark/>
          </w:tcPr>
          <w:p w14:paraId="73EA3F97" w14:textId="5EC34598" w:rsidR="0018044B" w:rsidRPr="00CA4DD7" w:rsidRDefault="00CC3F07" w:rsidP="0018044B">
            <w:pPr>
              <w:spacing w:after="0"/>
              <w:rPr>
                <w:rFonts w:eastAsia="Times New Roman" w:cs="Times New Roman"/>
                <w:szCs w:val="24"/>
                <w:lang w:eastAsia="pt-BR"/>
              </w:rPr>
            </w:pPr>
            <w:r w:rsidRPr="00CC3F07">
              <w:rPr>
                <w:rFonts w:cs="Times New Roman"/>
                <w:szCs w:val="24"/>
              </w:rPr>
              <w:t>Goulding et al., 2015</w:t>
            </w:r>
          </w:p>
        </w:tc>
        <w:tc>
          <w:tcPr>
            <w:tcW w:w="0" w:type="auto"/>
            <w:tcBorders>
              <w:top w:val="single" w:sz="4" w:space="0" w:color="auto"/>
              <w:left w:val="nil"/>
              <w:bottom w:val="nil"/>
              <w:right w:val="nil"/>
            </w:tcBorders>
            <w:shd w:val="clear" w:color="auto" w:fill="auto"/>
            <w:vAlign w:val="center"/>
            <w:hideMark/>
          </w:tcPr>
          <w:p w14:paraId="7C966D6D" w14:textId="6F160E4A"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31F0EC41" w14:textId="78549D26"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02A4449F" w14:textId="4A65C706"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72E9346B" w14:textId="03548E7B"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778CD09A" w14:textId="0F23C008"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702B8BB8" w14:textId="0A5B74D8"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519C01B6" w14:textId="5FE9BB2B"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68FA844C" w14:textId="3217840E"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6DB24800" w14:textId="5435A69D"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6B811385" w14:textId="735801C4"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single" w:sz="4" w:space="0" w:color="auto"/>
              <w:left w:val="nil"/>
              <w:bottom w:val="nil"/>
              <w:right w:val="nil"/>
            </w:tcBorders>
            <w:shd w:val="clear" w:color="auto" w:fill="auto"/>
            <w:vAlign w:val="center"/>
            <w:hideMark/>
          </w:tcPr>
          <w:p w14:paraId="51D6C855" w14:textId="09710A8D"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37D037D3" w14:textId="51B8CF6E"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49FA766A" w14:textId="5B45134F"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single" w:sz="4" w:space="0" w:color="auto"/>
              <w:left w:val="nil"/>
              <w:bottom w:val="nil"/>
              <w:right w:val="nil"/>
            </w:tcBorders>
            <w:shd w:val="clear" w:color="auto" w:fill="auto"/>
            <w:vAlign w:val="center"/>
            <w:hideMark/>
          </w:tcPr>
          <w:p w14:paraId="289D9567" w14:textId="723A3DC7"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4079628A" w14:textId="0380CCC9"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0BC624F9" w14:textId="603468B2"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hideMark/>
          </w:tcPr>
          <w:p w14:paraId="4B8519F5" w14:textId="28C6371B"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single" w:sz="4" w:space="0" w:color="auto"/>
              <w:left w:val="nil"/>
              <w:bottom w:val="nil"/>
              <w:right w:val="nil"/>
            </w:tcBorders>
            <w:shd w:val="clear" w:color="auto" w:fill="auto"/>
            <w:vAlign w:val="center"/>
            <w:hideMark/>
          </w:tcPr>
          <w:p w14:paraId="4C419A01" w14:textId="5280B4A3" w:rsidR="0018044B"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single" w:sz="4" w:space="0" w:color="auto"/>
              <w:left w:val="nil"/>
              <w:bottom w:val="nil"/>
              <w:right w:val="nil"/>
            </w:tcBorders>
            <w:shd w:val="clear" w:color="auto" w:fill="auto"/>
            <w:vAlign w:val="center"/>
          </w:tcPr>
          <w:p w14:paraId="10B4C88F" w14:textId="61E67E55" w:rsidR="0018044B" w:rsidRPr="00CA4DD7" w:rsidRDefault="008901EA" w:rsidP="00BD2A65">
            <w:pPr>
              <w:spacing w:after="0"/>
              <w:jc w:val="center"/>
              <w:rPr>
                <w:rFonts w:eastAsia="Times New Roman" w:cs="Times New Roman"/>
                <w:szCs w:val="24"/>
                <w:lang w:eastAsia="pt-BR"/>
              </w:rPr>
            </w:pPr>
            <w:r w:rsidRPr="00CA4DD7">
              <w:rPr>
                <w:rFonts w:cs="Times New Roman"/>
                <w:szCs w:val="24"/>
              </w:rPr>
              <w:t>critically low</w:t>
            </w:r>
          </w:p>
        </w:tc>
      </w:tr>
      <w:tr w:rsidR="0048020D" w:rsidRPr="00CA4DD7" w14:paraId="5B6F5A8C" w14:textId="027ED677" w:rsidTr="0048020D">
        <w:trPr>
          <w:trHeight w:val="31"/>
        </w:trPr>
        <w:tc>
          <w:tcPr>
            <w:tcW w:w="0" w:type="auto"/>
            <w:tcBorders>
              <w:top w:val="nil"/>
              <w:left w:val="nil"/>
              <w:bottom w:val="nil"/>
              <w:right w:val="nil"/>
            </w:tcBorders>
            <w:shd w:val="clear" w:color="auto" w:fill="auto"/>
            <w:vAlign w:val="center"/>
            <w:hideMark/>
          </w:tcPr>
          <w:p w14:paraId="03B1FEEB" w14:textId="12AE4556" w:rsidR="008C45C4" w:rsidRPr="00CA4DD7" w:rsidRDefault="00CC3F07" w:rsidP="008C45C4">
            <w:pPr>
              <w:spacing w:after="0"/>
              <w:rPr>
                <w:rFonts w:eastAsia="Times New Roman" w:cs="Times New Roman"/>
                <w:szCs w:val="24"/>
                <w:lang w:eastAsia="pt-BR"/>
              </w:rPr>
            </w:pPr>
            <w:r w:rsidRPr="00CC3F07">
              <w:rPr>
                <w:rFonts w:cs="Times New Roman"/>
                <w:szCs w:val="24"/>
              </w:rPr>
              <w:t>Jorgensen et al., 2012</w:t>
            </w:r>
          </w:p>
        </w:tc>
        <w:tc>
          <w:tcPr>
            <w:tcW w:w="0" w:type="auto"/>
            <w:tcBorders>
              <w:top w:val="nil"/>
              <w:left w:val="nil"/>
              <w:bottom w:val="nil"/>
              <w:right w:val="nil"/>
            </w:tcBorders>
            <w:shd w:val="clear" w:color="auto" w:fill="auto"/>
            <w:vAlign w:val="center"/>
            <w:hideMark/>
          </w:tcPr>
          <w:p w14:paraId="5E8D315F" w14:textId="16CD588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hideMark/>
          </w:tcPr>
          <w:p w14:paraId="69ABE599" w14:textId="6177CBC2"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hideMark/>
          </w:tcPr>
          <w:p w14:paraId="0294017E" w14:textId="1FD8CDA2"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0309E943" w14:textId="7BC2865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2E466272" w14:textId="71611C63"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hideMark/>
          </w:tcPr>
          <w:p w14:paraId="5D3B753E" w14:textId="74169475"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hideMark/>
          </w:tcPr>
          <w:p w14:paraId="4D0DA8CF" w14:textId="3859C580"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2011EC83" w14:textId="38240168"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bottom w:val="nil"/>
              <w:right w:val="nil"/>
            </w:tcBorders>
            <w:shd w:val="clear" w:color="auto" w:fill="auto"/>
            <w:vAlign w:val="center"/>
            <w:hideMark/>
          </w:tcPr>
          <w:p w14:paraId="6AAB12DD" w14:textId="12DB399F"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3FFF87BE" w14:textId="1209DCC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49076D99" w14:textId="745E289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3D045DCD" w14:textId="578D071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hideMark/>
          </w:tcPr>
          <w:p w14:paraId="6B8F456E" w14:textId="0831F63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7267837F" w14:textId="64D1A14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082C86C4" w14:textId="134CCF0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2F3AC8C6" w14:textId="60A96D3A"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7D3516EA" w14:textId="745FD7E5"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nil"/>
              <w:right w:val="nil"/>
            </w:tcBorders>
            <w:shd w:val="clear" w:color="auto" w:fill="auto"/>
            <w:vAlign w:val="center"/>
            <w:hideMark/>
          </w:tcPr>
          <w:p w14:paraId="78BCF7AE" w14:textId="0C896237"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nil"/>
              <w:right w:val="nil"/>
            </w:tcBorders>
            <w:shd w:val="clear" w:color="auto" w:fill="auto"/>
            <w:vAlign w:val="center"/>
          </w:tcPr>
          <w:p w14:paraId="56F655C4" w14:textId="17EBDF71" w:rsidR="008C45C4" w:rsidRPr="00CA4DD7" w:rsidRDefault="008901EA" w:rsidP="00BD2A65">
            <w:pPr>
              <w:spacing w:after="0"/>
              <w:jc w:val="center"/>
              <w:rPr>
                <w:rFonts w:eastAsia="Times New Roman" w:cs="Times New Roman"/>
                <w:szCs w:val="24"/>
                <w:lang w:eastAsia="pt-BR"/>
              </w:rPr>
            </w:pPr>
            <w:r w:rsidRPr="00CA4DD7">
              <w:rPr>
                <w:rFonts w:cs="Times New Roman"/>
                <w:szCs w:val="24"/>
              </w:rPr>
              <w:t>critically low</w:t>
            </w:r>
          </w:p>
        </w:tc>
      </w:tr>
      <w:tr w:rsidR="0048020D" w:rsidRPr="00CA4DD7" w14:paraId="55BB2F81" w14:textId="4345256F" w:rsidTr="0048020D">
        <w:trPr>
          <w:trHeight w:val="31"/>
        </w:trPr>
        <w:tc>
          <w:tcPr>
            <w:tcW w:w="0" w:type="auto"/>
            <w:tcBorders>
              <w:top w:val="nil"/>
              <w:left w:val="nil"/>
              <w:right w:val="nil"/>
            </w:tcBorders>
            <w:shd w:val="clear" w:color="000000" w:fill="FFFFFF"/>
            <w:vAlign w:val="center"/>
            <w:hideMark/>
          </w:tcPr>
          <w:p w14:paraId="64CC43D5" w14:textId="437D5D0B" w:rsidR="008C45C4" w:rsidRPr="00CA4DD7" w:rsidRDefault="00CC3F07" w:rsidP="008C45C4">
            <w:pPr>
              <w:spacing w:after="0"/>
              <w:rPr>
                <w:rFonts w:eastAsia="Times New Roman" w:cs="Times New Roman"/>
                <w:szCs w:val="24"/>
                <w:lang w:eastAsia="pt-BR"/>
              </w:rPr>
            </w:pPr>
            <w:r w:rsidRPr="00CC3F07">
              <w:rPr>
                <w:rFonts w:cs="Times New Roman"/>
                <w:szCs w:val="24"/>
              </w:rPr>
              <w:t>Sanderson et al., 2005</w:t>
            </w:r>
          </w:p>
        </w:tc>
        <w:tc>
          <w:tcPr>
            <w:tcW w:w="0" w:type="auto"/>
            <w:tcBorders>
              <w:top w:val="nil"/>
              <w:left w:val="nil"/>
              <w:right w:val="nil"/>
            </w:tcBorders>
            <w:shd w:val="clear" w:color="000000" w:fill="FFFFFF"/>
            <w:vAlign w:val="center"/>
            <w:hideMark/>
          </w:tcPr>
          <w:p w14:paraId="0B5333AD" w14:textId="72C021C4"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11F2198A" w14:textId="513411BC"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0FCA84A0" w14:textId="737C1E2A"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674E9828" w14:textId="7F18AAD2"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4D3032E9" w14:textId="686FD71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4D1E0290" w14:textId="6ACA400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13553A10" w14:textId="64256B2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47A132EE" w14:textId="4C115D8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p-y</w:t>
            </w:r>
          </w:p>
        </w:tc>
        <w:tc>
          <w:tcPr>
            <w:tcW w:w="0" w:type="auto"/>
            <w:tcBorders>
              <w:top w:val="nil"/>
              <w:left w:val="nil"/>
              <w:right w:val="nil"/>
            </w:tcBorders>
            <w:shd w:val="clear" w:color="000000" w:fill="FFFFFF"/>
            <w:vAlign w:val="center"/>
            <w:hideMark/>
          </w:tcPr>
          <w:p w14:paraId="0E2BBA5E" w14:textId="2B1FC44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3E995CD3" w14:textId="556B14F4"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1C8AD8BB" w14:textId="5EAADF13"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15A93BC1" w14:textId="23D5208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186608F9" w14:textId="1283DC0A"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1D72F23B" w14:textId="119708A8"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5DC376A2" w14:textId="6274544E"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2EAAFD58" w14:textId="781AA93C"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right w:val="nil"/>
            </w:tcBorders>
            <w:shd w:val="clear" w:color="000000" w:fill="FFFFFF"/>
            <w:vAlign w:val="center"/>
            <w:hideMark/>
          </w:tcPr>
          <w:p w14:paraId="70C5E04C" w14:textId="4591E9DB"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hideMark/>
          </w:tcPr>
          <w:p w14:paraId="723AC0D0" w14:textId="6FC46094"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right w:val="nil"/>
            </w:tcBorders>
            <w:shd w:val="clear" w:color="000000" w:fill="FFFFFF"/>
            <w:vAlign w:val="center"/>
          </w:tcPr>
          <w:p w14:paraId="4EB9ED03" w14:textId="6F12FE71" w:rsidR="008C45C4" w:rsidRPr="00CA4DD7" w:rsidRDefault="008901EA" w:rsidP="00BD2A65">
            <w:pPr>
              <w:spacing w:after="0"/>
              <w:jc w:val="center"/>
              <w:rPr>
                <w:rFonts w:eastAsia="Times New Roman" w:cs="Times New Roman"/>
                <w:szCs w:val="24"/>
                <w:lang w:eastAsia="pt-BR"/>
              </w:rPr>
            </w:pPr>
            <w:r w:rsidRPr="00CA4DD7">
              <w:rPr>
                <w:rFonts w:cs="Times New Roman"/>
                <w:szCs w:val="24"/>
              </w:rPr>
              <w:t>critically low</w:t>
            </w:r>
          </w:p>
        </w:tc>
      </w:tr>
      <w:tr w:rsidR="0048020D" w:rsidRPr="00CA4DD7" w14:paraId="2A900247" w14:textId="4DC67630" w:rsidTr="0048020D">
        <w:trPr>
          <w:trHeight w:val="44"/>
        </w:trPr>
        <w:tc>
          <w:tcPr>
            <w:tcW w:w="0" w:type="auto"/>
            <w:tcBorders>
              <w:top w:val="nil"/>
              <w:left w:val="nil"/>
              <w:bottom w:val="single" w:sz="4" w:space="0" w:color="auto"/>
              <w:right w:val="nil"/>
            </w:tcBorders>
            <w:shd w:val="clear" w:color="auto" w:fill="auto"/>
            <w:vAlign w:val="center"/>
            <w:hideMark/>
          </w:tcPr>
          <w:p w14:paraId="091A5051" w14:textId="30BBC56B" w:rsidR="008C45C4" w:rsidRPr="00CA4DD7" w:rsidRDefault="00CC3F07" w:rsidP="008C45C4">
            <w:pPr>
              <w:spacing w:after="0"/>
              <w:rPr>
                <w:rFonts w:eastAsia="Times New Roman" w:cs="Times New Roman"/>
                <w:szCs w:val="24"/>
                <w:lang w:eastAsia="pt-BR"/>
              </w:rPr>
            </w:pPr>
            <w:r w:rsidRPr="00CC3F07">
              <w:rPr>
                <w:rFonts w:cs="Times New Roman"/>
                <w:szCs w:val="24"/>
              </w:rPr>
              <w:t>Shi et al., 2015</w:t>
            </w:r>
          </w:p>
        </w:tc>
        <w:tc>
          <w:tcPr>
            <w:tcW w:w="0" w:type="auto"/>
            <w:tcBorders>
              <w:top w:val="nil"/>
              <w:left w:val="nil"/>
              <w:bottom w:val="single" w:sz="4" w:space="0" w:color="auto"/>
              <w:right w:val="nil"/>
            </w:tcBorders>
            <w:shd w:val="clear" w:color="auto" w:fill="auto"/>
            <w:vAlign w:val="center"/>
            <w:hideMark/>
          </w:tcPr>
          <w:p w14:paraId="5187EED8" w14:textId="0C888B54"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66E2AFE1" w14:textId="0FE42040"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21823BA8" w14:textId="0698F7A5"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hideMark/>
          </w:tcPr>
          <w:p w14:paraId="1C376B9C" w14:textId="69477A5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1527EF67" w14:textId="3DFDF862"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381810F2" w14:textId="1B9D395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0E4ED52E" w14:textId="086CA173"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hideMark/>
          </w:tcPr>
          <w:p w14:paraId="01550135" w14:textId="572A392E"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351C0A46" w14:textId="0272FD43"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0FC2E5DE" w14:textId="654C8015"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nil"/>
              <w:left w:val="nil"/>
              <w:bottom w:val="single" w:sz="4" w:space="0" w:color="auto"/>
              <w:right w:val="nil"/>
            </w:tcBorders>
            <w:shd w:val="clear" w:color="auto" w:fill="auto"/>
            <w:vAlign w:val="center"/>
            <w:hideMark/>
          </w:tcPr>
          <w:p w14:paraId="42F92ABC" w14:textId="56E82745"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no</w:t>
            </w:r>
          </w:p>
        </w:tc>
        <w:tc>
          <w:tcPr>
            <w:tcW w:w="0" w:type="auto"/>
            <w:tcBorders>
              <w:top w:val="nil"/>
              <w:left w:val="nil"/>
              <w:bottom w:val="single" w:sz="4" w:space="0" w:color="auto"/>
              <w:right w:val="nil"/>
            </w:tcBorders>
            <w:shd w:val="clear" w:color="auto" w:fill="auto"/>
            <w:vAlign w:val="center"/>
            <w:hideMark/>
          </w:tcPr>
          <w:p w14:paraId="6BE94F84" w14:textId="1D6EC939"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709C5B9C" w14:textId="7970F070"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__</w:t>
            </w:r>
          </w:p>
        </w:tc>
        <w:tc>
          <w:tcPr>
            <w:tcW w:w="0" w:type="auto"/>
            <w:tcBorders>
              <w:top w:val="nil"/>
              <w:left w:val="nil"/>
              <w:bottom w:val="single" w:sz="4" w:space="0" w:color="auto"/>
              <w:right w:val="nil"/>
            </w:tcBorders>
            <w:shd w:val="clear" w:color="auto" w:fill="auto"/>
            <w:vAlign w:val="center"/>
            <w:hideMark/>
          </w:tcPr>
          <w:p w14:paraId="397355CD" w14:textId="299BCB0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18AF6321" w14:textId="1E61B8A1"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1B7AB1AC" w14:textId="38E8983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4CFECE4D" w14:textId="59DEDBA0"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hideMark/>
          </w:tcPr>
          <w:p w14:paraId="663D505D" w14:textId="6F1F8646" w:rsidR="008C45C4" w:rsidRPr="00CA4DD7" w:rsidRDefault="00E625F0" w:rsidP="00BD2A65">
            <w:pPr>
              <w:spacing w:after="0"/>
              <w:jc w:val="center"/>
              <w:rPr>
                <w:rFonts w:eastAsia="Times New Roman" w:cs="Times New Roman"/>
                <w:szCs w:val="24"/>
                <w:lang w:eastAsia="pt-BR"/>
              </w:rPr>
            </w:pPr>
            <w:r w:rsidRPr="00CA4DD7">
              <w:rPr>
                <w:rFonts w:eastAsia="Times New Roman" w:cs="Times New Roman"/>
                <w:szCs w:val="24"/>
                <w:lang w:eastAsia="pt-BR"/>
              </w:rPr>
              <w:t>yes</w:t>
            </w:r>
          </w:p>
        </w:tc>
        <w:tc>
          <w:tcPr>
            <w:tcW w:w="0" w:type="auto"/>
            <w:tcBorders>
              <w:top w:val="nil"/>
              <w:left w:val="nil"/>
              <w:bottom w:val="single" w:sz="4" w:space="0" w:color="auto"/>
              <w:right w:val="nil"/>
            </w:tcBorders>
            <w:shd w:val="clear" w:color="auto" w:fill="auto"/>
            <w:vAlign w:val="center"/>
          </w:tcPr>
          <w:p w14:paraId="51B0F111" w14:textId="7DD7196A" w:rsidR="008C45C4" w:rsidRPr="00CA4DD7" w:rsidRDefault="00236D15" w:rsidP="00BD2A65">
            <w:pPr>
              <w:spacing w:after="0"/>
              <w:jc w:val="center"/>
              <w:rPr>
                <w:rFonts w:eastAsia="Times New Roman" w:cs="Times New Roman"/>
                <w:szCs w:val="24"/>
                <w:lang w:eastAsia="pt-BR"/>
              </w:rPr>
            </w:pPr>
            <w:r w:rsidRPr="00CA4DD7">
              <w:rPr>
                <w:rFonts w:eastAsia="Times New Roman" w:cs="Times New Roman"/>
                <w:szCs w:val="24"/>
                <w:lang w:eastAsia="pt-BR"/>
              </w:rPr>
              <w:t>low</w:t>
            </w:r>
          </w:p>
        </w:tc>
      </w:tr>
    </w:tbl>
    <w:bookmarkEnd w:id="1"/>
    <w:p w14:paraId="5BB23B99" w14:textId="6D54AFE2" w:rsidR="00C12FB8" w:rsidRDefault="00C12FB8" w:rsidP="00C44CB5">
      <w:pPr>
        <w:jc w:val="both"/>
        <w:rPr>
          <w:sz w:val="20"/>
          <w:szCs w:val="20"/>
        </w:rPr>
      </w:pPr>
      <w:r>
        <w:rPr>
          <w:sz w:val="20"/>
          <w:szCs w:val="20"/>
        </w:rPr>
        <w:t>*</w:t>
      </w:r>
      <w:r w:rsidR="007E2517">
        <w:rPr>
          <w:sz w:val="20"/>
          <w:szCs w:val="20"/>
        </w:rPr>
        <w:t>D</w:t>
      </w:r>
      <w:r>
        <w:rPr>
          <w:sz w:val="20"/>
          <w:szCs w:val="20"/>
        </w:rPr>
        <w:t xml:space="preserve">espite </w:t>
      </w:r>
      <w:r w:rsidR="00703B82">
        <w:rPr>
          <w:sz w:val="20"/>
          <w:szCs w:val="20"/>
        </w:rPr>
        <w:t xml:space="preserve">a </w:t>
      </w:r>
      <w:r>
        <w:rPr>
          <w:sz w:val="20"/>
          <w:szCs w:val="20"/>
        </w:rPr>
        <w:t xml:space="preserve">lack of protocol, </w:t>
      </w:r>
      <w:r w:rsidR="00744828">
        <w:rPr>
          <w:sz w:val="20"/>
          <w:szCs w:val="20"/>
        </w:rPr>
        <w:t>this is rated “h</w:t>
      </w:r>
      <w:r w:rsidR="007E2517">
        <w:rPr>
          <w:sz w:val="20"/>
          <w:szCs w:val="20"/>
        </w:rPr>
        <w:t>igh</w:t>
      </w:r>
      <w:r w:rsidR="00744828">
        <w:rPr>
          <w:sz w:val="20"/>
          <w:szCs w:val="20"/>
        </w:rPr>
        <w:t>”</w:t>
      </w:r>
      <w:r w:rsidR="007E2517">
        <w:rPr>
          <w:sz w:val="20"/>
          <w:szCs w:val="20"/>
        </w:rPr>
        <w:t xml:space="preserve"> because</w:t>
      </w:r>
      <w:r w:rsidR="00744828">
        <w:rPr>
          <w:sz w:val="20"/>
          <w:szCs w:val="20"/>
        </w:rPr>
        <w:t xml:space="preserve"> </w:t>
      </w:r>
      <w:r>
        <w:rPr>
          <w:sz w:val="20"/>
          <w:szCs w:val="20"/>
        </w:rPr>
        <w:t xml:space="preserve">the SR was published in 2011, when this </w:t>
      </w:r>
      <w:r w:rsidR="004914E2">
        <w:rPr>
          <w:sz w:val="20"/>
          <w:szCs w:val="20"/>
        </w:rPr>
        <w:t>require</w:t>
      </w:r>
      <w:r w:rsidR="007734D1">
        <w:rPr>
          <w:sz w:val="20"/>
          <w:szCs w:val="20"/>
        </w:rPr>
        <w:t>ment</w:t>
      </w:r>
      <w:r w:rsidR="004914E2">
        <w:rPr>
          <w:sz w:val="20"/>
          <w:szCs w:val="20"/>
        </w:rPr>
        <w:t xml:space="preserve"> </w:t>
      </w:r>
      <w:r w:rsidR="004F44F0">
        <w:rPr>
          <w:sz w:val="20"/>
          <w:szCs w:val="20"/>
        </w:rPr>
        <w:t xml:space="preserve">was </w:t>
      </w:r>
      <w:r w:rsidR="004914E2">
        <w:rPr>
          <w:sz w:val="20"/>
          <w:szCs w:val="20"/>
        </w:rPr>
        <w:t>not mandatory yet.</w:t>
      </w:r>
      <w:r w:rsidR="007D16F2">
        <w:rPr>
          <w:sz w:val="20"/>
          <w:szCs w:val="20"/>
        </w:rPr>
        <w:t xml:space="preserve"> </w:t>
      </w:r>
      <w:r w:rsidR="007D16F2" w:rsidRPr="004E1A39">
        <w:rPr>
          <w:sz w:val="20"/>
          <w:vertAlign w:val="superscript"/>
        </w:rPr>
        <w:t>#</w:t>
      </w:r>
      <w:r w:rsidR="007D16F2">
        <w:rPr>
          <w:sz w:val="20"/>
          <w:szCs w:val="20"/>
        </w:rPr>
        <w:t>meta</w:t>
      </w:r>
      <w:r w:rsidR="00A53B59">
        <w:rPr>
          <w:sz w:val="20"/>
          <w:szCs w:val="20"/>
        </w:rPr>
        <w:t>-</w:t>
      </w:r>
      <w:r w:rsidR="00F31945">
        <w:rPr>
          <w:sz w:val="20"/>
          <w:szCs w:val="20"/>
        </w:rPr>
        <w:t>a</w:t>
      </w:r>
      <w:r w:rsidR="007D16F2">
        <w:rPr>
          <w:sz w:val="20"/>
          <w:szCs w:val="20"/>
        </w:rPr>
        <w:t>nalysis includes RCT and observational studies without sensibility analysis</w:t>
      </w:r>
      <w:r w:rsidR="00CE4A7F">
        <w:rPr>
          <w:sz w:val="20"/>
          <w:szCs w:val="20"/>
        </w:rPr>
        <w:t>.</w:t>
      </w:r>
      <w:r w:rsidR="00B135B2">
        <w:rPr>
          <w:sz w:val="20"/>
          <w:szCs w:val="20"/>
        </w:rPr>
        <w:t xml:space="preserve"> </w:t>
      </w:r>
      <w:r w:rsidR="00EB06B1">
        <w:rPr>
          <w:sz w:val="20"/>
          <w:szCs w:val="20"/>
        </w:rPr>
        <w:t>MA: meta-</w:t>
      </w:r>
      <w:r w:rsidR="00F31945">
        <w:rPr>
          <w:sz w:val="20"/>
          <w:szCs w:val="20"/>
        </w:rPr>
        <w:t>a</w:t>
      </w:r>
      <w:r w:rsidR="00EB06B1">
        <w:rPr>
          <w:sz w:val="20"/>
          <w:szCs w:val="20"/>
        </w:rPr>
        <w:t xml:space="preserve">nalysis; </w:t>
      </w:r>
      <w:r w:rsidR="00B135B2" w:rsidRPr="009224B1">
        <w:rPr>
          <w:sz w:val="20"/>
          <w:szCs w:val="20"/>
        </w:rPr>
        <w:t>N</w:t>
      </w:r>
      <w:r w:rsidR="00B135B2">
        <w:rPr>
          <w:sz w:val="20"/>
          <w:szCs w:val="20"/>
        </w:rPr>
        <w:t>/</w:t>
      </w:r>
      <w:r w:rsidR="00B135B2" w:rsidRPr="009224B1">
        <w:rPr>
          <w:sz w:val="20"/>
          <w:szCs w:val="20"/>
        </w:rPr>
        <w:t xml:space="preserve">A: Not applicable because no meta-analysis conducted; NRSI: non-randomized studies of intervention; </w:t>
      </w:r>
      <w:r w:rsidR="004F44F0">
        <w:rPr>
          <w:sz w:val="20"/>
          <w:szCs w:val="20"/>
        </w:rPr>
        <w:t>p-y</w:t>
      </w:r>
      <w:r w:rsidR="00B135B2" w:rsidRPr="009224B1">
        <w:rPr>
          <w:sz w:val="20"/>
          <w:szCs w:val="20"/>
        </w:rPr>
        <w:t xml:space="preserve">: </w:t>
      </w:r>
      <w:r w:rsidR="00B135B2">
        <w:rPr>
          <w:sz w:val="20"/>
          <w:szCs w:val="20"/>
        </w:rPr>
        <w:t>p</w:t>
      </w:r>
      <w:r w:rsidR="00B135B2" w:rsidRPr="009224B1">
        <w:rPr>
          <w:sz w:val="20"/>
          <w:szCs w:val="20"/>
        </w:rPr>
        <w:t xml:space="preserve">artial </w:t>
      </w:r>
      <w:r w:rsidR="00B135B2">
        <w:rPr>
          <w:sz w:val="20"/>
          <w:szCs w:val="20"/>
        </w:rPr>
        <w:t>y</w:t>
      </w:r>
      <w:r w:rsidR="00B135B2" w:rsidRPr="009224B1">
        <w:rPr>
          <w:sz w:val="20"/>
          <w:szCs w:val="20"/>
        </w:rPr>
        <w:t>es; RCT: randomized controlled trial</w:t>
      </w:r>
      <w:r w:rsidR="00EB06B1">
        <w:rPr>
          <w:sz w:val="20"/>
          <w:szCs w:val="20"/>
        </w:rPr>
        <w:t>; SR: systematic review.</w:t>
      </w:r>
    </w:p>
    <w:p w14:paraId="1DAB1FD5" w14:textId="03F13ABB" w:rsidR="00CE4A7F" w:rsidRPr="002D3545" w:rsidRDefault="00CE4A7F" w:rsidP="00C44CB5">
      <w:pPr>
        <w:jc w:val="both"/>
        <w:rPr>
          <w:sz w:val="20"/>
          <w:szCs w:val="20"/>
        </w:rPr>
        <w:sectPr w:rsidR="00CE4A7F" w:rsidRPr="002D3545" w:rsidSect="00B20A1A">
          <w:pgSz w:w="16838" w:h="11906" w:orient="landscape"/>
          <w:pgMar w:top="284" w:right="284" w:bottom="284" w:left="284" w:header="709" w:footer="709" w:gutter="0"/>
          <w:cols w:space="708"/>
          <w:docGrid w:linePitch="360"/>
        </w:sectPr>
      </w:pPr>
    </w:p>
    <w:p w14:paraId="71A02CC1" w14:textId="072496AA" w:rsidR="00C44CB5" w:rsidRPr="009E398E" w:rsidRDefault="009E398E" w:rsidP="009E398E">
      <w:pPr>
        <w:pStyle w:val="Ttulo1"/>
      </w:pPr>
      <w:r w:rsidRPr="00994A3D">
        <w:lastRenderedPageBreak/>
        <w:t>Supple</w:t>
      </w:r>
      <w:r>
        <w:t>mental References:</w:t>
      </w:r>
    </w:p>
    <w:p w14:paraId="4B0CB6CC" w14:textId="77777777" w:rsidR="00D4689A" w:rsidRPr="00D4689A" w:rsidRDefault="007F540D" w:rsidP="00D4689A">
      <w:pPr>
        <w:pStyle w:val="Bibliografia"/>
        <w:rPr>
          <w:rFonts w:cs="Times New Roman"/>
        </w:rPr>
      </w:pPr>
      <w:r w:rsidRPr="009E398E">
        <w:fldChar w:fldCharType="begin"/>
      </w:r>
      <w:r w:rsidR="00D4689A">
        <w:instrText xml:space="preserve"> ADDIN ZOTERO_BIBL {"uncited":[],"omitted":[],"custom":[]} CSL_BIBLIOGRAPHY </w:instrText>
      </w:r>
      <w:r w:rsidRPr="009E398E">
        <w:fldChar w:fldCharType="separate"/>
      </w:r>
      <w:r w:rsidR="00D4689A" w:rsidRPr="00D4689A">
        <w:rPr>
          <w:rFonts w:cs="Times New Roman"/>
        </w:rPr>
        <w:t xml:space="preserve">1. </w:t>
      </w:r>
      <w:r w:rsidR="00D4689A" w:rsidRPr="00D4689A">
        <w:rPr>
          <w:rFonts w:cs="Times New Roman"/>
        </w:rPr>
        <w:tab/>
        <w:t xml:space="preserve">Alakbarzade V, Huang X, </w:t>
      </w:r>
      <w:proofErr w:type="spellStart"/>
      <w:r w:rsidR="00D4689A" w:rsidRPr="00D4689A">
        <w:rPr>
          <w:rFonts w:cs="Times New Roman"/>
        </w:rPr>
        <w:t>Ster</w:t>
      </w:r>
      <w:proofErr w:type="spellEnd"/>
      <w:r w:rsidR="00D4689A" w:rsidRPr="00D4689A">
        <w:rPr>
          <w:rFonts w:cs="Times New Roman"/>
        </w:rPr>
        <w:t xml:space="preserve"> IC, </w:t>
      </w:r>
      <w:proofErr w:type="spellStart"/>
      <w:r w:rsidR="00D4689A" w:rsidRPr="00D4689A">
        <w:rPr>
          <w:rFonts w:cs="Times New Roman"/>
        </w:rPr>
        <w:t>McEntagart</w:t>
      </w:r>
      <w:proofErr w:type="spellEnd"/>
      <w:r w:rsidR="00D4689A" w:rsidRPr="00D4689A">
        <w:rPr>
          <w:rFonts w:cs="Times New Roman"/>
        </w:rPr>
        <w:t xml:space="preserve"> M, Pereira AC. High on-clopidogrel platelet reactivity in ischaemic stroke or transient ischaemic attack: Systematic review and meta-analysis. </w:t>
      </w:r>
      <w:r w:rsidR="00D4689A" w:rsidRPr="00D4689A">
        <w:rPr>
          <w:rFonts w:cs="Times New Roman"/>
          <w:i/>
          <w:iCs/>
        </w:rPr>
        <w:t xml:space="preserve">J Stroke </w:t>
      </w:r>
      <w:proofErr w:type="spellStart"/>
      <w:r w:rsidR="00D4689A" w:rsidRPr="00D4689A">
        <w:rPr>
          <w:rFonts w:cs="Times New Roman"/>
          <w:i/>
          <w:iCs/>
        </w:rPr>
        <w:t>Cerebrovasc</w:t>
      </w:r>
      <w:proofErr w:type="spellEnd"/>
      <w:r w:rsidR="00D4689A" w:rsidRPr="00D4689A">
        <w:rPr>
          <w:rFonts w:cs="Times New Roman"/>
          <w:i/>
          <w:iCs/>
        </w:rPr>
        <w:t xml:space="preserve"> Dis</w:t>
      </w:r>
      <w:r w:rsidR="00D4689A" w:rsidRPr="00D4689A">
        <w:rPr>
          <w:rFonts w:cs="Times New Roman"/>
        </w:rPr>
        <w:t>. 29(7), 104877 (2020).</w:t>
      </w:r>
    </w:p>
    <w:p w14:paraId="41CD93B0" w14:textId="77777777" w:rsidR="00D4689A" w:rsidRPr="00D4689A" w:rsidRDefault="00D4689A" w:rsidP="00D4689A">
      <w:pPr>
        <w:pStyle w:val="Bibliografia"/>
        <w:rPr>
          <w:rFonts w:cs="Times New Roman"/>
        </w:rPr>
      </w:pPr>
      <w:r w:rsidRPr="00D4689A">
        <w:rPr>
          <w:rFonts w:cs="Times New Roman"/>
        </w:rPr>
        <w:t xml:space="preserve">2. </w:t>
      </w:r>
      <w:r w:rsidRPr="00D4689A">
        <w:rPr>
          <w:rFonts w:cs="Times New Roman"/>
        </w:rPr>
        <w:tab/>
        <w:t xml:space="preserve">Bauer T, </w:t>
      </w:r>
      <w:proofErr w:type="spellStart"/>
      <w:r w:rsidRPr="00D4689A">
        <w:rPr>
          <w:rFonts w:cs="Times New Roman"/>
        </w:rPr>
        <w:t>Bouman</w:t>
      </w:r>
      <w:proofErr w:type="spellEnd"/>
      <w:r w:rsidRPr="00D4689A">
        <w:rPr>
          <w:rFonts w:cs="Times New Roman"/>
        </w:rPr>
        <w:t xml:space="preserve"> HJ, van </w:t>
      </w:r>
      <w:proofErr w:type="spellStart"/>
      <w:r w:rsidRPr="00D4689A">
        <w:rPr>
          <w:rFonts w:cs="Times New Roman"/>
        </w:rPr>
        <w:t>Werkum</w:t>
      </w:r>
      <w:proofErr w:type="spellEnd"/>
      <w:r w:rsidRPr="00D4689A">
        <w:rPr>
          <w:rFonts w:cs="Times New Roman"/>
        </w:rPr>
        <w:t xml:space="preserve"> JW, Ford NF, ten Berg JM, </w:t>
      </w:r>
      <w:proofErr w:type="spellStart"/>
      <w:r w:rsidRPr="00D4689A">
        <w:rPr>
          <w:rFonts w:cs="Times New Roman"/>
        </w:rPr>
        <w:t>Taubert</w:t>
      </w:r>
      <w:proofErr w:type="spellEnd"/>
      <w:r w:rsidRPr="00D4689A">
        <w:rPr>
          <w:rFonts w:cs="Times New Roman"/>
        </w:rPr>
        <w:t xml:space="preserve"> D. Impact of CYP2C19 variant genotypes on clinical efficacy of antiplatelet treatment with clopidogrel: systematic review and meta-analysis. </w:t>
      </w:r>
      <w:r w:rsidRPr="00D4689A">
        <w:rPr>
          <w:rFonts w:cs="Times New Roman"/>
          <w:i/>
          <w:iCs/>
        </w:rPr>
        <w:t>BMJ</w:t>
      </w:r>
      <w:r w:rsidRPr="00D4689A">
        <w:rPr>
          <w:rFonts w:cs="Times New Roman"/>
        </w:rPr>
        <w:t>. 343, d4588 (2011).</w:t>
      </w:r>
    </w:p>
    <w:p w14:paraId="06A7B024" w14:textId="77777777" w:rsidR="00D4689A" w:rsidRPr="00D4689A" w:rsidRDefault="00D4689A" w:rsidP="00D4689A">
      <w:pPr>
        <w:pStyle w:val="Bibliografia"/>
        <w:rPr>
          <w:rFonts w:cs="Times New Roman"/>
        </w:rPr>
      </w:pPr>
      <w:r w:rsidRPr="00D4689A">
        <w:rPr>
          <w:rFonts w:cs="Times New Roman"/>
        </w:rPr>
        <w:t xml:space="preserve">3. </w:t>
      </w:r>
      <w:r w:rsidRPr="00D4689A">
        <w:rPr>
          <w:rFonts w:cs="Times New Roman"/>
        </w:rPr>
        <w:tab/>
        <w:t xml:space="preserve">Holmes MV, </w:t>
      </w:r>
      <w:proofErr w:type="spellStart"/>
      <w:r w:rsidRPr="00D4689A">
        <w:rPr>
          <w:rFonts w:cs="Times New Roman"/>
        </w:rPr>
        <w:t>Perel</w:t>
      </w:r>
      <w:proofErr w:type="spellEnd"/>
      <w:r w:rsidRPr="00D4689A">
        <w:rPr>
          <w:rFonts w:cs="Times New Roman"/>
        </w:rPr>
        <w:t xml:space="preserve"> P, Shah T, </w:t>
      </w:r>
      <w:proofErr w:type="spellStart"/>
      <w:r w:rsidRPr="00D4689A">
        <w:rPr>
          <w:rFonts w:cs="Times New Roman"/>
        </w:rPr>
        <w:t>Hingorani</w:t>
      </w:r>
      <w:proofErr w:type="spellEnd"/>
      <w:r w:rsidRPr="00D4689A">
        <w:rPr>
          <w:rFonts w:cs="Times New Roman"/>
        </w:rPr>
        <w:t xml:space="preserve"> AD, Casas JP. CYP2C19 genotype, clopidogrel metabolism, platelet function, and cardiovascular events: a systematic review and meta-analysis. </w:t>
      </w:r>
      <w:r w:rsidRPr="00D4689A">
        <w:rPr>
          <w:rFonts w:cs="Times New Roman"/>
          <w:i/>
          <w:iCs/>
        </w:rPr>
        <w:t>JAMA</w:t>
      </w:r>
      <w:r w:rsidRPr="00D4689A">
        <w:rPr>
          <w:rFonts w:cs="Times New Roman"/>
        </w:rPr>
        <w:t>. 306(24), 2704–2714 (2011).</w:t>
      </w:r>
    </w:p>
    <w:p w14:paraId="6A1D0973" w14:textId="77777777" w:rsidR="00D4689A" w:rsidRPr="00D4689A" w:rsidRDefault="00D4689A" w:rsidP="00D4689A">
      <w:pPr>
        <w:pStyle w:val="Bibliografia"/>
        <w:rPr>
          <w:rFonts w:cs="Times New Roman"/>
        </w:rPr>
      </w:pPr>
      <w:r w:rsidRPr="00D4689A">
        <w:rPr>
          <w:rFonts w:cs="Times New Roman"/>
        </w:rPr>
        <w:t xml:space="preserve">4. </w:t>
      </w:r>
      <w:r w:rsidRPr="00D4689A">
        <w:rPr>
          <w:rFonts w:cs="Times New Roman"/>
        </w:rPr>
        <w:tab/>
        <w:t xml:space="preserve">Huang B, Cui D-J, Ren Y, Han B, Yang D-P, Zhao X. Effect of cytochrome P450 2C19*17 allelic variant on cardiovascular and cerebrovascular outcomes in clopidogrel-treated patients: A systematic review and meta-analysis. </w:t>
      </w:r>
      <w:r w:rsidRPr="00D4689A">
        <w:rPr>
          <w:rFonts w:cs="Times New Roman"/>
          <w:i/>
          <w:iCs/>
        </w:rPr>
        <w:t>J Res Med Sci</w:t>
      </w:r>
      <w:r w:rsidRPr="00D4689A">
        <w:rPr>
          <w:rFonts w:cs="Times New Roman"/>
        </w:rPr>
        <w:t>. 22, 109 (2017).</w:t>
      </w:r>
    </w:p>
    <w:p w14:paraId="77007FB4" w14:textId="77777777" w:rsidR="00D4689A" w:rsidRPr="00D4689A" w:rsidRDefault="00D4689A" w:rsidP="00D4689A">
      <w:pPr>
        <w:pStyle w:val="Bibliografia"/>
        <w:rPr>
          <w:rFonts w:cs="Times New Roman"/>
        </w:rPr>
      </w:pPr>
      <w:r w:rsidRPr="00D4689A">
        <w:rPr>
          <w:rFonts w:cs="Times New Roman"/>
        </w:rPr>
        <w:t xml:space="preserve">5. </w:t>
      </w:r>
      <w:r w:rsidRPr="00D4689A">
        <w:rPr>
          <w:rFonts w:cs="Times New Roman"/>
        </w:rPr>
        <w:tab/>
        <w:t xml:space="preserve">Hulot J-S, Collet J-P, </w:t>
      </w:r>
      <w:proofErr w:type="spellStart"/>
      <w:r w:rsidRPr="00D4689A">
        <w:rPr>
          <w:rFonts w:cs="Times New Roman"/>
        </w:rPr>
        <w:t>Silvain</w:t>
      </w:r>
      <w:proofErr w:type="spellEnd"/>
      <w:r w:rsidRPr="00D4689A">
        <w:rPr>
          <w:rFonts w:cs="Times New Roman"/>
        </w:rPr>
        <w:t xml:space="preserve"> J, </w:t>
      </w:r>
      <w:r w:rsidRPr="00D4689A">
        <w:rPr>
          <w:rFonts w:cs="Times New Roman"/>
          <w:i/>
          <w:iCs/>
        </w:rPr>
        <w:t>et al.</w:t>
      </w:r>
      <w:r w:rsidRPr="00D4689A">
        <w:rPr>
          <w:rFonts w:cs="Times New Roman"/>
        </w:rPr>
        <w:t xml:space="preserve"> Cardiovascular risk in clopidogrel-treated patients according to cytochrome P450 2C19*2 loss-of-function allele or proton pump inhibitor coadministration: a systematic meta-analysis. </w:t>
      </w:r>
      <w:r w:rsidRPr="00D4689A">
        <w:rPr>
          <w:rFonts w:cs="Times New Roman"/>
          <w:i/>
          <w:iCs/>
        </w:rPr>
        <w:t xml:space="preserve">J Am Coll </w:t>
      </w:r>
      <w:proofErr w:type="spellStart"/>
      <w:r w:rsidRPr="00D4689A">
        <w:rPr>
          <w:rFonts w:cs="Times New Roman"/>
          <w:i/>
          <w:iCs/>
        </w:rPr>
        <w:t>Cardiol</w:t>
      </w:r>
      <w:proofErr w:type="spellEnd"/>
      <w:r w:rsidRPr="00D4689A">
        <w:rPr>
          <w:rFonts w:cs="Times New Roman"/>
        </w:rPr>
        <w:t>. 56(2), 134–143 (2010).</w:t>
      </w:r>
    </w:p>
    <w:p w14:paraId="6930110D" w14:textId="77777777" w:rsidR="00D4689A" w:rsidRPr="00D4689A" w:rsidRDefault="00D4689A" w:rsidP="00D4689A">
      <w:pPr>
        <w:pStyle w:val="Bibliografia"/>
        <w:rPr>
          <w:rFonts w:cs="Times New Roman"/>
        </w:rPr>
      </w:pPr>
      <w:r w:rsidRPr="00D4689A">
        <w:rPr>
          <w:rFonts w:cs="Times New Roman"/>
        </w:rPr>
        <w:t xml:space="preserve">6. </w:t>
      </w:r>
      <w:r w:rsidRPr="00D4689A">
        <w:rPr>
          <w:rFonts w:cs="Times New Roman"/>
        </w:rPr>
        <w:tab/>
        <w:t xml:space="preserve">Jang J-S, Cho K-I, </w:t>
      </w:r>
      <w:proofErr w:type="spellStart"/>
      <w:r w:rsidRPr="00D4689A">
        <w:rPr>
          <w:rFonts w:cs="Times New Roman"/>
        </w:rPr>
        <w:t>Jin</w:t>
      </w:r>
      <w:proofErr w:type="spellEnd"/>
      <w:r w:rsidRPr="00D4689A">
        <w:rPr>
          <w:rFonts w:cs="Times New Roman"/>
        </w:rPr>
        <w:t xml:space="preserve"> H-Y, </w:t>
      </w:r>
      <w:r w:rsidRPr="00D4689A">
        <w:rPr>
          <w:rFonts w:cs="Times New Roman"/>
          <w:i/>
          <w:iCs/>
        </w:rPr>
        <w:t>et al.</w:t>
      </w:r>
      <w:r w:rsidRPr="00D4689A">
        <w:rPr>
          <w:rFonts w:cs="Times New Roman"/>
        </w:rPr>
        <w:t xml:space="preserve"> Meta-analysis of cytochrome P450 2C19 polymorphism and risk of adverse clinical outcomes among coronary artery disease patients of different ethnic groups treated with clopidogrel. </w:t>
      </w:r>
      <w:r w:rsidRPr="00D4689A">
        <w:rPr>
          <w:rFonts w:cs="Times New Roman"/>
          <w:i/>
          <w:iCs/>
        </w:rPr>
        <w:t xml:space="preserve">Am J </w:t>
      </w:r>
      <w:proofErr w:type="spellStart"/>
      <w:r w:rsidRPr="00D4689A">
        <w:rPr>
          <w:rFonts w:cs="Times New Roman"/>
          <w:i/>
          <w:iCs/>
        </w:rPr>
        <w:t>Cardiol</w:t>
      </w:r>
      <w:proofErr w:type="spellEnd"/>
      <w:r w:rsidRPr="00D4689A">
        <w:rPr>
          <w:rFonts w:cs="Times New Roman"/>
        </w:rPr>
        <w:t>. 110(4), 502–508 (2012).</w:t>
      </w:r>
    </w:p>
    <w:p w14:paraId="740B18E1" w14:textId="77777777" w:rsidR="00D4689A" w:rsidRPr="00D4689A" w:rsidRDefault="00D4689A" w:rsidP="00D4689A">
      <w:pPr>
        <w:pStyle w:val="Bibliografia"/>
        <w:rPr>
          <w:rFonts w:cs="Times New Roman"/>
        </w:rPr>
      </w:pPr>
      <w:r w:rsidRPr="00D4689A">
        <w:rPr>
          <w:rFonts w:cs="Times New Roman"/>
        </w:rPr>
        <w:t xml:space="preserve">7. </w:t>
      </w:r>
      <w:r w:rsidRPr="00D4689A">
        <w:rPr>
          <w:rFonts w:cs="Times New Roman"/>
        </w:rPr>
        <w:tab/>
      </w:r>
      <w:proofErr w:type="spellStart"/>
      <w:r w:rsidRPr="00D4689A">
        <w:rPr>
          <w:rFonts w:cs="Times New Roman"/>
        </w:rPr>
        <w:t>Jin</w:t>
      </w:r>
      <w:proofErr w:type="spellEnd"/>
      <w:r w:rsidRPr="00D4689A">
        <w:rPr>
          <w:rFonts w:cs="Times New Roman"/>
        </w:rPr>
        <w:t xml:space="preserve"> B, Ni H-C, Shen W, Li J, Shi H-M, Li Y. Cytochrome P450 2C19 polymorphism is associated with poor clinical outcomes in coronary artery disease patients treated with clopidogrel. </w:t>
      </w:r>
      <w:r w:rsidRPr="00D4689A">
        <w:rPr>
          <w:rFonts w:cs="Times New Roman"/>
          <w:i/>
          <w:iCs/>
        </w:rPr>
        <w:t>Mol Biol Rep</w:t>
      </w:r>
      <w:r w:rsidRPr="00D4689A">
        <w:rPr>
          <w:rFonts w:cs="Times New Roman"/>
        </w:rPr>
        <w:t>. 38(3), 1697–1702 (2011).</w:t>
      </w:r>
    </w:p>
    <w:p w14:paraId="68C664ED" w14:textId="77777777" w:rsidR="00D4689A" w:rsidRPr="00D4689A" w:rsidRDefault="00D4689A" w:rsidP="00D4689A">
      <w:pPr>
        <w:pStyle w:val="Bibliografia"/>
        <w:rPr>
          <w:rFonts w:cs="Times New Roman"/>
        </w:rPr>
      </w:pPr>
      <w:r w:rsidRPr="00D4689A">
        <w:rPr>
          <w:rFonts w:cs="Times New Roman"/>
        </w:rPr>
        <w:t xml:space="preserve">8. </w:t>
      </w:r>
      <w:r w:rsidRPr="00D4689A">
        <w:rPr>
          <w:rFonts w:cs="Times New Roman"/>
        </w:rPr>
        <w:tab/>
        <w:t xml:space="preserve">Mega JL, Simon T, Collet J-P, </w:t>
      </w:r>
      <w:r w:rsidRPr="00D4689A">
        <w:rPr>
          <w:rFonts w:cs="Times New Roman"/>
          <w:i/>
          <w:iCs/>
        </w:rPr>
        <w:t>et al.</w:t>
      </w:r>
      <w:r w:rsidRPr="00D4689A">
        <w:rPr>
          <w:rFonts w:cs="Times New Roman"/>
        </w:rPr>
        <w:t xml:space="preserve"> Reduced-function CYP2C19 genotype and risk of adverse clinical outcomes among patients treated with clopidogrel predominantly for PCI: a meta-analysis. </w:t>
      </w:r>
      <w:r w:rsidRPr="00D4689A">
        <w:rPr>
          <w:rFonts w:cs="Times New Roman"/>
          <w:i/>
          <w:iCs/>
        </w:rPr>
        <w:t>JAMA</w:t>
      </w:r>
      <w:r w:rsidRPr="00D4689A">
        <w:rPr>
          <w:rFonts w:cs="Times New Roman"/>
        </w:rPr>
        <w:t>. 304(16), 1821–1830 (2010).</w:t>
      </w:r>
    </w:p>
    <w:p w14:paraId="1E1AB53C" w14:textId="77777777" w:rsidR="00D4689A" w:rsidRPr="00D4689A" w:rsidRDefault="00D4689A" w:rsidP="00D4689A">
      <w:pPr>
        <w:pStyle w:val="Bibliografia"/>
        <w:rPr>
          <w:rFonts w:cs="Times New Roman"/>
        </w:rPr>
      </w:pPr>
      <w:r w:rsidRPr="00D4689A">
        <w:rPr>
          <w:rFonts w:cs="Times New Roman"/>
        </w:rPr>
        <w:t xml:space="preserve">9. </w:t>
      </w:r>
      <w:r w:rsidRPr="00D4689A">
        <w:rPr>
          <w:rFonts w:cs="Times New Roman"/>
        </w:rPr>
        <w:tab/>
      </w:r>
      <w:proofErr w:type="spellStart"/>
      <w:r w:rsidRPr="00D4689A">
        <w:rPr>
          <w:rFonts w:cs="Times New Roman"/>
        </w:rPr>
        <w:t>Niu</w:t>
      </w:r>
      <w:proofErr w:type="spellEnd"/>
      <w:r w:rsidRPr="00D4689A">
        <w:rPr>
          <w:rFonts w:cs="Times New Roman"/>
        </w:rPr>
        <w:t xml:space="preserve"> X, Mao L, Huang Y, </w:t>
      </w:r>
      <w:r w:rsidRPr="00D4689A">
        <w:rPr>
          <w:rFonts w:cs="Times New Roman"/>
          <w:i/>
          <w:iCs/>
        </w:rPr>
        <w:t>et al.</w:t>
      </w:r>
      <w:r w:rsidRPr="00D4689A">
        <w:rPr>
          <w:rFonts w:cs="Times New Roman"/>
        </w:rPr>
        <w:t xml:space="preserve"> CYP2C19 polymorphism and clinical outcomes among patients of different races treated with clopidogrel: A systematic review and meta-analysis. </w:t>
      </w:r>
      <w:r w:rsidRPr="00D4689A">
        <w:rPr>
          <w:rFonts w:cs="Times New Roman"/>
          <w:i/>
          <w:iCs/>
        </w:rPr>
        <w:t xml:space="preserve">J Huazhong Univ Sci </w:t>
      </w:r>
      <w:proofErr w:type="spellStart"/>
      <w:r w:rsidRPr="00D4689A">
        <w:rPr>
          <w:rFonts w:cs="Times New Roman"/>
          <w:i/>
          <w:iCs/>
        </w:rPr>
        <w:t>Technolog</w:t>
      </w:r>
      <w:proofErr w:type="spellEnd"/>
      <w:r w:rsidRPr="00D4689A">
        <w:rPr>
          <w:rFonts w:cs="Times New Roman"/>
          <w:i/>
          <w:iCs/>
        </w:rPr>
        <w:t xml:space="preserve"> Med Sci</w:t>
      </w:r>
      <w:r w:rsidRPr="00D4689A">
        <w:rPr>
          <w:rFonts w:cs="Times New Roman"/>
        </w:rPr>
        <w:t>. 35(2), 147–156 (2015).</w:t>
      </w:r>
    </w:p>
    <w:p w14:paraId="01A7902C" w14:textId="77777777" w:rsidR="00D4689A" w:rsidRPr="00D4689A" w:rsidRDefault="00D4689A" w:rsidP="00D4689A">
      <w:pPr>
        <w:pStyle w:val="Bibliografia"/>
        <w:rPr>
          <w:rFonts w:cs="Times New Roman"/>
        </w:rPr>
      </w:pPr>
      <w:r w:rsidRPr="00D4689A">
        <w:rPr>
          <w:rFonts w:cs="Times New Roman"/>
        </w:rPr>
        <w:t xml:space="preserve">10. </w:t>
      </w:r>
      <w:r w:rsidRPr="00D4689A">
        <w:rPr>
          <w:rFonts w:cs="Times New Roman"/>
        </w:rPr>
        <w:tab/>
        <w:t xml:space="preserve">Pan Y, Chen W, Xu Y, </w:t>
      </w:r>
      <w:r w:rsidRPr="00D4689A">
        <w:rPr>
          <w:rFonts w:cs="Times New Roman"/>
          <w:i/>
          <w:iCs/>
        </w:rPr>
        <w:t>et al.</w:t>
      </w:r>
      <w:r w:rsidRPr="00D4689A">
        <w:rPr>
          <w:rFonts w:cs="Times New Roman"/>
        </w:rPr>
        <w:t xml:space="preserve"> Genetic Polymorphisms and Clopidogrel Efficacy for Acute Ischemic Stroke or Transient Ischemic Attack: A Systematic Review and Meta-Analysis. </w:t>
      </w:r>
      <w:r w:rsidRPr="00D4689A">
        <w:rPr>
          <w:rFonts w:cs="Times New Roman"/>
          <w:i/>
          <w:iCs/>
        </w:rPr>
        <w:t>Circulation</w:t>
      </w:r>
      <w:r w:rsidRPr="00D4689A">
        <w:rPr>
          <w:rFonts w:cs="Times New Roman"/>
        </w:rPr>
        <w:t>. 135(1), 21–33 (2017).</w:t>
      </w:r>
    </w:p>
    <w:p w14:paraId="1452A581" w14:textId="77777777" w:rsidR="00D4689A" w:rsidRPr="00D4689A" w:rsidRDefault="00D4689A" w:rsidP="00D4689A">
      <w:pPr>
        <w:pStyle w:val="Bibliografia"/>
        <w:rPr>
          <w:rFonts w:cs="Times New Roman"/>
        </w:rPr>
      </w:pPr>
      <w:r w:rsidRPr="00D4689A">
        <w:rPr>
          <w:rFonts w:cs="Times New Roman"/>
        </w:rPr>
        <w:t xml:space="preserve">11. </w:t>
      </w:r>
      <w:r w:rsidRPr="00D4689A">
        <w:rPr>
          <w:rFonts w:cs="Times New Roman"/>
        </w:rPr>
        <w:tab/>
        <w:t xml:space="preserve">Sofi F, Giusti B, </w:t>
      </w:r>
      <w:proofErr w:type="spellStart"/>
      <w:r w:rsidRPr="00D4689A">
        <w:rPr>
          <w:rFonts w:cs="Times New Roman"/>
        </w:rPr>
        <w:t>Marcucci</w:t>
      </w:r>
      <w:proofErr w:type="spellEnd"/>
      <w:r w:rsidRPr="00D4689A">
        <w:rPr>
          <w:rFonts w:cs="Times New Roman"/>
        </w:rPr>
        <w:t xml:space="preserve"> R, Gori AM, Abbate R, </w:t>
      </w:r>
      <w:proofErr w:type="spellStart"/>
      <w:r w:rsidRPr="00D4689A">
        <w:rPr>
          <w:rFonts w:cs="Times New Roman"/>
        </w:rPr>
        <w:t>Gensini</w:t>
      </w:r>
      <w:proofErr w:type="spellEnd"/>
      <w:r w:rsidRPr="00D4689A">
        <w:rPr>
          <w:rFonts w:cs="Times New Roman"/>
        </w:rPr>
        <w:t xml:space="preserve"> GF. Cytochrome P450 2C19*2 polymorphism and cardiovascular recurrences in patients taking clopidogrel: a meta-analysis. </w:t>
      </w:r>
      <w:r w:rsidRPr="00D4689A">
        <w:rPr>
          <w:rFonts w:cs="Times New Roman"/>
          <w:i/>
          <w:iCs/>
        </w:rPr>
        <w:t>Pharmacogenomics J</w:t>
      </w:r>
      <w:r w:rsidRPr="00D4689A">
        <w:rPr>
          <w:rFonts w:cs="Times New Roman"/>
        </w:rPr>
        <w:t>. 11(3), 199–206 (2011).</w:t>
      </w:r>
    </w:p>
    <w:p w14:paraId="41A3FE36" w14:textId="77777777" w:rsidR="00D4689A" w:rsidRPr="00D4689A" w:rsidRDefault="00D4689A" w:rsidP="00D4689A">
      <w:pPr>
        <w:pStyle w:val="Bibliografia"/>
        <w:rPr>
          <w:rFonts w:cs="Times New Roman"/>
        </w:rPr>
      </w:pPr>
      <w:r w:rsidRPr="00D4689A">
        <w:rPr>
          <w:rFonts w:cs="Times New Roman"/>
        </w:rPr>
        <w:t xml:space="preserve">12. </w:t>
      </w:r>
      <w:r w:rsidRPr="00D4689A">
        <w:rPr>
          <w:rFonts w:cs="Times New Roman"/>
        </w:rPr>
        <w:tab/>
      </w:r>
      <w:proofErr w:type="spellStart"/>
      <w:r w:rsidRPr="00D4689A">
        <w:rPr>
          <w:rFonts w:cs="Times New Roman"/>
        </w:rPr>
        <w:t>Sorich</w:t>
      </w:r>
      <w:proofErr w:type="spellEnd"/>
      <w:r w:rsidRPr="00D4689A">
        <w:rPr>
          <w:rFonts w:cs="Times New Roman"/>
        </w:rPr>
        <w:t xml:space="preserve"> MJ, Rowland A, McKinnon RA, Wiese MD. CYP2C19 genotype has a greater effect on adverse cardiovascular outcomes following percutaneous coronary intervention and in Asian </w:t>
      </w:r>
      <w:r w:rsidRPr="00D4689A">
        <w:rPr>
          <w:rFonts w:cs="Times New Roman"/>
        </w:rPr>
        <w:lastRenderedPageBreak/>
        <w:t xml:space="preserve">populations treated with clopidogrel: a meta-analysis. </w:t>
      </w:r>
      <w:r w:rsidRPr="00D4689A">
        <w:rPr>
          <w:rFonts w:cs="Times New Roman"/>
          <w:i/>
          <w:iCs/>
        </w:rPr>
        <w:t>Circ Cardiovasc Genet</w:t>
      </w:r>
      <w:r w:rsidRPr="00D4689A">
        <w:rPr>
          <w:rFonts w:cs="Times New Roman"/>
        </w:rPr>
        <w:t>. 7(6), 895–902 (2014).</w:t>
      </w:r>
    </w:p>
    <w:p w14:paraId="4B5C335F" w14:textId="77777777" w:rsidR="00D4689A" w:rsidRPr="00D4689A" w:rsidRDefault="00D4689A" w:rsidP="00D4689A">
      <w:pPr>
        <w:pStyle w:val="Bibliografia"/>
        <w:rPr>
          <w:rFonts w:cs="Times New Roman"/>
        </w:rPr>
      </w:pPr>
      <w:r w:rsidRPr="00D4689A">
        <w:rPr>
          <w:rFonts w:cs="Times New Roman"/>
        </w:rPr>
        <w:t xml:space="preserve">13. </w:t>
      </w:r>
      <w:r w:rsidRPr="00D4689A">
        <w:rPr>
          <w:rFonts w:cs="Times New Roman"/>
        </w:rPr>
        <w:tab/>
        <w:t xml:space="preserve">Xi Z, Fang F, Wang J, </w:t>
      </w:r>
      <w:proofErr w:type="spellStart"/>
      <w:r w:rsidRPr="00D4689A">
        <w:rPr>
          <w:rFonts w:cs="Times New Roman"/>
        </w:rPr>
        <w:t>AlHelal</w:t>
      </w:r>
      <w:proofErr w:type="spellEnd"/>
      <w:r w:rsidRPr="00D4689A">
        <w:rPr>
          <w:rFonts w:cs="Times New Roman"/>
        </w:rPr>
        <w:t xml:space="preserve"> J, Zhou Y, Liu W. CYP2C19 genotype and adverse cardiovascular outcomes after stent implantation in clopidogrel-treated Asian populations: A systematic review and meta-analysis. </w:t>
      </w:r>
      <w:r w:rsidRPr="00D4689A">
        <w:rPr>
          <w:rFonts w:cs="Times New Roman"/>
          <w:i/>
          <w:iCs/>
        </w:rPr>
        <w:t>Platelets</w:t>
      </w:r>
      <w:r w:rsidRPr="00D4689A">
        <w:rPr>
          <w:rFonts w:cs="Times New Roman"/>
        </w:rPr>
        <w:t>. 30(2), 229–240 (2019).</w:t>
      </w:r>
    </w:p>
    <w:p w14:paraId="2B2BAC43" w14:textId="77777777" w:rsidR="00D4689A" w:rsidRPr="00D4689A" w:rsidRDefault="00D4689A" w:rsidP="00D4689A">
      <w:pPr>
        <w:pStyle w:val="Bibliografia"/>
        <w:rPr>
          <w:rFonts w:cs="Times New Roman"/>
        </w:rPr>
      </w:pPr>
      <w:r w:rsidRPr="00D4689A">
        <w:rPr>
          <w:rFonts w:cs="Times New Roman"/>
        </w:rPr>
        <w:t xml:space="preserve">14. </w:t>
      </w:r>
      <w:r w:rsidRPr="00D4689A">
        <w:rPr>
          <w:rFonts w:cs="Times New Roman"/>
        </w:rPr>
        <w:tab/>
      </w:r>
      <w:proofErr w:type="spellStart"/>
      <w:r w:rsidRPr="00D4689A">
        <w:rPr>
          <w:rFonts w:cs="Times New Roman"/>
        </w:rPr>
        <w:t>Zabalza</w:t>
      </w:r>
      <w:proofErr w:type="spellEnd"/>
      <w:r w:rsidRPr="00D4689A">
        <w:rPr>
          <w:rFonts w:cs="Times New Roman"/>
        </w:rPr>
        <w:t xml:space="preserve"> M, </w:t>
      </w:r>
      <w:proofErr w:type="spellStart"/>
      <w:r w:rsidRPr="00D4689A">
        <w:rPr>
          <w:rFonts w:cs="Times New Roman"/>
        </w:rPr>
        <w:t>Subirana</w:t>
      </w:r>
      <w:proofErr w:type="spellEnd"/>
      <w:r w:rsidRPr="00D4689A">
        <w:rPr>
          <w:rFonts w:cs="Times New Roman"/>
        </w:rPr>
        <w:t xml:space="preserve"> I, Sala J, </w:t>
      </w:r>
      <w:r w:rsidRPr="00D4689A">
        <w:rPr>
          <w:rFonts w:cs="Times New Roman"/>
          <w:i/>
          <w:iCs/>
        </w:rPr>
        <w:t>et al.</w:t>
      </w:r>
      <w:r w:rsidRPr="00D4689A">
        <w:rPr>
          <w:rFonts w:cs="Times New Roman"/>
        </w:rPr>
        <w:t xml:space="preserve"> Meta-analyses of the association between cytochrome CYP2C19 loss- and gain-of-function polymorphisms and cardiovascular outcomes in patients with coronary artery disease treated with clopidogrel. </w:t>
      </w:r>
      <w:r w:rsidRPr="00D4689A">
        <w:rPr>
          <w:rFonts w:cs="Times New Roman"/>
          <w:i/>
          <w:iCs/>
        </w:rPr>
        <w:t>Heart</w:t>
      </w:r>
      <w:r w:rsidRPr="00D4689A">
        <w:rPr>
          <w:rFonts w:cs="Times New Roman"/>
        </w:rPr>
        <w:t>. 98(2), 100–108 (2012).</w:t>
      </w:r>
    </w:p>
    <w:p w14:paraId="457C5DA2" w14:textId="77777777" w:rsidR="00D4689A" w:rsidRPr="00D4689A" w:rsidRDefault="00D4689A" w:rsidP="00D4689A">
      <w:pPr>
        <w:pStyle w:val="Bibliografia"/>
        <w:rPr>
          <w:rFonts w:cs="Times New Roman"/>
        </w:rPr>
      </w:pPr>
      <w:r w:rsidRPr="00D4689A">
        <w:rPr>
          <w:rFonts w:cs="Times New Roman"/>
        </w:rPr>
        <w:t xml:space="preserve">15. </w:t>
      </w:r>
      <w:r w:rsidRPr="00D4689A">
        <w:rPr>
          <w:rFonts w:cs="Times New Roman"/>
        </w:rPr>
        <w:tab/>
        <w:t xml:space="preserve">Zhang L, Yang J, Zhu X, </w:t>
      </w:r>
      <w:r w:rsidRPr="00D4689A">
        <w:rPr>
          <w:rFonts w:cs="Times New Roman"/>
          <w:i/>
          <w:iCs/>
        </w:rPr>
        <w:t>et al.</w:t>
      </w:r>
      <w:r w:rsidRPr="00D4689A">
        <w:rPr>
          <w:rFonts w:cs="Times New Roman"/>
        </w:rPr>
        <w:t xml:space="preserve"> Effect of high-dose clopidogrel according to CYP2C19*2 genotype in patients undergoing percutaneous coronary intervention- a systematic review and meta-analysis. </w:t>
      </w:r>
      <w:proofErr w:type="spellStart"/>
      <w:r w:rsidRPr="00D4689A">
        <w:rPr>
          <w:rFonts w:cs="Times New Roman"/>
          <w:i/>
          <w:iCs/>
        </w:rPr>
        <w:t>Thromb</w:t>
      </w:r>
      <w:proofErr w:type="spellEnd"/>
      <w:r w:rsidRPr="00D4689A">
        <w:rPr>
          <w:rFonts w:cs="Times New Roman"/>
          <w:i/>
          <w:iCs/>
        </w:rPr>
        <w:t xml:space="preserve"> Res</w:t>
      </w:r>
      <w:r w:rsidRPr="00D4689A">
        <w:rPr>
          <w:rFonts w:cs="Times New Roman"/>
        </w:rPr>
        <w:t>. 135(3), 449–458 (2015).</w:t>
      </w:r>
    </w:p>
    <w:p w14:paraId="4F20DAC7" w14:textId="77777777" w:rsidR="00D4689A" w:rsidRPr="00D4689A" w:rsidRDefault="00D4689A" w:rsidP="00D4689A">
      <w:pPr>
        <w:pStyle w:val="Bibliografia"/>
        <w:rPr>
          <w:rFonts w:cs="Times New Roman"/>
        </w:rPr>
      </w:pPr>
      <w:r w:rsidRPr="00D4689A">
        <w:rPr>
          <w:rFonts w:cs="Times New Roman"/>
        </w:rPr>
        <w:t xml:space="preserve">16. </w:t>
      </w:r>
      <w:r w:rsidRPr="00D4689A">
        <w:rPr>
          <w:rFonts w:cs="Times New Roman"/>
        </w:rPr>
        <w:tab/>
        <w:t xml:space="preserve">Zheng L, Yang C, Xiang L, Hao Z. Genotype-guided antiplatelet therapy compared with conventional therapy for patients with acute coronary syndromes: a systematic review and meta-analysis. </w:t>
      </w:r>
      <w:r w:rsidRPr="00D4689A">
        <w:rPr>
          <w:rFonts w:cs="Times New Roman"/>
          <w:i/>
          <w:iCs/>
        </w:rPr>
        <w:t>Biomarkers</w:t>
      </w:r>
      <w:r w:rsidRPr="00D4689A">
        <w:rPr>
          <w:rFonts w:cs="Times New Roman"/>
        </w:rPr>
        <w:t>. 24(6), 517–523 (2019).</w:t>
      </w:r>
    </w:p>
    <w:p w14:paraId="3A75F6B6" w14:textId="77777777" w:rsidR="00D4689A" w:rsidRPr="00D4689A" w:rsidRDefault="00D4689A" w:rsidP="00D4689A">
      <w:pPr>
        <w:pStyle w:val="Bibliografia"/>
        <w:rPr>
          <w:rFonts w:cs="Times New Roman"/>
        </w:rPr>
      </w:pPr>
      <w:r w:rsidRPr="00D4689A">
        <w:rPr>
          <w:rFonts w:cs="Times New Roman"/>
        </w:rPr>
        <w:t xml:space="preserve">17. </w:t>
      </w:r>
      <w:r w:rsidRPr="00D4689A">
        <w:rPr>
          <w:rFonts w:cs="Times New Roman"/>
        </w:rPr>
        <w:tab/>
        <w:t xml:space="preserve">Ali Z, </w:t>
      </w:r>
      <w:proofErr w:type="spellStart"/>
      <w:r w:rsidRPr="00D4689A">
        <w:rPr>
          <w:rFonts w:cs="Times New Roman"/>
        </w:rPr>
        <w:t>Elewa</w:t>
      </w:r>
      <w:proofErr w:type="spellEnd"/>
      <w:r w:rsidRPr="00D4689A">
        <w:rPr>
          <w:rFonts w:cs="Times New Roman"/>
        </w:rPr>
        <w:t xml:space="preserve"> H. The Effect of CYP2C19 and Nongenetic Factors on Clopidogrel Responsiveness in the MENA Region: A Systematic Review. </w:t>
      </w:r>
      <w:r w:rsidRPr="00D4689A">
        <w:rPr>
          <w:rFonts w:cs="Times New Roman"/>
          <w:i/>
          <w:iCs/>
        </w:rPr>
        <w:t xml:space="preserve">Clin Appl </w:t>
      </w:r>
      <w:proofErr w:type="spellStart"/>
      <w:r w:rsidRPr="00D4689A">
        <w:rPr>
          <w:rFonts w:cs="Times New Roman"/>
          <w:i/>
          <w:iCs/>
        </w:rPr>
        <w:t>Thromb</w:t>
      </w:r>
      <w:proofErr w:type="spellEnd"/>
      <w:r w:rsidRPr="00D4689A">
        <w:rPr>
          <w:rFonts w:cs="Times New Roman"/>
          <w:i/>
          <w:iCs/>
        </w:rPr>
        <w:t xml:space="preserve"> </w:t>
      </w:r>
      <w:proofErr w:type="spellStart"/>
      <w:r w:rsidRPr="00D4689A">
        <w:rPr>
          <w:rFonts w:cs="Times New Roman"/>
          <w:i/>
          <w:iCs/>
        </w:rPr>
        <w:t>Hemost</w:t>
      </w:r>
      <w:proofErr w:type="spellEnd"/>
      <w:r w:rsidRPr="00D4689A">
        <w:rPr>
          <w:rFonts w:cs="Times New Roman"/>
        </w:rPr>
        <w:t>. 25, 1076029619875520 (2019).</w:t>
      </w:r>
    </w:p>
    <w:p w14:paraId="5A86659A" w14:textId="77777777" w:rsidR="00D4689A" w:rsidRPr="00D4689A" w:rsidRDefault="00D4689A" w:rsidP="00D4689A">
      <w:pPr>
        <w:pStyle w:val="Bibliografia"/>
        <w:rPr>
          <w:rFonts w:cs="Times New Roman"/>
        </w:rPr>
      </w:pPr>
      <w:r w:rsidRPr="00D4689A">
        <w:rPr>
          <w:rFonts w:cs="Times New Roman"/>
        </w:rPr>
        <w:t xml:space="preserve">18. </w:t>
      </w:r>
      <w:r w:rsidRPr="00D4689A">
        <w:rPr>
          <w:rFonts w:cs="Times New Roman"/>
        </w:rPr>
        <w:tab/>
        <w:t xml:space="preserve">Goulding R, Dawes D, Price M, </w:t>
      </w:r>
      <w:proofErr w:type="spellStart"/>
      <w:r w:rsidRPr="00D4689A">
        <w:rPr>
          <w:rFonts w:cs="Times New Roman"/>
        </w:rPr>
        <w:t>Wilkie</w:t>
      </w:r>
      <w:proofErr w:type="spellEnd"/>
      <w:r w:rsidRPr="00D4689A">
        <w:rPr>
          <w:rFonts w:cs="Times New Roman"/>
        </w:rPr>
        <w:t xml:space="preserve"> S, Dawes M. Genotype-guided drug prescribing: a systematic review and meta-analysis of randomized control trials. </w:t>
      </w:r>
      <w:r w:rsidRPr="00D4689A">
        <w:rPr>
          <w:rFonts w:cs="Times New Roman"/>
          <w:i/>
          <w:iCs/>
        </w:rPr>
        <w:t xml:space="preserve">Br J Clin </w:t>
      </w:r>
      <w:proofErr w:type="spellStart"/>
      <w:r w:rsidRPr="00D4689A">
        <w:rPr>
          <w:rFonts w:cs="Times New Roman"/>
          <w:i/>
          <w:iCs/>
        </w:rPr>
        <w:t>Pharmacol</w:t>
      </w:r>
      <w:proofErr w:type="spellEnd"/>
      <w:r w:rsidRPr="00D4689A">
        <w:rPr>
          <w:rFonts w:cs="Times New Roman"/>
        </w:rPr>
        <w:t>. 80(4), 868–877 (2015).</w:t>
      </w:r>
    </w:p>
    <w:p w14:paraId="70F4BBB4" w14:textId="77777777" w:rsidR="00D4689A" w:rsidRPr="00D4689A" w:rsidRDefault="00D4689A" w:rsidP="00D4689A">
      <w:pPr>
        <w:pStyle w:val="Bibliografia"/>
        <w:rPr>
          <w:rFonts w:cs="Times New Roman"/>
        </w:rPr>
      </w:pPr>
      <w:r w:rsidRPr="00D4689A">
        <w:rPr>
          <w:rFonts w:cs="Times New Roman"/>
        </w:rPr>
        <w:t xml:space="preserve">19. </w:t>
      </w:r>
      <w:r w:rsidRPr="00D4689A">
        <w:rPr>
          <w:rFonts w:cs="Times New Roman"/>
        </w:rPr>
        <w:tab/>
        <w:t xml:space="preserve">Jorgensen AL, FitzGerald RJ, </w:t>
      </w:r>
      <w:proofErr w:type="spellStart"/>
      <w:r w:rsidRPr="00D4689A">
        <w:rPr>
          <w:rFonts w:cs="Times New Roman"/>
        </w:rPr>
        <w:t>Oyee</w:t>
      </w:r>
      <w:proofErr w:type="spellEnd"/>
      <w:r w:rsidRPr="00D4689A">
        <w:rPr>
          <w:rFonts w:cs="Times New Roman"/>
        </w:rPr>
        <w:t xml:space="preserve"> J, Pirmohamed M, Williamson PR. Influence of CYP2C9 and VKORC1 on Patient Response to Warfarin: A Systematic Review and Meta-Analysis. </w:t>
      </w:r>
      <w:r w:rsidRPr="00D4689A">
        <w:rPr>
          <w:rFonts w:cs="Times New Roman"/>
          <w:i/>
          <w:iCs/>
        </w:rPr>
        <w:t>PLOS ONE</w:t>
      </w:r>
      <w:r w:rsidRPr="00D4689A">
        <w:rPr>
          <w:rFonts w:cs="Times New Roman"/>
        </w:rPr>
        <w:t>. 7(8), e44064 (2012).</w:t>
      </w:r>
    </w:p>
    <w:p w14:paraId="77D1E4C5" w14:textId="77777777" w:rsidR="00D4689A" w:rsidRPr="00D4689A" w:rsidRDefault="00D4689A" w:rsidP="00D4689A">
      <w:pPr>
        <w:pStyle w:val="Bibliografia"/>
        <w:rPr>
          <w:rFonts w:cs="Times New Roman"/>
        </w:rPr>
      </w:pPr>
      <w:r w:rsidRPr="00D4689A">
        <w:rPr>
          <w:rFonts w:cs="Times New Roman"/>
        </w:rPr>
        <w:t xml:space="preserve">20. </w:t>
      </w:r>
      <w:r w:rsidRPr="00D4689A">
        <w:rPr>
          <w:rFonts w:cs="Times New Roman"/>
        </w:rPr>
        <w:tab/>
        <w:t xml:space="preserve">Jorgensen AL, Williamson PR. Methodological quality of pharmacogenetic studies: issues of concern. </w:t>
      </w:r>
      <w:r w:rsidRPr="00D4689A">
        <w:rPr>
          <w:rFonts w:cs="Times New Roman"/>
          <w:i/>
          <w:iCs/>
        </w:rPr>
        <w:t>Stat Med</w:t>
      </w:r>
      <w:r w:rsidRPr="00D4689A">
        <w:rPr>
          <w:rFonts w:cs="Times New Roman"/>
        </w:rPr>
        <w:t>. 27(30), 6547–6569 (2008).</w:t>
      </w:r>
    </w:p>
    <w:p w14:paraId="4A42477C" w14:textId="77777777" w:rsidR="00D4689A" w:rsidRPr="00D4689A" w:rsidRDefault="00D4689A" w:rsidP="00D4689A">
      <w:pPr>
        <w:pStyle w:val="Bibliografia"/>
        <w:rPr>
          <w:rFonts w:cs="Times New Roman"/>
        </w:rPr>
      </w:pPr>
      <w:r w:rsidRPr="00D4689A">
        <w:rPr>
          <w:rFonts w:cs="Times New Roman"/>
        </w:rPr>
        <w:t xml:space="preserve">21. </w:t>
      </w:r>
      <w:r w:rsidRPr="00D4689A">
        <w:rPr>
          <w:rFonts w:cs="Times New Roman"/>
        </w:rPr>
        <w:tab/>
        <w:t xml:space="preserve">Sanderson S, Emery J, Higgins J. CYP2C9 gene variants, drug dose, and bleeding risk in warfarin-treated patients: a </w:t>
      </w:r>
      <w:proofErr w:type="spellStart"/>
      <w:r w:rsidRPr="00D4689A">
        <w:rPr>
          <w:rFonts w:cs="Times New Roman"/>
        </w:rPr>
        <w:t>HuGEnet</w:t>
      </w:r>
      <w:proofErr w:type="spellEnd"/>
      <w:r w:rsidRPr="00D4689A">
        <w:rPr>
          <w:rFonts w:cs="Times New Roman"/>
        </w:rPr>
        <w:t xml:space="preserve"> systematic review and meta-analysis. </w:t>
      </w:r>
      <w:r w:rsidRPr="00D4689A">
        <w:rPr>
          <w:rFonts w:cs="Times New Roman"/>
          <w:i/>
          <w:iCs/>
        </w:rPr>
        <w:t>Genet Med</w:t>
      </w:r>
      <w:r w:rsidRPr="00D4689A">
        <w:rPr>
          <w:rFonts w:cs="Times New Roman"/>
        </w:rPr>
        <w:t>. 7(2), 97–104 (2005).</w:t>
      </w:r>
    </w:p>
    <w:p w14:paraId="6BBD4BDE" w14:textId="77777777" w:rsidR="00D4689A" w:rsidRPr="00D4689A" w:rsidRDefault="00D4689A" w:rsidP="00D4689A">
      <w:pPr>
        <w:pStyle w:val="Bibliografia"/>
        <w:rPr>
          <w:rFonts w:cs="Times New Roman"/>
        </w:rPr>
      </w:pPr>
      <w:r w:rsidRPr="00D4689A">
        <w:rPr>
          <w:rFonts w:cs="Times New Roman"/>
        </w:rPr>
        <w:t xml:space="preserve">22. </w:t>
      </w:r>
      <w:r w:rsidRPr="00D4689A">
        <w:rPr>
          <w:rFonts w:cs="Times New Roman"/>
        </w:rPr>
        <w:tab/>
        <w:t xml:space="preserve">Shi C, Yan W, Wang G, Wang F, Li Q, Lin N. Pharmacogenetics-Based versus Conventional Dosing of Warfarin: A Meta-Analysis of Randomized Controlled Trials. </w:t>
      </w:r>
      <w:r w:rsidRPr="00D4689A">
        <w:rPr>
          <w:rFonts w:cs="Times New Roman"/>
          <w:i/>
          <w:iCs/>
        </w:rPr>
        <w:t>PLOS ONE</w:t>
      </w:r>
      <w:r w:rsidRPr="00D4689A">
        <w:rPr>
          <w:rFonts w:cs="Times New Roman"/>
        </w:rPr>
        <w:t>. 10(12), e0144511 (2015).</w:t>
      </w:r>
    </w:p>
    <w:p w14:paraId="4A7D3C0D" w14:textId="2283DD04" w:rsidR="00B34B1F" w:rsidRPr="00B34B1F" w:rsidRDefault="007F540D" w:rsidP="009E398E">
      <w:pPr>
        <w:jc w:val="right"/>
      </w:pPr>
      <w:r w:rsidRPr="009E398E">
        <w:rPr>
          <w:rFonts w:cs="Times New Roman"/>
        </w:rPr>
        <w:fldChar w:fldCharType="end"/>
      </w:r>
    </w:p>
    <w:sectPr w:rsidR="00B34B1F" w:rsidRPr="00B34B1F" w:rsidSect="00E625F0">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E153" w14:textId="77777777" w:rsidR="00DA5E70" w:rsidRDefault="00DA5E70" w:rsidP="008A26A4">
      <w:pPr>
        <w:spacing w:after="0"/>
      </w:pPr>
      <w:r>
        <w:separator/>
      </w:r>
    </w:p>
  </w:endnote>
  <w:endnote w:type="continuationSeparator" w:id="0">
    <w:p w14:paraId="06BA208F" w14:textId="77777777" w:rsidR="00DA5E70" w:rsidRDefault="00DA5E70" w:rsidP="008A26A4">
      <w:pPr>
        <w:spacing w:after="0"/>
      </w:pPr>
      <w:r>
        <w:continuationSeparator/>
      </w:r>
    </w:p>
  </w:endnote>
  <w:endnote w:type="continuationNotice" w:id="1">
    <w:p w14:paraId="1A5A16B1" w14:textId="77777777" w:rsidR="00DA5E70" w:rsidRDefault="00DA5E70" w:rsidP="008A26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B862" w14:textId="776DC5D6" w:rsidR="00A73557" w:rsidRDefault="00A73557">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835" w14:textId="6B1FA596" w:rsidR="008A26A4" w:rsidRPr="00B13C5A" w:rsidRDefault="00C52A7B" w:rsidP="00C12C56">
    <w:pPr>
      <w:rPr>
        <w:color w:val="C00000"/>
      </w:rPr>
    </w:pPr>
    <w:r>
      <w:rPr>
        <w:noProof/>
        <w:lang w:val="en-GB" w:eastAsia="en-GB"/>
      </w:rPr>
      <mc:AlternateContent>
        <mc:Choice Requires="wps">
          <w:drawing>
            <wp:anchor distT="0" distB="0" distL="114300" distR="114300" simplePos="0" relativeHeight="251659264" behindDoc="0" locked="0" layoutInCell="1" allowOverlap="1" wp14:anchorId="38206660" wp14:editId="4E04468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F87CD4B" w14:textId="7B2D62EB" w:rsidR="00995F6A" w:rsidRPr="00577C4C" w:rsidRDefault="00DA5E70" w:rsidP="00B34B1F">
                          <w:pPr>
                            <w:jc w:val="center"/>
                            <w:rPr>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0666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F87CD4B" w14:textId="7B2D62EB" w:rsidR="00995F6A" w:rsidRPr="00577C4C" w:rsidRDefault="00DA5E70" w:rsidP="00B34B1F">
                    <w:pPr>
                      <w:jc w:val="center"/>
                      <w:rPr>
                        <w:color w:val="000000" w:themeColor="text1"/>
                        <w:szCs w:val="40"/>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B377" w14:textId="77777777" w:rsidR="00F71F18" w:rsidRDefault="00C52A7B">
    <w:pPr>
      <w:pStyle w:val="Rodap"/>
      <w:jc w:val="center"/>
    </w:pPr>
    <w:r>
      <w:rPr>
        <w:noProof/>
        <w:lang w:val="en-GB" w:eastAsia="en-GB"/>
      </w:rPr>
      <mc:AlternateContent>
        <mc:Choice Requires="wps">
          <w:drawing>
            <wp:anchor distT="0" distB="0" distL="114300" distR="114300" simplePos="0" relativeHeight="251661312" behindDoc="0" locked="0" layoutInCell="1" allowOverlap="1" wp14:anchorId="7315D26F" wp14:editId="2736E1A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5122766" w14:textId="4A272B21" w:rsidR="00995F6A" w:rsidRPr="00577C4C" w:rsidRDefault="00DA5E70">
                          <w:pPr>
                            <w:jc w:val="right"/>
                            <w:rPr>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15D26F" id="_x0000_t202" coordsize="21600,21600" o:spt="202" path="m,l,21600r21600,l21600,xe">
              <v:stroke joinstyle="miter"/>
              <v:path gradientshapeok="t" o:connecttype="rect"/>
            </v:shapetype>
            <v:shape id="Text Box 56" o:spid="_x0000_s1027" type="#_x0000_t202" style="position:absolute;left:0;text-align:left;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15122766" w14:textId="4A272B21" w:rsidR="00995F6A" w:rsidRPr="00577C4C" w:rsidRDefault="00DA5E70">
                    <w:pPr>
                      <w:jc w:val="right"/>
                      <w:rPr>
                        <w:color w:val="000000" w:themeColor="text1"/>
                        <w:szCs w:val="40"/>
                      </w:rPr>
                    </w:pPr>
                  </w:p>
                </w:txbxContent>
              </v:textbox>
              <w10:wrap anchorx="margin" anchory="margin"/>
            </v:shape>
          </w:pict>
        </mc:Fallback>
      </mc:AlternateContent>
    </w:r>
  </w:p>
  <w:p w14:paraId="07D2822A" w14:textId="77777777" w:rsidR="00A73557" w:rsidRPr="00B13C5A" w:rsidRDefault="00A73557" w:rsidP="00B13C5A">
    <w:pP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0437" w14:textId="77777777" w:rsidR="00DA5E70" w:rsidRDefault="00DA5E70" w:rsidP="008A26A4">
      <w:pPr>
        <w:spacing w:after="0"/>
      </w:pPr>
      <w:r>
        <w:separator/>
      </w:r>
    </w:p>
  </w:footnote>
  <w:footnote w:type="continuationSeparator" w:id="0">
    <w:p w14:paraId="14F4A8D6" w14:textId="77777777" w:rsidR="00DA5E70" w:rsidRDefault="00DA5E70" w:rsidP="008A26A4">
      <w:pPr>
        <w:spacing w:after="0"/>
      </w:pPr>
      <w:r>
        <w:continuationSeparator/>
      </w:r>
    </w:p>
  </w:footnote>
  <w:footnote w:type="continuationNotice" w:id="1">
    <w:p w14:paraId="0B0756E8" w14:textId="77777777" w:rsidR="00DA5E70" w:rsidRDefault="00DA5E70" w:rsidP="008A26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52D7" w14:textId="4F794CAD" w:rsidR="008A26A4" w:rsidRDefault="00C52A7B" w:rsidP="00B34B1F">
    <w:r w:rsidRPr="009151AA">
      <w:rPr>
        <w:rFonts w:cs="Times New Roman"/>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164" w14:textId="7B7F5D83" w:rsidR="008A26A4" w:rsidRDefault="00C52A7B" w:rsidP="00E625F0">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B5"/>
    <w:rsid w:val="00000BD7"/>
    <w:rsid w:val="00000E86"/>
    <w:rsid w:val="00003922"/>
    <w:rsid w:val="00004014"/>
    <w:rsid w:val="000059A7"/>
    <w:rsid w:val="00010888"/>
    <w:rsid w:val="0001257B"/>
    <w:rsid w:val="000125E3"/>
    <w:rsid w:val="000140FE"/>
    <w:rsid w:val="0001436A"/>
    <w:rsid w:val="00015C10"/>
    <w:rsid w:val="0002315D"/>
    <w:rsid w:val="00024419"/>
    <w:rsid w:val="000250AA"/>
    <w:rsid w:val="00027164"/>
    <w:rsid w:val="00034304"/>
    <w:rsid w:val="0003463B"/>
    <w:rsid w:val="0003466B"/>
    <w:rsid w:val="00035061"/>
    <w:rsid w:val="00035434"/>
    <w:rsid w:val="0004001C"/>
    <w:rsid w:val="00040731"/>
    <w:rsid w:val="00042D76"/>
    <w:rsid w:val="00042F4A"/>
    <w:rsid w:val="0004354C"/>
    <w:rsid w:val="0004475B"/>
    <w:rsid w:val="00045E12"/>
    <w:rsid w:val="0004746F"/>
    <w:rsid w:val="00050141"/>
    <w:rsid w:val="000501EB"/>
    <w:rsid w:val="00051933"/>
    <w:rsid w:val="00052A14"/>
    <w:rsid w:val="00054668"/>
    <w:rsid w:val="00054BAF"/>
    <w:rsid w:val="000572D2"/>
    <w:rsid w:val="000649C7"/>
    <w:rsid w:val="00065F33"/>
    <w:rsid w:val="00065FCD"/>
    <w:rsid w:val="00067B91"/>
    <w:rsid w:val="000701C9"/>
    <w:rsid w:val="000712E7"/>
    <w:rsid w:val="00071A32"/>
    <w:rsid w:val="00071C48"/>
    <w:rsid w:val="0007657A"/>
    <w:rsid w:val="00077D53"/>
    <w:rsid w:val="000809B2"/>
    <w:rsid w:val="00091C92"/>
    <w:rsid w:val="00093A88"/>
    <w:rsid w:val="00094163"/>
    <w:rsid w:val="00094587"/>
    <w:rsid w:val="000959EA"/>
    <w:rsid w:val="000A5C78"/>
    <w:rsid w:val="000A774D"/>
    <w:rsid w:val="000A778C"/>
    <w:rsid w:val="000C0583"/>
    <w:rsid w:val="000C6B2B"/>
    <w:rsid w:val="000C6D0B"/>
    <w:rsid w:val="000C7A91"/>
    <w:rsid w:val="000C7F13"/>
    <w:rsid w:val="000D7666"/>
    <w:rsid w:val="000E2C59"/>
    <w:rsid w:val="000E4E7F"/>
    <w:rsid w:val="000E6C2B"/>
    <w:rsid w:val="000E7803"/>
    <w:rsid w:val="000E7CF3"/>
    <w:rsid w:val="000F283C"/>
    <w:rsid w:val="000F340E"/>
    <w:rsid w:val="000F7756"/>
    <w:rsid w:val="00100DA4"/>
    <w:rsid w:val="00101AB6"/>
    <w:rsid w:val="001020EA"/>
    <w:rsid w:val="001022E5"/>
    <w:rsid w:val="00104219"/>
    <w:rsid w:val="00105FD9"/>
    <w:rsid w:val="00110005"/>
    <w:rsid w:val="00111BBB"/>
    <w:rsid w:val="00114A76"/>
    <w:rsid w:val="00117666"/>
    <w:rsid w:val="00123520"/>
    <w:rsid w:val="00125AD0"/>
    <w:rsid w:val="00130D65"/>
    <w:rsid w:val="00132D35"/>
    <w:rsid w:val="00133B24"/>
    <w:rsid w:val="00141404"/>
    <w:rsid w:val="00151777"/>
    <w:rsid w:val="001549D3"/>
    <w:rsid w:val="00155D5D"/>
    <w:rsid w:val="0015740A"/>
    <w:rsid w:val="0015751C"/>
    <w:rsid w:val="00160065"/>
    <w:rsid w:val="0016083A"/>
    <w:rsid w:val="00160A7B"/>
    <w:rsid w:val="001617C2"/>
    <w:rsid w:val="00163CAD"/>
    <w:rsid w:val="00164A36"/>
    <w:rsid w:val="00166350"/>
    <w:rsid w:val="00167E62"/>
    <w:rsid w:val="0017054E"/>
    <w:rsid w:val="00170810"/>
    <w:rsid w:val="001709E6"/>
    <w:rsid w:val="00172A29"/>
    <w:rsid w:val="00175692"/>
    <w:rsid w:val="00176A80"/>
    <w:rsid w:val="0017717A"/>
    <w:rsid w:val="00177A4C"/>
    <w:rsid w:val="00177D84"/>
    <w:rsid w:val="0018044B"/>
    <w:rsid w:val="00184AD6"/>
    <w:rsid w:val="00185F8F"/>
    <w:rsid w:val="00191492"/>
    <w:rsid w:val="001921CB"/>
    <w:rsid w:val="00194A0E"/>
    <w:rsid w:val="001969E7"/>
    <w:rsid w:val="00196CF5"/>
    <w:rsid w:val="001A1D53"/>
    <w:rsid w:val="001A50B1"/>
    <w:rsid w:val="001A6180"/>
    <w:rsid w:val="001B26E9"/>
    <w:rsid w:val="001B5976"/>
    <w:rsid w:val="001C0350"/>
    <w:rsid w:val="001C148F"/>
    <w:rsid w:val="001C5EE6"/>
    <w:rsid w:val="001D0001"/>
    <w:rsid w:val="001D0C03"/>
    <w:rsid w:val="001D17DB"/>
    <w:rsid w:val="001D3078"/>
    <w:rsid w:val="001D58CB"/>
    <w:rsid w:val="001D7DB8"/>
    <w:rsid w:val="001E236A"/>
    <w:rsid w:val="001E320F"/>
    <w:rsid w:val="001E370F"/>
    <w:rsid w:val="001E667B"/>
    <w:rsid w:val="001E7A4B"/>
    <w:rsid w:val="001F2EAD"/>
    <w:rsid w:val="001F473A"/>
    <w:rsid w:val="001F6D1B"/>
    <w:rsid w:val="001F767A"/>
    <w:rsid w:val="00201868"/>
    <w:rsid w:val="00202F72"/>
    <w:rsid w:val="00203521"/>
    <w:rsid w:val="00203878"/>
    <w:rsid w:val="002079BE"/>
    <w:rsid w:val="00214C14"/>
    <w:rsid w:val="00217E3F"/>
    <w:rsid w:val="0022370A"/>
    <w:rsid w:val="00223C7C"/>
    <w:rsid w:val="002246C7"/>
    <w:rsid w:val="002323B7"/>
    <w:rsid w:val="002333CF"/>
    <w:rsid w:val="002341A9"/>
    <w:rsid w:val="00236D15"/>
    <w:rsid w:val="002404E3"/>
    <w:rsid w:val="0024799D"/>
    <w:rsid w:val="002626EA"/>
    <w:rsid w:val="002661EB"/>
    <w:rsid w:val="002665C3"/>
    <w:rsid w:val="00266F55"/>
    <w:rsid w:val="00267A2F"/>
    <w:rsid w:val="00267D18"/>
    <w:rsid w:val="002720C2"/>
    <w:rsid w:val="00273013"/>
    <w:rsid w:val="00274347"/>
    <w:rsid w:val="00274934"/>
    <w:rsid w:val="00277ED9"/>
    <w:rsid w:val="0028199E"/>
    <w:rsid w:val="00282E2F"/>
    <w:rsid w:val="002868E2"/>
    <w:rsid w:val="002869C3"/>
    <w:rsid w:val="00290E4E"/>
    <w:rsid w:val="00292D27"/>
    <w:rsid w:val="002936E4"/>
    <w:rsid w:val="00293E51"/>
    <w:rsid w:val="00295E95"/>
    <w:rsid w:val="00296123"/>
    <w:rsid w:val="00296D23"/>
    <w:rsid w:val="002973EA"/>
    <w:rsid w:val="002A028E"/>
    <w:rsid w:val="002A1A63"/>
    <w:rsid w:val="002B467D"/>
    <w:rsid w:val="002B4A57"/>
    <w:rsid w:val="002C2650"/>
    <w:rsid w:val="002C35F9"/>
    <w:rsid w:val="002C3A77"/>
    <w:rsid w:val="002C6D73"/>
    <w:rsid w:val="002C74CA"/>
    <w:rsid w:val="002D23BC"/>
    <w:rsid w:val="002D3545"/>
    <w:rsid w:val="002D3E11"/>
    <w:rsid w:val="002E0614"/>
    <w:rsid w:val="002E1342"/>
    <w:rsid w:val="002E70C5"/>
    <w:rsid w:val="002F115F"/>
    <w:rsid w:val="002F3276"/>
    <w:rsid w:val="002F4944"/>
    <w:rsid w:val="002F57FC"/>
    <w:rsid w:val="00300E38"/>
    <w:rsid w:val="00301F90"/>
    <w:rsid w:val="003025A8"/>
    <w:rsid w:val="00302CDF"/>
    <w:rsid w:val="003069B5"/>
    <w:rsid w:val="00307470"/>
    <w:rsid w:val="003123F4"/>
    <w:rsid w:val="00314FA6"/>
    <w:rsid w:val="00315EBA"/>
    <w:rsid w:val="003238F6"/>
    <w:rsid w:val="003242C9"/>
    <w:rsid w:val="00327B49"/>
    <w:rsid w:val="0033103A"/>
    <w:rsid w:val="003326EC"/>
    <w:rsid w:val="0033357F"/>
    <w:rsid w:val="00333865"/>
    <w:rsid w:val="003353FB"/>
    <w:rsid w:val="00337E02"/>
    <w:rsid w:val="003418E5"/>
    <w:rsid w:val="003426DD"/>
    <w:rsid w:val="00342BFE"/>
    <w:rsid w:val="003544FB"/>
    <w:rsid w:val="0035677A"/>
    <w:rsid w:val="00360B3B"/>
    <w:rsid w:val="003637EE"/>
    <w:rsid w:val="00366B2F"/>
    <w:rsid w:val="003670D3"/>
    <w:rsid w:val="003715C5"/>
    <w:rsid w:val="00373C6D"/>
    <w:rsid w:val="00374484"/>
    <w:rsid w:val="0037471D"/>
    <w:rsid w:val="003779FC"/>
    <w:rsid w:val="0038015E"/>
    <w:rsid w:val="0038180A"/>
    <w:rsid w:val="00386F28"/>
    <w:rsid w:val="00387882"/>
    <w:rsid w:val="00392DE9"/>
    <w:rsid w:val="0039406B"/>
    <w:rsid w:val="00395C61"/>
    <w:rsid w:val="0039759F"/>
    <w:rsid w:val="003A6BF0"/>
    <w:rsid w:val="003B0EBF"/>
    <w:rsid w:val="003C1BCE"/>
    <w:rsid w:val="003C3B15"/>
    <w:rsid w:val="003C5239"/>
    <w:rsid w:val="003D0A8C"/>
    <w:rsid w:val="003D1413"/>
    <w:rsid w:val="003D2F2D"/>
    <w:rsid w:val="003D3106"/>
    <w:rsid w:val="003D352E"/>
    <w:rsid w:val="003D6E49"/>
    <w:rsid w:val="003E6D30"/>
    <w:rsid w:val="003E7109"/>
    <w:rsid w:val="003E7DB2"/>
    <w:rsid w:val="003F5048"/>
    <w:rsid w:val="00401549"/>
    <w:rsid w:val="00401590"/>
    <w:rsid w:val="00407C76"/>
    <w:rsid w:val="00407E25"/>
    <w:rsid w:val="00410237"/>
    <w:rsid w:val="004113C7"/>
    <w:rsid w:val="00411A9A"/>
    <w:rsid w:val="0041224D"/>
    <w:rsid w:val="00412F57"/>
    <w:rsid w:val="004136D7"/>
    <w:rsid w:val="004143AC"/>
    <w:rsid w:val="004147CD"/>
    <w:rsid w:val="00415143"/>
    <w:rsid w:val="004212A7"/>
    <w:rsid w:val="0042283B"/>
    <w:rsid w:val="0043039E"/>
    <w:rsid w:val="00433A6F"/>
    <w:rsid w:val="00434DF9"/>
    <w:rsid w:val="00434ED9"/>
    <w:rsid w:val="004426AA"/>
    <w:rsid w:val="0044462D"/>
    <w:rsid w:val="00447801"/>
    <w:rsid w:val="00452E9C"/>
    <w:rsid w:val="004548CF"/>
    <w:rsid w:val="00456804"/>
    <w:rsid w:val="0046041E"/>
    <w:rsid w:val="004666CF"/>
    <w:rsid w:val="00472938"/>
    <w:rsid w:val="004735C8"/>
    <w:rsid w:val="00474AB1"/>
    <w:rsid w:val="00480121"/>
    <w:rsid w:val="0048020D"/>
    <w:rsid w:val="00482232"/>
    <w:rsid w:val="004839DC"/>
    <w:rsid w:val="00483A34"/>
    <w:rsid w:val="00483BE0"/>
    <w:rsid w:val="004868ED"/>
    <w:rsid w:val="00487003"/>
    <w:rsid w:val="004914E2"/>
    <w:rsid w:val="004918C8"/>
    <w:rsid w:val="00492AEA"/>
    <w:rsid w:val="004947A6"/>
    <w:rsid w:val="00495DFF"/>
    <w:rsid w:val="004961FF"/>
    <w:rsid w:val="004A0115"/>
    <w:rsid w:val="004A047A"/>
    <w:rsid w:val="004A19AD"/>
    <w:rsid w:val="004A3A88"/>
    <w:rsid w:val="004A70F7"/>
    <w:rsid w:val="004B1CAE"/>
    <w:rsid w:val="004B3DDA"/>
    <w:rsid w:val="004C037E"/>
    <w:rsid w:val="004C11DF"/>
    <w:rsid w:val="004C529F"/>
    <w:rsid w:val="004C7A4A"/>
    <w:rsid w:val="004D26EA"/>
    <w:rsid w:val="004D3565"/>
    <w:rsid w:val="004D6B02"/>
    <w:rsid w:val="004E1A39"/>
    <w:rsid w:val="004E1F2C"/>
    <w:rsid w:val="004E7302"/>
    <w:rsid w:val="004F05D6"/>
    <w:rsid w:val="004F44F0"/>
    <w:rsid w:val="004F49B3"/>
    <w:rsid w:val="004F56EC"/>
    <w:rsid w:val="004F6B91"/>
    <w:rsid w:val="00503D0C"/>
    <w:rsid w:val="00504F40"/>
    <w:rsid w:val="00513F72"/>
    <w:rsid w:val="00517A89"/>
    <w:rsid w:val="005218A8"/>
    <w:rsid w:val="00523AA1"/>
    <w:rsid w:val="005250F2"/>
    <w:rsid w:val="00526229"/>
    <w:rsid w:val="00526F0C"/>
    <w:rsid w:val="0053033B"/>
    <w:rsid w:val="00534803"/>
    <w:rsid w:val="00535557"/>
    <w:rsid w:val="00540169"/>
    <w:rsid w:val="00543DC3"/>
    <w:rsid w:val="00546C5D"/>
    <w:rsid w:val="00547C24"/>
    <w:rsid w:val="00550008"/>
    <w:rsid w:val="005500A6"/>
    <w:rsid w:val="00551C23"/>
    <w:rsid w:val="005620B4"/>
    <w:rsid w:val="00564569"/>
    <w:rsid w:val="00564BA0"/>
    <w:rsid w:val="00565F85"/>
    <w:rsid w:val="005679F1"/>
    <w:rsid w:val="00575DFE"/>
    <w:rsid w:val="00584A9C"/>
    <w:rsid w:val="00586122"/>
    <w:rsid w:val="00586CFE"/>
    <w:rsid w:val="00587DE1"/>
    <w:rsid w:val="00591A13"/>
    <w:rsid w:val="00593EEA"/>
    <w:rsid w:val="005952AA"/>
    <w:rsid w:val="0059585E"/>
    <w:rsid w:val="00597B2C"/>
    <w:rsid w:val="005A0373"/>
    <w:rsid w:val="005A5EEE"/>
    <w:rsid w:val="005B1C59"/>
    <w:rsid w:val="005B27E7"/>
    <w:rsid w:val="005B40D6"/>
    <w:rsid w:val="005B432C"/>
    <w:rsid w:val="005C1366"/>
    <w:rsid w:val="005C1DFD"/>
    <w:rsid w:val="005C5045"/>
    <w:rsid w:val="005C7661"/>
    <w:rsid w:val="005D03AF"/>
    <w:rsid w:val="005D07E6"/>
    <w:rsid w:val="005D0C4F"/>
    <w:rsid w:val="005D2AC2"/>
    <w:rsid w:val="005D53B5"/>
    <w:rsid w:val="005E0BDF"/>
    <w:rsid w:val="005E1F8A"/>
    <w:rsid w:val="005E2CD7"/>
    <w:rsid w:val="005E47F5"/>
    <w:rsid w:val="005F2BA4"/>
    <w:rsid w:val="005F5377"/>
    <w:rsid w:val="005F632A"/>
    <w:rsid w:val="006003C0"/>
    <w:rsid w:val="00600DEB"/>
    <w:rsid w:val="00601FD9"/>
    <w:rsid w:val="00602D91"/>
    <w:rsid w:val="0060318E"/>
    <w:rsid w:val="00604698"/>
    <w:rsid w:val="006078C6"/>
    <w:rsid w:val="00607DE3"/>
    <w:rsid w:val="006136AB"/>
    <w:rsid w:val="00614CB2"/>
    <w:rsid w:val="00617107"/>
    <w:rsid w:val="00623440"/>
    <w:rsid w:val="0062453E"/>
    <w:rsid w:val="0062498A"/>
    <w:rsid w:val="00625E79"/>
    <w:rsid w:val="00627C36"/>
    <w:rsid w:val="00631351"/>
    <w:rsid w:val="00631714"/>
    <w:rsid w:val="0063739F"/>
    <w:rsid w:val="006375C7"/>
    <w:rsid w:val="00640393"/>
    <w:rsid w:val="00641AED"/>
    <w:rsid w:val="00643A16"/>
    <w:rsid w:val="00645C6E"/>
    <w:rsid w:val="006479D4"/>
    <w:rsid w:val="006510CD"/>
    <w:rsid w:val="00654E8F"/>
    <w:rsid w:val="006555B0"/>
    <w:rsid w:val="00656DB2"/>
    <w:rsid w:val="006607F8"/>
    <w:rsid w:val="00660D05"/>
    <w:rsid w:val="00662AFF"/>
    <w:rsid w:val="006676FD"/>
    <w:rsid w:val="00672E1A"/>
    <w:rsid w:val="00673311"/>
    <w:rsid w:val="00673C6C"/>
    <w:rsid w:val="00677F33"/>
    <w:rsid w:val="006800F2"/>
    <w:rsid w:val="006820B1"/>
    <w:rsid w:val="00685F54"/>
    <w:rsid w:val="00685FFF"/>
    <w:rsid w:val="006864C6"/>
    <w:rsid w:val="0068747D"/>
    <w:rsid w:val="00690359"/>
    <w:rsid w:val="00692A39"/>
    <w:rsid w:val="00694843"/>
    <w:rsid w:val="00696F41"/>
    <w:rsid w:val="006A1656"/>
    <w:rsid w:val="006A247B"/>
    <w:rsid w:val="006A6F76"/>
    <w:rsid w:val="006B3D4F"/>
    <w:rsid w:val="006B3ECC"/>
    <w:rsid w:val="006B5374"/>
    <w:rsid w:val="006B5389"/>
    <w:rsid w:val="006B674E"/>
    <w:rsid w:val="006B7D14"/>
    <w:rsid w:val="006C5C24"/>
    <w:rsid w:val="006C7E3D"/>
    <w:rsid w:val="006C7F3C"/>
    <w:rsid w:val="006D15CC"/>
    <w:rsid w:val="006D29C3"/>
    <w:rsid w:val="006D4783"/>
    <w:rsid w:val="006E6F8A"/>
    <w:rsid w:val="006E75AB"/>
    <w:rsid w:val="006F379B"/>
    <w:rsid w:val="006F4199"/>
    <w:rsid w:val="006F74CE"/>
    <w:rsid w:val="00700BF8"/>
    <w:rsid w:val="00701727"/>
    <w:rsid w:val="00702C30"/>
    <w:rsid w:val="00703B82"/>
    <w:rsid w:val="007040C6"/>
    <w:rsid w:val="00704C7A"/>
    <w:rsid w:val="0070566C"/>
    <w:rsid w:val="007101A1"/>
    <w:rsid w:val="0071394C"/>
    <w:rsid w:val="00714C50"/>
    <w:rsid w:val="007159E2"/>
    <w:rsid w:val="00721711"/>
    <w:rsid w:val="00724300"/>
    <w:rsid w:val="00724E7A"/>
    <w:rsid w:val="00725A7D"/>
    <w:rsid w:val="00725D2C"/>
    <w:rsid w:val="0072663B"/>
    <w:rsid w:val="00730A29"/>
    <w:rsid w:val="007328F1"/>
    <w:rsid w:val="00733889"/>
    <w:rsid w:val="00733B57"/>
    <w:rsid w:val="00733D2B"/>
    <w:rsid w:val="00737240"/>
    <w:rsid w:val="0074009B"/>
    <w:rsid w:val="00743BAF"/>
    <w:rsid w:val="00744828"/>
    <w:rsid w:val="007501BE"/>
    <w:rsid w:val="007521AD"/>
    <w:rsid w:val="00752A40"/>
    <w:rsid w:val="00752C5C"/>
    <w:rsid w:val="0075491D"/>
    <w:rsid w:val="00761885"/>
    <w:rsid w:val="00762005"/>
    <w:rsid w:val="00762F83"/>
    <w:rsid w:val="00763AC6"/>
    <w:rsid w:val="00764811"/>
    <w:rsid w:val="00765D39"/>
    <w:rsid w:val="00770B8F"/>
    <w:rsid w:val="00770F89"/>
    <w:rsid w:val="007734D1"/>
    <w:rsid w:val="007744F4"/>
    <w:rsid w:val="007758BB"/>
    <w:rsid w:val="007809F1"/>
    <w:rsid w:val="00790BB3"/>
    <w:rsid w:val="00793BAF"/>
    <w:rsid w:val="00795C0F"/>
    <w:rsid w:val="00796C12"/>
    <w:rsid w:val="00797B2D"/>
    <w:rsid w:val="007A0757"/>
    <w:rsid w:val="007A2B3A"/>
    <w:rsid w:val="007A4039"/>
    <w:rsid w:val="007A5E2F"/>
    <w:rsid w:val="007A5F0E"/>
    <w:rsid w:val="007A6F33"/>
    <w:rsid w:val="007A70FF"/>
    <w:rsid w:val="007B24CF"/>
    <w:rsid w:val="007B2A11"/>
    <w:rsid w:val="007B6250"/>
    <w:rsid w:val="007C206C"/>
    <w:rsid w:val="007C320B"/>
    <w:rsid w:val="007C4160"/>
    <w:rsid w:val="007C5833"/>
    <w:rsid w:val="007C6F27"/>
    <w:rsid w:val="007D0049"/>
    <w:rsid w:val="007D16F2"/>
    <w:rsid w:val="007D1765"/>
    <w:rsid w:val="007D1BAF"/>
    <w:rsid w:val="007D55EB"/>
    <w:rsid w:val="007E2517"/>
    <w:rsid w:val="007E7469"/>
    <w:rsid w:val="007F27F7"/>
    <w:rsid w:val="007F540D"/>
    <w:rsid w:val="0080028A"/>
    <w:rsid w:val="00801D6B"/>
    <w:rsid w:val="00803F83"/>
    <w:rsid w:val="008053AB"/>
    <w:rsid w:val="008065CB"/>
    <w:rsid w:val="00806AEA"/>
    <w:rsid w:val="00810D48"/>
    <w:rsid w:val="00811A43"/>
    <w:rsid w:val="00811C44"/>
    <w:rsid w:val="00812BE5"/>
    <w:rsid w:val="0081358B"/>
    <w:rsid w:val="0081362D"/>
    <w:rsid w:val="0081502E"/>
    <w:rsid w:val="00815255"/>
    <w:rsid w:val="008158FB"/>
    <w:rsid w:val="00815A2B"/>
    <w:rsid w:val="008161D2"/>
    <w:rsid w:val="00817DD6"/>
    <w:rsid w:val="00822B43"/>
    <w:rsid w:val="00823973"/>
    <w:rsid w:val="008264A7"/>
    <w:rsid w:val="008302C7"/>
    <w:rsid w:val="008312EE"/>
    <w:rsid w:val="00832CE3"/>
    <w:rsid w:val="00834E9C"/>
    <w:rsid w:val="0083759F"/>
    <w:rsid w:val="0084445F"/>
    <w:rsid w:val="00846B62"/>
    <w:rsid w:val="00851A5D"/>
    <w:rsid w:val="00855DB4"/>
    <w:rsid w:val="008620F5"/>
    <w:rsid w:val="00863AB8"/>
    <w:rsid w:val="0086518A"/>
    <w:rsid w:val="00867285"/>
    <w:rsid w:val="00867A68"/>
    <w:rsid w:val="00871138"/>
    <w:rsid w:val="008723A8"/>
    <w:rsid w:val="0087494D"/>
    <w:rsid w:val="0088395E"/>
    <w:rsid w:val="00885156"/>
    <w:rsid w:val="00885837"/>
    <w:rsid w:val="00885C58"/>
    <w:rsid w:val="00887788"/>
    <w:rsid w:val="008901EA"/>
    <w:rsid w:val="00893127"/>
    <w:rsid w:val="00894F97"/>
    <w:rsid w:val="008956A9"/>
    <w:rsid w:val="008969B0"/>
    <w:rsid w:val="0089735F"/>
    <w:rsid w:val="008973E4"/>
    <w:rsid w:val="008A0468"/>
    <w:rsid w:val="008A26A4"/>
    <w:rsid w:val="008B5160"/>
    <w:rsid w:val="008B73A5"/>
    <w:rsid w:val="008B7E7F"/>
    <w:rsid w:val="008C1427"/>
    <w:rsid w:val="008C2FB5"/>
    <w:rsid w:val="008C45C4"/>
    <w:rsid w:val="008C478A"/>
    <w:rsid w:val="008D0A96"/>
    <w:rsid w:val="008D2393"/>
    <w:rsid w:val="008E0D99"/>
    <w:rsid w:val="008E42C8"/>
    <w:rsid w:val="008E5EC7"/>
    <w:rsid w:val="008F5393"/>
    <w:rsid w:val="008F6444"/>
    <w:rsid w:val="009019F2"/>
    <w:rsid w:val="0090396A"/>
    <w:rsid w:val="0090618D"/>
    <w:rsid w:val="00907579"/>
    <w:rsid w:val="009113B6"/>
    <w:rsid w:val="00911B3D"/>
    <w:rsid w:val="0091313E"/>
    <w:rsid w:val="009151AA"/>
    <w:rsid w:val="009224B1"/>
    <w:rsid w:val="00923F20"/>
    <w:rsid w:val="009266DD"/>
    <w:rsid w:val="00926FB7"/>
    <w:rsid w:val="0092742C"/>
    <w:rsid w:val="00930A1F"/>
    <w:rsid w:val="0093429D"/>
    <w:rsid w:val="0093573D"/>
    <w:rsid w:val="009362B5"/>
    <w:rsid w:val="00937453"/>
    <w:rsid w:val="00941161"/>
    <w:rsid w:val="00942096"/>
    <w:rsid w:val="00943573"/>
    <w:rsid w:val="00943D62"/>
    <w:rsid w:val="00944569"/>
    <w:rsid w:val="00950354"/>
    <w:rsid w:val="009526D1"/>
    <w:rsid w:val="00954A6D"/>
    <w:rsid w:val="0096277E"/>
    <w:rsid w:val="009637A6"/>
    <w:rsid w:val="009639CE"/>
    <w:rsid w:val="00964134"/>
    <w:rsid w:val="0096506F"/>
    <w:rsid w:val="00965E76"/>
    <w:rsid w:val="009677FC"/>
    <w:rsid w:val="009708B4"/>
    <w:rsid w:val="00970F7D"/>
    <w:rsid w:val="00973BE8"/>
    <w:rsid w:val="00977EEC"/>
    <w:rsid w:val="00987C1A"/>
    <w:rsid w:val="009928BD"/>
    <w:rsid w:val="00994A3D"/>
    <w:rsid w:val="009A43C0"/>
    <w:rsid w:val="009A78FD"/>
    <w:rsid w:val="009B5AF8"/>
    <w:rsid w:val="009C0835"/>
    <w:rsid w:val="009C2B12"/>
    <w:rsid w:val="009C5874"/>
    <w:rsid w:val="009C6547"/>
    <w:rsid w:val="009C6EB1"/>
    <w:rsid w:val="009D252C"/>
    <w:rsid w:val="009D2EEB"/>
    <w:rsid w:val="009D708C"/>
    <w:rsid w:val="009E398E"/>
    <w:rsid w:val="009E5181"/>
    <w:rsid w:val="009E5945"/>
    <w:rsid w:val="009F1707"/>
    <w:rsid w:val="009F3962"/>
    <w:rsid w:val="009F3EB3"/>
    <w:rsid w:val="00A0045F"/>
    <w:rsid w:val="00A0487C"/>
    <w:rsid w:val="00A10D77"/>
    <w:rsid w:val="00A123D6"/>
    <w:rsid w:val="00A12BF4"/>
    <w:rsid w:val="00A174D9"/>
    <w:rsid w:val="00A2121B"/>
    <w:rsid w:val="00A21367"/>
    <w:rsid w:val="00A2288D"/>
    <w:rsid w:val="00A245D5"/>
    <w:rsid w:val="00A26921"/>
    <w:rsid w:val="00A2789B"/>
    <w:rsid w:val="00A3048F"/>
    <w:rsid w:val="00A305C1"/>
    <w:rsid w:val="00A33D6E"/>
    <w:rsid w:val="00A35845"/>
    <w:rsid w:val="00A365F8"/>
    <w:rsid w:val="00A43D0B"/>
    <w:rsid w:val="00A44F44"/>
    <w:rsid w:val="00A45424"/>
    <w:rsid w:val="00A50E73"/>
    <w:rsid w:val="00A5289B"/>
    <w:rsid w:val="00A53A27"/>
    <w:rsid w:val="00A53B59"/>
    <w:rsid w:val="00A53BF0"/>
    <w:rsid w:val="00A60B98"/>
    <w:rsid w:val="00A62E96"/>
    <w:rsid w:val="00A63D57"/>
    <w:rsid w:val="00A64EE4"/>
    <w:rsid w:val="00A73557"/>
    <w:rsid w:val="00A73A66"/>
    <w:rsid w:val="00A76232"/>
    <w:rsid w:val="00A7710B"/>
    <w:rsid w:val="00A82059"/>
    <w:rsid w:val="00A8719B"/>
    <w:rsid w:val="00A873A5"/>
    <w:rsid w:val="00A90907"/>
    <w:rsid w:val="00A94963"/>
    <w:rsid w:val="00A954DC"/>
    <w:rsid w:val="00A9630E"/>
    <w:rsid w:val="00A96327"/>
    <w:rsid w:val="00A967F8"/>
    <w:rsid w:val="00A96C0E"/>
    <w:rsid w:val="00AA0D84"/>
    <w:rsid w:val="00AA1556"/>
    <w:rsid w:val="00AA1AAD"/>
    <w:rsid w:val="00AA4D24"/>
    <w:rsid w:val="00AA7254"/>
    <w:rsid w:val="00AA7BE2"/>
    <w:rsid w:val="00AB03B8"/>
    <w:rsid w:val="00AB11B4"/>
    <w:rsid w:val="00AB3173"/>
    <w:rsid w:val="00AB6083"/>
    <w:rsid w:val="00AB6715"/>
    <w:rsid w:val="00AB700E"/>
    <w:rsid w:val="00AB7B53"/>
    <w:rsid w:val="00AC3105"/>
    <w:rsid w:val="00AC3684"/>
    <w:rsid w:val="00AC3B97"/>
    <w:rsid w:val="00AC6301"/>
    <w:rsid w:val="00AD0C19"/>
    <w:rsid w:val="00AD66A5"/>
    <w:rsid w:val="00AD7BCD"/>
    <w:rsid w:val="00AE100C"/>
    <w:rsid w:val="00AE18F1"/>
    <w:rsid w:val="00AE3CC8"/>
    <w:rsid w:val="00AE5372"/>
    <w:rsid w:val="00AE7F48"/>
    <w:rsid w:val="00AF10B8"/>
    <w:rsid w:val="00B032DE"/>
    <w:rsid w:val="00B0486D"/>
    <w:rsid w:val="00B06D90"/>
    <w:rsid w:val="00B07984"/>
    <w:rsid w:val="00B122AC"/>
    <w:rsid w:val="00B12A12"/>
    <w:rsid w:val="00B135B2"/>
    <w:rsid w:val="00B13C5A"/>
    <w:rsid w:val="00B15BFB"/>
    <w:rsid w:val="00B1671E"/>
    <w:rsid w:val="00B20A1A"/>
    <w:rsid w:val="00B2118B"/>
    <w:rsid w:val="00B21401"/>
    <w:rsid w:val="00B22771"/>
    <w:rsid w:val="00B238E7"/>
    <w:rsid w:val="00B24AAD"/>
    <w:rsid w:val="00B25EB8"/>
    <w:rsid w:val="00B26112"/>
    <w:rsid w:val="00B274AF"/>
    <w:rsid w:val="00B27EA3"/>
    <w:rsid w:val="00B30B2B"/>
    <w:rsid w:val="00B34406"/>
    <w:rsid w:val="00B34B1F"/>
    <w:rsid w:val="00B363A7"/>
    <w:rsid w:val="00B37A1A"/>
    <w:rsid w:val="00B37F4D"/>
    <w:rsid w:val="00B40FF6"/>
    <w:rsid w:val="00B43C47"/>
    <w:rsid w:val="00B45947"/>
    <w:rsid w:val="00B45E92"/>
    <w:rsid w:val="00B472C9"/>
    <w:rsid w:val="00B64A22"/>
    <w:rsid w:val="00B64C9E"/>
    <w:rsid w:val="00B64DE0"/>
    <w:rsid w:val="00B66118"/>
    <w:rsid w:val="00B716EF"/>
    <w:rsid w:val="00B726A3"/>
    <w:rsid w:val="00B831C2"/>
    <w:rsid w:val="00B8541C"/>
    <w:rsid w:val="00B92E6E"/>
    <w:rsid w:val="00BA056A"/>
    <w:rsid w:val="00BA6039"/>
    <w:rsid w:val="00BA61E1"/>
    <w:rsid w:val="00BA67BD"/>
    <w:rsid w:val="00BA6EAE"/>
    <w:rsid w:val="00BA77AD"/>
    <w:rsid w:val="00BB0449"/>
    <w:rsid w:val="00BB284A"/>
    <w:rsid w:val="00BC068E"/>
    <w:rsid w:val="00BC06B9"/>
    <w:rsid w:val="00BC0EBF"/>
    <w:rsid w:val="00BC2306"/>
    <w:rsid w:val="00BC468C"/>
    <w:rsid w:val="00BC5738"/>
    <w:rsid w:val="00BC6EDB"/>
    <w:rsid w:val="00BC71F3"/>
    <w:rsid w:val="00BC73FB"/>
    <w:rsid w:val="00BC7F95"/>
    <w:rsid w:val="00BD0107"/>
    <w:rsid w:val="00BD06C3"/>
    <w:rsid w:val="00BD2A65"/>
    <w:rsid w:val="00BD2B18"/>
    <w:rsid w:val="00BD3E99"/>
    <w:rsid w:val="00BD469A"/>
    <w:rsid w:val="00BD60E5"/>
    <w:rsid w:val="00BD6125"/>
    <w:rsid w:val="00BD7072"/>
    <w:rsid w:val="00BD7C50"/>
    <w:rsid w:val="00BD7F1A"/>
    <w:rsid w:val="00BE1B24"/>
    <w:rsid w:val="00BE1D08"/>
    <w:rsid w:val="00BE41E0"/>
    <w:rsid w:val="00BE5B4D"/>
    <w:rsid w:val="00BE626C"/>
    <w:rsid w:val="00BE62A7"/>
    <w:rsid w:val="00BF0290"/>
    <w:rsid w:val="00BF20C3"/>
    <w:rsid w:val="00BF3523"/>
    <w:rsid w:val="00BF54CA"/>
    <w:rsid w:val="00C00947"/>
    <w:rsid w:val="00C01CFA"/>
    <w:rsid w:val="00C0395A"/>
    <w:rsid w:val="00C04DA9"/>
    <w:rsid w:val="00C06205"/>
    <w:rsid w:val="00C07D8D"/>
    <w:rsid w:val="00C10226"/>
    <w:rsid w:val="00C12293"/>
    <w:rsid w:val="00C12C56"/>
    <w:rsid w:val="00C12FB8"/>
    <w:rsid w:val="00C20566"/>
    <w:rsid w:val="00C272B8"/>
    <w:rsid w:val="00C3108B"/>
    <w:rsid w:val="00C31D82"/>
    <w:rsid w:val="00C3424B"/>
    <w:rsid w:val="00C44CB5"/>
    <w:rsid w:val="00C44E27"/>
    <w:rsid w:val="00C462BE"/>
    <w:rsid w:val="00C500E8"/>
    <w:rsid w:val="00C51C8B"/>
    <w:rsid w:val="00C51E6D"/>
    <w:rsid w:val="00C52A7B"/>
    <w:rsid w:val="00C5391A"/>
    <w:rsid w:val="00C56BAF"/>
    <w:rsid w:val="00C60F99"/>
    <w:rsid w:val="00C61D33"/>
    <w:rsid w:val="00C6397B"/>
    <w:rsid w:val="00C64ABD"/>
    <w:rsid w:val="00C679AA"/>
    <w:rsid w:val="00C67F2D"/>
    <w:rsid w:val="00C71AF7"/>
    <w:rsid w:val="00C7254E"/>
    <w:rsid w:val="00C72F33"/>
    <w:rsid w:val="00C75972"/>
    <w:rsid w:val="00C76AE4"/>
    <w:rsid w:val="00C85833"/>
    <w:rsid w:val="00C85D67"/>
    <w:rsid w:val="00C9048A"/>
    <w:rsid w:val="00C90E25"/>
    <w:rsid w:val="00C91C8F"/>
    <w:rsid w:val="00C91DD7"/>
    <w:rsid w:val="00C92460"/>
    <w:rsid w:val="00C93F24"/>
    <w:rsid w:val="00C9428D"/>
    <w:rsid w:val="00CA0467"/>
    <w:rsid w:val="00CA06BF"/>
    <w:rsid w:val="00CA0D0E"/>
    <w:rsid w:val="00CA3957"/>
    <w:rsid w:val="00CA397D"/>
    <w:rsid w:val="00CA48F0"/>
    <w:rsid w:val="00CA4DD7"/>
    <w:rsid w:val="00CB3062"/>
    <w:rsid w:val="00CB31E3"/>
    <w:rsid w:val="00CB3442"/>
    <w:rsid w:val="00CB4882"/>
    <w:rsid w:val="00CB53F5"/>
    <w:rsid w:val="00CB7F51"/>
    <w:rsid w:val="00CC28DF"/>
    <w:rsid w:val="00CC3F07"/>
    <w:rsid w:val="00CC422F"/>
    <w:rsid w:val="00CC76B6"/>
    <w:rsid w:val="00CC7D1B"/>
    <w:rsid w:val="00CD066B"/>
    <w:rsid w:val="00CE34C1"/>
    <w:rsid w:val="00CE4959"/>
    <w:rsid w:val="00CE4A7F"/>
    <w:rsid w:val="00CE4FEE"/>
    <w:rsid w:val="00CF315C"/>
    <w:rsid w:val="00CF764C"/>
    <w:rsid w:val="00D04AE5"/>
    <w:rsid w:val="00D060CF"/>
    <w:rsid w:val="00D12285"/>
    <w:rsid w:val="00D12D69"/>
    <w:rsid w:val="00D17724"/>
    <w:rsid w:val="00D23E6E"/>
    <w:rsid w:val="00D25982"/>
    <w:rsid w:val="00D300D5"/>
    <w:rsid w:val="00D3785C"/>
    <w:rsid w:val="00D41B1E"/>
    <w:rsid w:val="00D44E22"/>
    <w:rsid w:val="00D45712"/>
    <w:rsid w:val="00D45BE9"/>
    <w:rsid w:val="00D4689A"/>
    <w:rsid w:val="00D54A82"/>
    <w:rsid w:val="00D57E45"/>
    <w:rsid w:val="00D60F1D"/>
    <w:rsid w:val="00D64977"/>
    <w:rsid w:val="00D67BBB"/>
    <w:rsid w:val="00D74861"/>
    <w:rsid w:val="00D76220"/>
    <w:rsid w:val="00D762F9"/>
    <w:rsid w:val="00D80330"/>
    <w:rsid w:val="00D80B14"/>
    <w:rsid w:val="00D87D5D"/>
    <w:rsid w:val="00D93FA7"/>
    <w:rsid w:val="00DA1DD3"/>
    <w:rsid w:val="00DA2382"/>
    <w:rsid w:val="00DA287A"/>
    <w:rsid w:val="00DA2D2D"/>
    <w:rsid w:val="00DA49EC"/>
    <w:rsid w:val="00DA4D4B"/>
    <w:rsid w:val="00DA5E70"/>
    <w:rsid w:val="00DB54B5"/>
    <w:rsid w:val="00DB59C3"/>
    <w:rsid w:val="00DB6947"/>
    <w:rsid w:val="00DC259A"/>
    <w:rsid w:val="00DC4566"/>
    <w:rsid w:val="00DC52DC"/>
    <w:rsid w:val="00DC6949"/>
    <w:rsid w:val="00DC6E4F"/>
    <w:rsid w:val="00DC6EDC"/>
    <w:rsid w:val="00DC7127"/>
    <w:rsid w:val="00DD0F54"/>
    <w:rsid w:val="00DD1E64"/>
    <w:rsid w:val="00DD508D"/>
    <w:rsid w:val="00DD5342"/>
    <w:rsid w:val="00DD69D5"/>
    <w:rsid w:val="00DD7BD7"/>
    <w:rsid w:val="00DD7CFA"/>
    <w:rsid w:val="00DE1772"/>
    <w:rsid w:val="00DE23E8"/>
    <w:rsid w:val="00DF46D3"/>
    <w:rsid w:val="00E00CB0"/>
    <w:rsid w:val="00E05DF8"/>
    <w:rsid w:val="00E06924"/>
    <w:rsid w:val="00E10C94"/>
    <w:rsid w:val="00E13208"/>
    <w:rsid w:val="00E1469F"/>
    <w:rsid w:val="00E150BD"/>
    <w:rsid w:val="00E22134"/>
    <w:rsid w:val="00E227DB"/>
    <w:rsid w:val="00E22E1F"/>
    <w:rsid w:val="00E25147"/>
    <w:rsid w:val="00E2693F"/>
    <w:rsid w:val="00E32F3D"/>
    <w:rsid w:val="00E3633F"/>
    <w:rsid w:val="00E36DBC"/>
    <w:rsid w:val="00E405A3"/>
    <w:rsid w:val="00E4564C"/>
    <w:rsid w:val="00E45A85"/>
    <w:rsid w:val="00E46981"/>
    <w:rsid w:val="00E52377"/>
    <w:rsid w:val="00E52720"/>
    <w:rsid w:val="00E536A7"/>
    <w:rsid w:val="00E537AD"/>
    <w:rsid w:val="00E6052C"/>
    <w:rsid w:val="00E6099F"/>
    <w:rsid w:val="00E616C0"/>
    <w:rsid w:val="00E625F0"/>
    <w:rsid w:val="00E64E17"/>
    <w:rsid w:val="00E66AA6"/>
    <w:rsid w:val="00E728AB"/>
    <w:rsid w:val="00E76A12"/>
    <w:rsid w:val="00E771EA"/>
    <w:rsid w:val="00E82729"/>
    <w:rsid w:val="00E85221"/>
    <w:rsid w:val="00E85A77"/>
    <w:rsid w:val="00E866C9"/>
    <w:rsid w:val="00E87471"/>
    <w:rsid w:val="00E90643"/>
    <w:rsid w:val="00E91014"/>
    <w:rsid w:val="00E92BE7"/>
    <w:rsid w:val="00E942A4"/>
    <w:rsid w:val="00EA2BAF"/>
    <w:rsid w:val="00EA369B"/>
    <w:rsid w:val="00EA3D3C"/>
    <w:rsid w:val="00EA4B1E"/>
    <w:rsid w:val="00EB046D"/>
    <w:rsid w:val="00EB06B1"/>
    <w:rsid w:val="00EB2190"/>
    <w:rsid w:val="00EB591C"/>
    <w:rsid w:val="00EC090A"/>
    <w:rsid w:val="00EC202C"/>
    <w:rsid w:val="00EC2B70"/>
    <w:rsid w:val="00ED0744"/>
    <w:rsid w:val="00ED0FDB"/>
    <w:rsid w:val="00ED1CD7"/>
    <w:rsid w:val="00ED20B5"/>
    <w:rsid w:val="00ED7A80"/>
    <w:rsid w:val="00EE3680"/>
    <w:rsid w:val="00EE427A"/>
    <w:rsid w:val="00EE74C3"/>
    <w:rsid w:val="00EF2F59"/>
    <w:rsid w:val="00EF3041"/>
    <w:rsid w:val="00EF3C13"/>
    <w:rsid w:val="00EF44F6"/>
    <w:rsid w:val="00EF52DA"/>
    <w:rsid w:val="00F02E80"/>
    <w:rsid w:val="00F039F0"/>
    <w:rsid w:val="00F064F9"/>
    <w:rsid w:val="00F07543"/>
    <w:rsid w:val="00F07FBF"/>
    <w:rsid w:val="00F12672"/>
    <w:rsid w:val="00F13AFB"/>
    <w:rsid w:val="00F15C63"/>
    <w:rsid w:val="00F22DA7"/>
    <w:rsid w:val="00F26007"/>
    <w:rsid w:val="00F31945"/>
    <w:rsid w:val="00F31FBC"/>
    <w:rsid w:val="00F327DE"/>
    <w:rsid w:val="00F32CE8"/>
    <w:rsid w:val="00F407F6"/>
    <w:rsid w:val="00F41EAE"/>
    <w:rsid w:val="00F449DE"/>
    <w:rsid w:val="00F45CB8"/>
    <w:rsid w:val="00F46900"/>
    <w:rsid w:val="00F52F84"/>
    <w:rsid w:val="00F55AA5"/>
    <w:rsid w:val="00F60C09"/>
    <w:rsid w:val="00F619A1"/>
    <w:rsid w:val="00F61D89"/>
    <w:rsid w:val="00F61EC1"/>
    <w:rsid w:val="00F63F1C"/>
    <w:rsid w:val="00F65775"/>
    <w:rsid w:val="00F66C6E"/>
    <w:rsid w:val="00F7092E"/>
    <w:rsid w:val="00F71642"/>
    <w:rsid w:val="00F71F18"/>
    <w:rsid w:val="00F72716"/>
    <w:rsid w:val="00F76669"/>
    <w:rsid w:val="00F84BE2"/>
    <w:rsid w:val="00F85672"/>
    <w:rsid w:val="00F863AA"/>
    <w:rsid w:val="00F92D3C"/>
    <w:rsid w:val="00F96164"/>
    <w:rsid w:val="00FA0D01"/>
    <w:rsid w:val="00FA23AF"/>
    <w:rsid w:val="00FA3155"/>
    <w:rsid w:val="00FA35DA"/>
    <w:rsid w:val="00FA72DE"/>
    <w:rsid w:val="00FB3CDD"/>
    <w:rsid w:val="00FB4686"/>
    <w:rsid w:val="00FB5396"/>
    <w:rsid w:val="00FB654D"/>
    <w:rsid w:val="00FB75D9"/>
    <w:rsid w:val="00FC26C6"/>
    <w:rsid w:val="00FC384C"/>
    <w:rsid w:val="00FC526D"/>
    <w:rsid w:val="00FC5D72"/>
    <w:rsid w:val="00FD0F1B"/>
    <w:rsid w:val="00FD18E4"/>
    <w:rsid w:val="00FD2425"/>
    <w:rsid w:val="00FD2F19"/>
    <w:rsid w:val="00FD35AF"/>
    <w:rsid w:val="00FD7749"/>
    <w:rsid w:val="00FE0465"/>
    <w:rsid w:val="00FE090C"/>
    <w:rsid w:val="00FE369E"/>
    <w:rsid w:val="00FE411B"/>
    <w:rsid w:val="00FF4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7053"/>
  <w15:chartTrackingRefBased/>
  <w15:docId w15:val="{A5BDB40A-EBC1-440E-B955-C15B81C7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lang w:val="en-US"/>
    </w:rPr>
  </w:style>
  <w:style w:type="paragraph" w:styleId="Ttulo1">
    <w:name w:val="heading 1"/>
    <w:basedOn w:val="PargrafodaLista"/>
    <w:next w:val="Normal"/>
    <w:link w:val="Ttulo1Char"/>
    <w:uiPriority w:val="2"/>
    <w:qFormat/>
    <w:rsid w:val="00AB6715"/>
    <w:pPr>
      <w:numPr>
        <w:numId w:val="8"/>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8"/>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2"/>
    <w:rsid w:val="00C44CB5"/>
    <w:rPr>
      <w:rFonts w:ascii="Times New Roman" w:eastAsia="Cambria" w:hAnsi="Times New Roman" w:cs="Times New Roman"/>
      <w:b/>
      <w:sz w:val="24"/>
      <w:szCs w:val="24"/>
      <w:lang w:val="en-US"/>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C44CB5"/>
    <w:rPr>
      <w:rFonts w:ascii="Times New Roman" w:hAnsi="Times New Roman"/>
      <w:b/>
      <w:sz w:val="24"/>
      <w:lang w:val="en-US"/>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C44CB5"/>
    <w:rPr>
      <w:rFonts w:ascii="Times New Roman" w:hAnsi="Times New Roman"/>
      <w:sz w:val="24"/>
      <w:lang w:val="en-US"/>
    </w:rPr>
  </w:style>
  <w:style w:type="paragraph" w:styleId="Bibliografia">
    <w:name w:val="Bibliography"/>
    <w:basedOn w:val="Normal"/>
    <w:next w:val="Normal"/>
    <w:uiPriority w:val="37"/>
    <w:unhideWhenUsed/>
    <w:rsid w:val="00A3048F"/>
    <w:pPr>
      <w:tabs>
        <w:tab w:val="left" w:pos="384"/>
      </w:tabs>
      <w:ind w:left="384" w:hanging="384"/>
    </w:pPr>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A2BAF"/>
    <w:rPr>
      <w:rFonts w:ascii="Tahoma" w:hAnsi="Tahoma" w:cs="Tahoma"/>
      <w:sz w:val="16"/>
      <w:szCs w:val="16"/>
      <w:lang w:val="en-US"/>
    </w:rPr>
  </w:style>
  <w:style w:type="character" w:styleId="Hyperlink">
    <w:name w:val="Hyperlink"/>
    <w:basedOn w:val="Fontepargpadro"/>
    <w:uiPriority w:val="99"/>
    <w:unhideWhenUsed/>
    <w:rsid w:val="00B20A1A"/>
    <w:rPr>
      <w:color w:val="0000FF"/>
      <w:u w:val="single"/>
    </w:rPr>
  </w:style>
  <w:style w:type="character" w:styleId="Refdecomentrio">
    <w:name w:val="annotation reference"/>
    <w:basedOn w:val="Fontepargpadro"/>
    <w:uiPriority w:val="99"/>
    <w:semiHidden/>
    <w:unhideWhenUsed/>
    <w:rsid w:val="00546C5D"/>
    <w:rPr>
      <w:sz w:val="16"/>
      <w:szCs w:val="16"/>
    </w:rPr>
  </w:style>
  <w:style w:type="paragraph" w:styleId="Textodecomentrio">
    <w:name w:val="annotation text"/>
    <w:basedOn w:val="Normal"/>
    <w:link w:val="TextodecomentrioChar"/>
    <w:uiPriority w:val="99"/>
    <w:unhideWhenUsed/>
    <w:rsid w:val="00AB6715"/>
    <w:rPr>
      <w:sz w:val="20"/>
      <w:szCs w:val="20"/>
    </w:rPr>
  </w:style>
  <w:style w:type="character" w:customStyle="1" w:styleId="TextodecomentrioChar">
    <w:name w:val="Texto de comentário Char"/>
    <w:basedOn w:val="Fontepargpadro"/>
    <w:link w:val="Textodecomentrio"/>
    <w:uiPriority w:val="99"/>
    <w:rsid w:val="00546C5D"/>
    <w:rPr>
      <w:rFonts w:ascii="Times New Roman" w:hAnsi="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546C5D"/>
    <w:rPr>
      <w:b/>
      <w:bCs/>
    </w:rPr>
  </w:style>
  <w:style w:type="character" w:customStyle="1" w:styleId="AssuntodocomentrioChar">
    <w:name w:val="Assunto do comentário Char"/>
    <w:basedOn w:val="TextodecomentrioChar"/>
    <w:link w:val="Assuntodocomentrio"/>
    <w:uiPriority w:val="99"/>
    <w:semiHidden/>
    <w:rsid w:val="00546C5D"/>
    <w:rPr>
      <w:rFonts w:ascii="Times New Roman" w:hAnsi="Times New Roman"/>
      <w:b/>
      <w:bCs/>
      <w:sz w:val="20"/>
      <w:szCs w:val="20"/>
      <w:lang w:val="en-US"/>
    </w:rPr>
  </w:style>
  <w:style w:type="paragraph" w:customStyle="1" w:styleId="pf0">
    <w:name w:val="pf0"/>
    <w:basedOn w:val="Normal"/>
    <w:rsid w:val="001D58CB"/>
    <w:pPr>
      <w:spacing w:before="100" w:beforeAutospacing="1" w:after="100" w:afterAutospacing="1"/>
    </w:pPr>
    <w:rPr>
      <w:rFonts w:eastAsia="Times New Roman" w:cs="Times New Roman"/>
      <w:szCs w:val="24"/>
      <w:lang w:eastAsia="pt-BR"/>
    </w:rPr>
  </w:style>
  <w:style w:type="character" w:customStyle="1" w:styleId="cf01">
    <w:name w:val="cf01"/>
    <w:basedOn w:val="Fontepargpadro"/>
    <w:rsid w:val="001D58CB"/>
    <w:rPr>
      <w:rFonts w:ascii="Segoe UI" w:hAnsi="Segoe UI" w:cs="Segoe UI" w:hint="default"/>
      <w:sz w:val="18"/>
      <w:szCs w:val="18"/>
    </w:rPr>
  </w:style>
  <w:style w:type="paragraph" w:styleId="Reviso">
    <w:name w:val="Revision"/>
    <w:hidden/>
    <w:uiPriority w:val="99"/>
    <w:semiHidden/>
    <w:rsid w:val="00C04DA9"/>
    <w:pPr>
      <w:spacing w:after="0" w:line="240" w:lineRule="auto"/>
    </w:pPr>
  </w:style>
  <w:style w:type="character" w:customStyle="1" w:styleId="Ttulo1Char">
    <w:name w:val="Título 1 Char"/>
    <w:basedOn w:val="Fontepargpadro"/>
    <w:link w:val="Ttulo1"/>
    <w:uiPriority w:val="2"/>
    <w:rsid w:val="008A26A4"/>
    <w:rPr>
      <w:rFonts w:ascii="Times New Roman" w:eastAsia="Cambria" w:hAnsi="Times New Roman" w:cs="Times New Roman"/>
      <w:b/>
      <w:sz w:val="24"/>
      <w:szCs w:val="24"/>
      <w:lang w:val="en-US"/>
    </w:rPr>
  </w:style>
  <w:style w:type="character" w:customStyle="1" w:styleId="Ttulo3Char">
    <w:name w:val="Título 3 Char"/>
    <w:basedOn w:val="Fontepargpadro"/>
    <w:link w:val="Ttulo3"/>
    <w:uiPriority w:val="2"/>
    <w:rsid w:val="008A26A4"/>
    <w:rPr>
      <w:rFonts w:ascii="Times New Roman" w:eastAsiaTheme="majorEastAsia" w:hAnsi="Times New Roman" w:cstheme="majorBidi"/>
      <w:b/>
      <w:sz w:val="24"/>
      <w:szCs w:val="24"/>
      <w:lang w:val="en-US"/>
    </w:rPr>
  </w:style>
  <w:style w:type="character" w:customStyle="1" w:styleId="Ttulo4Char">
    <w:name w:val="Título 4 Char"/>
    <w:basedOn w:val="Fontepargpadro"/>
    <w:link w:val="Ttulo4"/>
    <w:uiPriority w:val="2"/>
    <w:rsid w:val="008A26A4"/>
    <w:rPr>
      <w:rFonts w:ascii="Times New Roman" w:eastAsiaTheme="majorEastAsia" w:hAnsi="Times New Roman" w:cstheme="majorBidi"/>
      <w:b/>
      <w:iCs/>
      <w:sz w:val="24"/>
      <w:szCs w:val="24"/>
      <w:lang w:val="en-US"/>
    </w:rPr>
  </w:style>
  <w:style w:type="character" w:customStyle="1" w:styleId="Ttulo5Char">
    <w:name w:val="Título 5 Char"/>
    <w:basedOn w:val="Fontepargpadro"/>
    <w:link w:val="Ttulo5"/>
    <w:uiPriority w:val="2"/>
    <w:rsid w:val="008A26A4"/>
    <w:rPr>
      <w:rFonts w:ascii="Times New Roman" w:eastAsiaTheme="majorEastAsia" w:hAnsi="Times New Roman" w:cstheme="majorBidi"/>
      <w:b/>
      <w:iCs/>
      <w:sz w:val="24"/>
      <w:szCs w:val="24"/>
      <w:lang w:val="en-US"/>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8A26A4"/>
    <w:rPr>
      <w:rFonts w:ascii="Times New Roman" w:hAnsi="Times New Roman" w:cs="Times New Roman"/>
      <w:b/>
      <w:sz w:val="24"/>
      <w:szCs w:val="24"/>
      <w:lang w:val="en-US"/>
    </w:rPr>
  </w:style>
  <w:style w:type="paragraph" w:customStyle="1" w:styleId="AuthorList">
    <w:name w:val="Author List"/>
    <w:aliases w:val="Keywords,Abstract"/>
    <w:basedOn w:val="Subttulo"/>
    <w:next w:val="Normal"/>
    <w:uiPriority w:val="1"/>
    <w:qFormat/>
    <w:rsid w:val="008A26A4"/>
  </w:style>
  <w:style w:type="character" w:styleId="TtulodoLivro">
    <w:name w:val="Book Title"/>
    <w:basedOn w:val="Fontepargpadro"/>
    <w:uiPriority w:val="33"/>
    <w:qFormat/>
    <w:rsid w:val="008A26A4"/>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8A26A4"/>
    <w:pPr>
      <w:spacing w:after="0" w:line="240" w:lineRule="auto"/>
    </w:pPr>
    <w:rPr>
      <w:rFonts w:ascii="Times New Roman" w:hAnsi="Times New Roman"/>
      <w:sz w:val="24"/>
      <w:lang w:val="en-US"/>
    </w:rPr>
  </w:style>
  <w:style w:type="character" w:styleId="nfase">
    <w:name w:val="Emphasis"/>
    <w:basedOn w:val="Fontepargpadro"/>
    <w:uiPriority w:val="20"/>
    <w:qFormat/>
    <w:rsid w:val="008A26A4"/>
    <w:rPr>
      <w:rFonts w:ascii="Times New Roman" w:hAnsi="Times New Roman"/>
      <w:i/>
      <w:iCs/>
    </w:rPr>
  </w:style>
  <w:style w:type="character" w:styleId="Refdenotadefim">
    <w:name w:val="endnote reference"/>
    <w:basedOn w:val="Fontepargpadro"/>
    <w:uiPriority w:val="99"/>
    <w:semiHidden/>
    <w:unhideWhenUsed/>
    <w:rsid w:val="008A26A4"/>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8A26A4"/>
    <w:rPr>
      <w:rFonts w:ascii="Times New Roman" w:hAnsi="Times New Roman"/>
      <w:sz w:val="20"/>
      <w:szCs w:val="20"/>
      <w:lang w:val="en-US"/>
    </w:rPr>
  </w:style>
  <w:style w:type="character" w:styleId="HiperlinkVisitado">
    <w:name w:val="FollowedHyperlink"/>
    <w:basedOn w:val="Fontepargpadro"/>
    <w:uiPriority w:val="99"/>
    <w:semiHidden/>
    <w:unhideWhenUsed/>
    <w:rsid w:val="008A26A4"/>
    <w:rPr>
      <w:color w:val="954F72" w:themeColor="followedHyperlink"/>
      <w:u w:val="single"/>
    </w:rPr>
  </w:style>
  <w:style w:type="character" w:styleId="Refdenotaderodap">
    <w:name w:val="footnote reference"/>
    <w:basedOn w:val="Fontepargpadro"/>
    <w:uiPriority w:val="99"/>
    <w:semiHidden/>
    <w:unhideWhenUsed/>
    <w:rsid w:val="008A26A4"/>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8A26A4"/>
    <w:rPr>
      <w:rFonts w:ascii="Times New Roman" w:hAnsi="Times New Roman"/>
      <w:sz w:val="20"/>
      <w:szCs w:val="20"/>
      <w:lang w:val="en-US"/>
    </w:rPr>
  </w:style>
  <w:style w:type="paragraph" w:styleId="PargrafodaLista">
    <w:name w:val="List Paragraph"/>
    <w:basedOn w:val="Normal"/>
    <w:uiPriority w:val="3"/>
    <w:qFormat/>
    <w:rsid w:val="00AB6715"/>
    <w:pPr>
      <w:numPr>
        <w:numId w:val="6"/>
      </w:numPr>
      <w:contextualSpacing/>
    </w:pPr>
    <w:rPr>
      <w:rFonts w:eastAsia="Cambria" w:cs="Times New Roman"/>
      <w:szCs w:val="24"/>
    </w:rPr>
  </w:style>
  <w:style w:type="numbering" w:customStyle="1" w:styleId="Headings">
    <w:name w:val="Headings"/>
    <w:uiPriority w:val="99"/>
    <w:rsid w:val="008A26A4"/>
    <w:pPr>
      <w:numPr>
        <w:numId w:val="8"/>
      </w:numPr>
    </w:pPr>
  </w:style>
  <w:style w:type="character" w:styleId="nfaseIntensa">
    <w:name w:val="Intense Emphasis"/>
    <w:basedOn w:val="Fontepargpadro"/>
    <w:uiPriority w:val="21"/>
    <w:unhideWhenUsed/>
    <w:rsid w:val="008A26A4"/>
    <w:rPr>
      <w:rFonts w:ascii="Times New Roman" w:hAnsi="Times New Roman"/>
      <w:i/>
      <w:iCs/>
      <w:color w:val="auto"/>
    </w:rPr>
  </w:style>
  <w:style w:type="character" w:styleId="RefernciaIntensa">
    <w:name w:val="Intense Reference"/>
    <w:basedOn w:val="Fontepargpadro"/>
    <w:uiPriority w:val="32"/>
    <w:qFormat/>
    <w:rsid w:val="008A26A4"/>
    <w:rPr>
      <w:b/>
      <w:bCs/>
      <w:smallCaps/>
      <w:color w:val="auto"/>
      <w:spacing w:val="5"/>
    </w:rPr>
  </w:style>
  <w:style w:type="character" w:styleId="Nmerodelinha">
    <w:name w:val="line number"/>
    <w:basedOn w:val="Fontepargpadro"/>
    <w:uiPriority w:val="99"/>
    <w:semiHidden/>
    <w:unhideWhenUsed/>
    <w:rsid w:val="008A26A4"/>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A26A4"/>
    <w:rPr>
      <w:rFonts w:ascii="Times New Roman" w:hAnsi="Times New Roman"/>
      <w:i/>
      <w:iCs/>
      <w:color w:val="404040" w:themeColor="text1" w:themeTint="BF"/>
      <w:sz w:val="24"/>
      <w:lang w:val="en-US"/>
    </w:rPr>
  </w:style>
  <w:style w:type="character" w:styleId="Forte">
    <w:name w:val="Strong"/>
    <w:basedOn w:val="Fontepargpadro"/>
    <w:uiPriority w:val="22"/>
    <w:qFormat/>
    <w:rsid w:val="008A26A4"/>
    <w:rPr>
      <w:rFonts w:ascii="Times New Roman" w:hAnsi="Times New Roman"/>
      <w:b/>
      <w:bCs/>
    </w:rPr>
  </w:style>
  <w:style w:type="character" w:styleId="nfaseSutil">
    <w:name w:val="Subtle Emphasis"/>
    <w:basedOn w:val="Fontepargpadro"/>
    <w:uiPriority w:val="19"/>
    <w:qFormat/>
    <w:rsid w:val="008A26A4"/>
    <w:rPr>
      <w:rFonts w:ascii="Times New Roman" w:hAnsi="Times New Roman"/>
      <w:i/>
      <w:iCs/>
      <w:color w:val="404040" w:themeColor="text1" w:themeTint="BF"/>
    </w:rPr>
  </w:style>
  <w:style w:type="table" w:styleId="Tabelacomgrade">
    <w:name w:val="Table Grid"/>
    <w:basedOn w:val="Tabelanormal"/>
    <w:uiPriority w:val="59"/>
    <w:rsid w:val="008A26A4"/>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8A26A4"/>
    <w:rPr>
      <w:rFonts w:ascii="Times New Roman" w:hAnsi="Times New Roman" w:cs="Times New Roman"/>
      <w:b/>
      <w:sz w:val="32"/>
      <w:szCs w:val="32"/>
      <w:lang w:val="en-US"/>
    </w:rPr>
  </w:style>
  <w:style w:type="paragraph" w:customStyle="1" w:styleId="SupplementaryMaterial">
    <w:name w:val="Supplementary Material"/>
    <w:basedOn w:val="Ttulo"/>
    <w:next w:val="Ttulo"/>
    <w:qFormat/>
    <w:rsid w:val="008A26A4"/>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887">
      <w:bodyDiv w:val="1"/>
      <w:marLeft w:val="0"/>
      <w:marRight w:val="0"/>
      <w:marTop w:val="0"/>
      <w:marBottom w:val="0"/>
      <w:divBdr>
        <w:top w:val="none" w:sz="0" w:space="0" w:color="auto"/>
        <w:left w:val="none" w:sz="0" w:space="0" w:color="auto"/>
        <w:bottom w:val="none" w:sz="0" w:space="0" w:color="auto"/>
        <w:right w:val="none" w:sz="0" w:space="0" w:color="auto"/>
      </w:divBdr>
    </w:div>
    <w:div w:id="224072720">
      <w:bodyDiv w:val="1"/>
      <w:marLeft w:val="0"/>
      <w:marRight w:val="0"/>
      <w:marTop w:val="0"/>
      <w:marBottom w:val="0"/>
      <w:divBdr>
        <w:top w:val="none" w:sz="0" w:space="0" w:color="auto"/>
        <w:left w:val="none" w:sz="0" w:space="0" w:color="auto"/>
        <w:bottom w:val="none" w:sz="0" w:space="0" w:color="auto"/>
        <w:right w:val="none" w:sz="0" w:space="0" w:color="auto"/>
      </w:divBdr>
    </w:div>
    <w:div w:id="258026338">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37119343">
      <w:bodyDiv w:val="1"/>
      <w:marLeft w:val="0"/>
      <w:marRight w:val="0"/>
      <w:marTop w:val="0"/>
      <w:marBottom w:val="0"/>
      <w:divBdr>
        <w:top w:val="none" w:sz="0" w:space="0" w:color="auto"/>
        <w:left w:val="none" w:sz="0" w:space="0" w:color="auto"/>
        <w:bottom w:val="none" w:sz="0" w:space="0" w:color="auto"/>
        <w:right w:val="none" w:sz="0" w:space="0" w:color="auto"/>
      </w:divBdr>
    </w:div>
    <w:div w:id="420030569">
      <w:bodyDiv w:val="1"/>
      <w:marLeft w:val="0"/>
      <w:marRight w:val="0"/>
      <w:marTop w:val="0"/>
      <w:marBottom w:val="0"/>
      <w:divBdr>
        <w:top w:val="none" w:sz="0" w:space="0" w:color="auto"/>
        <w:left w:val="none" w:sz="0" w:space="0" w:color="auto"/>
        <w:bottom w:val="none" w:sz="0" w:space="0" w:color="auto"/>
        <w:right w:val="none" w:sz="0" w:space="0" w:color="auto"/>
      </w:divBdr>
    </w:div>
    <w:div w:id="421606249">
      <w:bodyDiv w:val="1"/>
      <w:marLeft w:val="0"/>
      <w:marRight w:val="0"/>
      <w:marTop w:val="0"/>
      <w:marBottom w:val="0"/>
      <w:divBdr>
        <w:top w:val="none" w:sz="0" w:space="0" w:color="auto"/>
        <w:left w:val="none" w:sz="0" w:space="0" w:color="auto"/>
        <w:bottom w:val="none" w:sz="0" w:space="0" w:color="auto"/>
        <w:right w:val="none" w:sz="0" w:space="0" w:color="auto"/>
      </w:divBdr>
    </w:div>
    <w:div w:id="485706190">
      <w:bodyDiv w:val="1"/>
      <w:marLeft w:val="0"/>
      <w:marRight w:val="0"/>
      <w:marTop w:val="0"/>
      <w:marBottom w:val="0"/>
      <w:divBdr>
        <w:top w:val="none" w:sz="0" w:space="0" w:color="auto"/>
        <w:left w:val="none" w:sz="0" w:space="0" w:color="auto"/>
        <w:bottom w:val="none" w:sz="0" w:space="0" w:color="auto"/>
        <w:right w:val="none" w:sz="0" w:space="0" w:color="auto"/>
      </w:divBdr>
    </w:div>
    <w:div w:id="681317641">
      <w:bodyDiv w:val="1"/>
      <w:marLeft w:val="0"/>
      <w:marRight w:val="0"/>
      <w:marTop w:val="0"/>
      <w:marBottom w:val="0"/>
      <w:divBdr>
        <w:top w:val="none" w:sz="0" w:space="0" w:color="auto"/>
        <w:left w:val="none" w:sz="0" w:space="0" w:color="auto"/>
        <w:bottom w:val="none" w:sz="0" w:space="0" w:color="auto"/>
        <w:right w:val="none" w:sz="0" w:space="0" w:color="auto"/>
      </w:divBdr>
    </w:div>
    <w:div w:id="929504863">
      <w:bodyDiv w:val="1"/>
      <w:marLeft w:val="0"/>
      <w:marRight w:val="0"/>
      <w:marTop w:val="0"/>
      <w:marBottom w:val="0"/>
      <w:divBdr>
        <w:top w:val="none" w:sz="0" w:space="0" w:color="auto"/>
        <w:left w:val="none" w:sz="0" w:space="0" w:color="auto"/>
        <w:bottom w:val="none" w:sz="0" w:space="0" w:color="auto"/>
        <w:right w:val="none" w:sz="0" w:space="0" w:color="auto"/>
      </w:divBdr>
    </w:div>
    <w:div w:id="1198665950">
      <w:bodyDiv w:val="1"/>
      <w:marLeft w:val="0"/>
      <w:marRight w:val="0"/>
      <w:marTop w:val="0"/>
      <w:marBottom w:val="0"/>
      <w:divBdr>
        <w:top w:val="none" w:sz="0" w:space="0" w:color="auto"/>
        <w:left w:val="none" w:sz="0" w:space="0" w:color="auto"/>
        <w:bottom w:val="none" w:sz="0" w:space="0" w:color="auto"/>
        <w:right w:val="none" w:sz="0" w:space="0" w:color="auto"/>
      </w:divBdr>
    </w:div>
    <w:div w:id="1219433552">
      <w:bodyDiv w:val="1"/>
      <w:marLeft w:val="0"/>
      <w:marRight w:val="0"/>
      <w:marTop w:val="0"/>
      <w:marBottom w:val="0"/>
      <w:divBdr>
        <w:top w:val="none" w:sz="0" w:space="0" w:color="auto"/>
        <w:left w:val="none" w:sz="0" w:space="0" w:color="auto"/>
        <w:bottom w:val="none" w:sz="0" w:space="0" w:color="auto"/>
        <w:right w:val="none" w:sz="0" w:space="0" w:color="auto"/>
      </w:divBdr>
    </w:div>
    <w:div w:id="1250890608">
      <w:bodyDiv w:val="1"/>
      <w:marLeft w:val="0"/>
      <w:marRight w:val="0"/>
      <w:marTop w:val="0"/>
      <w:marBottom w:val="0"/>
      <w:divBdr>
        <w:top w:val="none" w:sz="0" w:space="0" w:color="auto"/>
        <w:left w:val="none" w:sz="0" w:space="0" w:color="auto"/>
        <w:bottom w:val="none" w:sz="0" w:space="0" w:color="auto"/>
        <w:right w:val="none" w:sz="0" w:space="0" w:color="auto"/>
      </w:divBdr>
      <w:divsChild>
        <w:div w:id="935940240">
          <w:marLeft w:val="0"/>
          <w:marRight w:val="0"/>
          <w:marTop w:val="0"/>
          <w:marBottom w:val="0"/>
          <w:divBdr>
            <w:top w:val="none" w:sz="0" w:space="0" w:color="auto"/>
            <w:left w:val="none" w:sz="0" w:space="0" w:color="auto"/>
            <w:bottom w:val="none" w:sz="0" w:space="0" w:color="auto"/>
            <w:right w:val="none" w:sz="0" w:space="0" w:color="auto"/>
          </w:divBdr>
          <w:divsChild>
            <w:div w:id="170030472">
              <w:marLeft w:val="0"/>
              <w:marRight w:val="0"/>
              <w:marTop w:val="0"/>
              <w:marBottom w:val="240"/>
              <w:divBdr>
                <w:top w:val="none" w:sz="0" w:space="0" w:color="auto"/>
                <w:left w:val="none" w:sz="0" w:space="0" w:color="auto"/>
                <w:bottom w:val="none" w:sz="0" w:space="0" w:color="auto"/>
                <w:right w:val="none" w:sz="0" w:space="0" w:color="auto"/>
              </w:divBdr>
              <w:divsChild>
                <w:div w:id="2072343687">
                  <w:marLeft w:val="600"/>
                  <w:marRight w:val="96"/>
                  <w:marTop w:val="0"/>
                  <w:marBottom w:val="0"/>
                  <w:divBdr>
                    <w:top w:val="none" w:sz="0" w:space="0" w:color="auto"/>
                    <w:left w:val="none" w:sz="0" w:space="0" w:color="auto"/>
                    <w:bottom w:val="none" w:sz="0" w:space="0" w:color="auto"/>
                    <w:right w:val="none" w:sz="0" w:space="0" w:color="auto"/>
                  </w:divBdr>
                </w:div>
              </w:divsChild>
            </w:div>
            <w:div w:id="398597442">
              <w:marLeft w:val="0"/>
              <w:marRight w:val="0"/>
              <w:marTop w:val="0"/>
              <w:marBottom w:val="240"/>
              <w:divBdr>
                <w:top w:val="none" w:sz="0" w:space="0" w:color="auto"/>
                <w:left w:val="none" w:sz="0" w:space="0" w:color="auto"/>
                <w:bottom w:val="none" w:sz="0" w:space="0" w:color="auto"/>
                <w:right w:val="none" w:sz="0" w:space="0" w:color="auto"/>
              </w:divBdr>
              <w:divsChild>
                <w:div w:id="357393486">
                  <w:marLeft w:val="600"/>
                  <w:marRight w:val="96"/>
                  <w:marTop w:val="0"/>
                  <w:marBottom w:val="0"/>
                  <w:divBdr>
                    <w:top w:val="none" w:sz="0" w:space="0" w:color="auto"/>
                    <w:left w:val="none" w:sz="0" w:space="0" w:color="auto"/>
                    <w:bottom w:val="none" w:sz="0" w:space="0" w:color="auto"/>
                    <w:right w:val="none" w:sz="0" w:space="0" w:color="auto"/>
                  </w:divBdr>
                </w:div>
              </w:divsChild>
            </w:div>
            <w:div w:id="485509424">
              <w:marLeft w:val="0"/>
              <w:marRight w:val="0"/>
              <w:marTop w:val="0"/>
              <w:marBottom w:val="240"/>
              <w:divBdr>
                <w:top w:val="none" w:sz="0" w:space="0" w:color="auto"/>
                <w:left w:val="none" w:sz="0" w:space="0" w:color="auto"/>
                <w:bottom w:val="none" w:sz="0" w:space="0" w:color="auto"/>
                <w:right w:val="none" w:sz="0" w:space="0" w:color="auto"/>
              </w:divBdr>
              <w:divsChild>
                <w:div w:id="613289162">
                  <w:marLeft w:val="600"/>
                  <w:marRight w:val="96"/>
                  <w:marTop w:val="0"/>
                  <w:marBottom w:val="0"/>
                  <w:divBdr>
                    <w:top w:val="none" w:sz="0" w:space="0" w:color="auto"/>
                    <w:left w:val="none" w:sz="0" w:space="0" w:color="auto"/>
                    <w:bottom w:val="none" w:sz="0" w:space="0" w:color="auto"/>
                    <w:right w:val="none" w:sz="0" w:space="0" w:color="auto"/>
                  </w:divBdr>
                </w:div>
              </w:divsChild>
            </w:div>
            <w:div w:id="809634971">
              <w:marLeft w:val="0"/>
              <w:marRight w:val="0"/>
              <w:marTop w:val="0"/>
              <w:marBottom w:val="240"/>
              <w:divBdr>
                <w:top w:val="none" w:sz="0" w:space="0" w:color="auto"/>
                <w:left w:val="none" w:sz="0" w:space="0" w:color="auto"/>
                <w:bottom w:val="none" w:sz="0" w:space="0" w:color="auto"/>
                <w:right w:val="none" w:sz="0" w:space="0" w:color="auto"/>
              </w:divBdr>
              <w:divsChild>
                <w:div w:id="756175966">
                  <w:marLeft w:val="600"/>
                  <w:marRight w:val="96"/>
                  <w:marTop w:val="0"/>
                  <w:marBottom w:val="0"/>
                  <w:divBdr>
                    <w:top w:val="none" w:sz="0" w:space="0" w:color="auto"/>
                    <w:left w:val="none" w:sz="0" w:space="0" w:color="auto"/>
                    <w:bottom w:val="none" w:sz="0" w:space="0" w:color="auto"/>
                    <w:right w:val="none" w:sz="0" w:space="0" w:color="auto"/>
                  </w:divBdr>
                </w:div>
              </w:divsChild>
            </w:div>
            <w:div w:id="849873311">
              <w:marLeft w:val="0"/>
              <w:marRight w:val="0"/>
              <w:marTop w:val="0"/>
              <w:marBottom w:val="240"/>
              <w:divBdr>
                <w:top w:val="none" w:sz="0" w:space="0" w:color="auto"/>
                <w:left w:val="none" w:sz="0" w:space="0" w:color="auto"/>
                <w:bottom w:val="none" w:sz="0" w:space="0" w:color="auto"/>
                <w:right w:val="none" w:sz="0" w:space="0" w:color="auto"/>
              </w:divBdr>
              <w:divsChild>
                <w:div w:id="1801800744">
                  <w:marLeft w:val="600"/>
                  <w:marRight w:val="96"/>
                  <w:marTop w:val="0"/>
                  <w:marBottom w:val="0"/>
                  <w:divBdr>
                    <w:top w:val="none" w:sz="0" w:space="0" w:color="auto"/>
                    <w:left w:val="none" w:sz="0" w:space="0" w:color="auto"/>
                    <w:bottom w:val="none" w:sz="0" w:space="0" w:color="auto"/>
                    <w:right w:val="none" w:sz="0" w:space="0" w:color="auto"/>
                  </w:divBdr>
                </w:div>
              </w:divsChild>
            </w:div>
            <w:div w:id="891035629">
              <w:marLeft w:val="0"/>
              <w:marRight w:val="0"/>
              <w:marTop w:val="0"/>
              <w:marBottom w:val="240"/>
              <w:divBdr>
                <w:top w:val="none" w:sz="0" w:space="0" w:color="auto"/>
                <w:left w:val="none" w:sz="0" w:space="0" w:color="auto"/>
                <w:bottom w:val="none" w:sz="0" w:space="0" w:color="auto"/>
                <w:right w:val="none" w:sz="0" w:space="0" w:color="auto"/>
              </w:divBdr>
              <w:divsChild>
                <w:div w:id="1602839594">
                  <w:marLeft w:val="600"/>
                  <w:marRight w:val="96"/>
                  <w:marTop w:val="0"/>
                  <w:marBottom w:val="0"/>
                  <w:divBdr>
                    <w:top w:val="none" w:sz="0" w:space="0" w:color="auto"/>
                    <w:left w:val="none" w:sz="0" w:space="0" w:color="auto"/>
                    <w:bottom w:val="none" w:sz="0" w:space="0" w:color="auto"/>
                    <w:right w:val="none" w:sz="0" w:space="0" w:color="auto"/>
                  </w:divBdr>
                </w:div>
              </w:divsChild>
            </w:div>
            <w:div w:id="1121457082">
              <w:marLeft w:val="0"/>
              <w:marRight w:val="0"/>
              <w:marTop w:val="0"/>
              <w:marBottom w:val="240"/>
              <w:divBdr>
                <w:top w:val="none" w:sz="0" w:space="0" w:color="auto"/>
                <w:left w:val="none" w:sz="0" w:space="0" w:color="auto"/>
                <w:bottom w:val="none" w:sz="0" w:space="0" w:color="auto"/>
                <w:right w:val="none" w:sz="0" w:space="0" w:color="auto"/>
              </w:divBdr>
              <w:divsChild>
                <w:div w:id="920917372">
                  <w:marLeft w:val="600"/>
                  <w:marRight w:val="96"/>
                  <w:marTop w:val="0"/>
                  <w:marBottom w:val="0"/>
                  <w:divBdr>
                    <w:top w:val="none" w:sz="0" w:space="0" w:color="auto"/>
                    <w:left w:val="none" w:sz="0" w:space="0" w:color="auto"/>
                    <w:bottom w:val="none" w:sz="0" w:space="0" w:color="auto"/>
                    <w:right w:val="none" w:sz="0" w:space="0" w:color="auto"/>
                  </w:divBdr>
                </w:div>
              </w:divsChild>
            </w:div>
            <w:div w:id="1172843071">
              <w:marLeft w:val="0"/>
              <w:marRight w:val="0"/>
              <w:marTop w:val="0"/>
              <w:marBottom w:val="240"/>
              <w:divBdr>
                <w:top w:val="none" w:sz="0" w:space="0" w:color="auto"/>
                <w:left w:val="none" w:sz="0" w:space="0" w:color="auto"/>
                <w:bottom w:val="none" w:sz="0" w:space="0" w:color="auto"/>
                <w:right w:val="none" w:sz="0" w:space="0" w:color="auto"/>
              </w:divBdr>
              <w:divsChild>
                <w:div w:id="200358958">
                  <w:marLeft w:val="600"/>
                  <w:marRight w:val="96"/>
                  <w:marTop w:val="0"/>
                  <w:marBottom w:val="0"/>
                  <w:divBdr>
                    <w:top w:val="none" w:sz="0" w:space="0" w:color="auto"/>
                    <w:left w:val="none" w:sz="0" w:space="0" w:color="auto"/>
                    <w:bottom w:val="none" w:sz="0" w:space="0" w:color="auto"/>
                    <w:right w:val="none" w:sz="0" w:space="0" w:color="auto"/>
                  </w:divBdr>
                </w:div>
              </w:divsChild>
            </w:div>
            <w:div w:id="1323697255">
              <w:marLeft w:val="0"/>
              <w:marRight w:val="0"/>
              <w:marTop w:val="0"/>
              <w:marBottom w:val="240"/>
              <w:divBdr>
                <w:top w:val="none" w:sz="0" w:space="0" w:color="auto"/>
                <w:left w:val="none" w:sz="0" w:space="0" w:color="auto"/>
                <w:bottom w:val="none" w:sz="0" w:space="0" w:color="auto"/>
                <w:right w:val="none" w:sz="0" w:space="0" w:color="auto"/>
              </w:divBdr>
              <w:divsChild>
                <w:div w:id="1573348644">
                  <w:marLeft w:val="600"/>
                  <w:marRight w:val="96"/>
                  <w:marTop w:val="0"/>
                  <w:marBottom w:val="0"/>
                  <w:divBdr>
                    <w:top w:val="none" w:sz="0" w:space="0" w:color="auto"/>
                    <w:left w:val="none" w:sz="0" w:space="0" w:color="auto"/>
                    <w:bottom w:val="none" w:sz="0" w:space="0" w:color="auto"/>
                    <w:right w:val="none" w:sz="0" w:space="0" w:color="auto"/>
                  </w:divBdr>
                </w:div>
              </w:divsChild>
            </w:div>
            <w:div w:id="1365790849">
              <w:marLeft w:val="0"/>
              <w:marRight w:val="0"/>
              <w:marTop w:val="0"/>
              <w:marBottom w:val="240"/>
              <w:divBdr>
                <w:top w:val="none" w:sz="0" w:space="0" w:color="auto"/>
                <w:left w:val="none" w:sz="0" w:space="0" w:color="auto"/>
                <w:bottom w:val="none" w:sz="0" w:space="0" w:color="auto"/>
                <w:right w:val="none" w:sz="0" w:space="0" w:color="auto"/>
              </w:divBdr>
              <w:divsChild>
                <w:div w:id="1591892093">
                  <w:marLeft w:val="600"/>
                  <w:marRight w:val="96"/>
                  <w:marTop w:val="0"/>
                  <w:marBottom w:val="0"/>
                  <w:divBdr>
                    <w:top w:val="none" w:sz="0" w:space="0" w:color="auto"/>
                    <w:left w:val="none" w:sz="0" w:space="0" w:color="auto"/>
                    <w:bottom w:val="none" w:sz="0" w:space="0" w:color="auto"/>
                    <w:right w:val="none" w:sz="0" w:space="0" w:color="auto"/>
                  </w:divBdr>
                </w:div>
              </w:divsChild>
            </w:div>
            <w:div w:id="1717242110">
              <w:marLeft w:val="0"/>
              <w:marRight w:val="0"/>
              <w:marTop w:val="0"/>
              <w:marBottom w:val="240"/>
              <w:divBdr>
                <w:top w:val="none" w:sz="0" w:space="0" w:color="auto"/>
                <w:left w:val="none" w:sz="0" w:space="0" w:color="auto"/>
                <w:bottom w:val="none" w:sz="0" w:space="0" w:color="auto"/>
                <w:right w:val="none" w:sz="0" w:space="0" w:color="auto"/>
              </w:divBdr>
              <w:divsChild>
                <w:div w:id="427627357">
                  <w:marLeft w:val="600"/>
                  <w:marRight w:val="96"/>
                  <w:marTop w:val="0"/>
                  <w:marBottom w:val="0"/>
                  <w:divBdr>
                    <w:top w:val="none" w:sz="0" w:space="0" w:color="auto"/>
                    <w:left w:val="none" w:sz="0" w:space="0" w:color="auto"/>
                    <w:bottom w:val="none" w:sz="0" w:space="0" w:color="auto"/>
                    <w:right w:val="none" w:sz="0" w:space="0" w:color="auto"/>
                  </w:divBdr>
                </w:div>
              </w:divsChild>
            </w:div>
            <w:div w:id="1741949852">
              <w:marLeft w:val="0"/>
              <w:marRight w:val="0"/>
              <w:marTop w:val="0"/>
              <w:marBottom w:val="240"/>
              <w:divBdr>
                <w:top w:val="none" w:sz="0" w:space="0" w:color="auto"/>
                <w:left w:val="none" w:sz="0" w:space="0" w:color="auto"/>
                <w:bottom w:val="none" w:sz="0" w:space="0" w:color="auto"/>
                <w:right w:val="none" w:sz="0" w:space="0" w:color="auto"/>
              </w:divBdr>
              <w:divsChild>
                <w:div w:id="699017668">
                  <w:marLeft w:val="600"/>
                  <w:marRight w:val="96"/>
                  <w:marTop w:val="0"/>
                  <w:marBottom w:val="0"/>
                  <w:divBdr>
                    <w:top w:val="none" w:sz="0" w:space="0" w:color="auto"/>
                    <w:left w:val="none" w:sz="0" w:space="0" w:color="auto"/>
                    <w:bottom w:val="none" w:sz="0" w:space="0" w:color="auto"/>
                    <w:right w:val="none" w:sz="0" w:space="0" w:color="auto"/>
                  </w:divBdr>
                </w:div>
              </w:divsChild>
            </w:div>
            <w:div w:id="1863745468">
              <w:marLeft w:val="0"/>
              <w:marRight w:val="0"/>
              <w:marTop w:val="0"/>
              <w:marBottom w:val="240"/>
              <w:divBdr>
                <w:top w:val="none" w:sz="0" w:space="0" w:color="auto"/>
                <w:left w:val="none" w:sz="0" w:space="0" w:color="auto"/>
                <w:bottom w:val="none" w:sz="0" w:space="0" w:color="auto"/>
                <w:right w:val="none" w:sz="0" w:space="0" w:color="auto"/>
              </w:divBdr>
              <w:divsChild>
                <w:div w:id="130447638">
                  <w:marLeft w:val="600"/>
                  <w:marRight w:val="96"/>
                  <w:marTop w:val="0"/>
                  <w:marBottom w:val="0"/>
                  <w:divBdr>
                    <w:top w:val="none" w:sz="0" w:space="0" w:color="auto"/>
                    <w:left w:val="none" w:sz="0" w:space="0" w:color="auto"/>
                    <w:bottom w:val="none" w:sz="0" w:space="0" w:color="auto"/>
                    <w:right w:val="none" w:sz="0" w:space="0" w:color="auto"/>
                  </w:divBdr>
                </w:div>
              </w:divsChild>
            </w:div>
            <w:div w:id="1939173075">
              <w:marLeft w:val="0"/>
              <w:marRight w:val="0"/>
              <w:marTop w:val="0"/>
              <w:marBottom w:val="0"/>
              <w:divBdr>
                <w:top w:val="none" w:sz="0" w:space="0" w:color="auto"/>
                <w:left w:val="none" w:sz="0" w:space="0" w:color="auto"/>
                <w:bottom w:val="none" w:sz="0" w:space="0" w:color="auto"/>
                <w:right w:val="none" w:sz="0" w:space="0" w:color="auto"/>
              </w:divBdr>
              <w:divsChild>
                <w:div w:id="183337727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02691518">
      <w:bodyDiv w:val="1"/>
      <w:marLeft w:val="0"/>
      <w:marRight w:val="0"/>
      <w:marTop w:val="0"/>
      <w:marBottom w:val="0"/>
      <w:divBdr>
        <w:top w:val="none" w:sz="0" w:space="0" w:color="auto"/>
        <w:left w:val="none" w:sz="0" w:space="0" w:color="auto"/>
        <w:bottom w:val="none" w:sz="0" w:space="0" w:color="auto"/>
        <w:right w:val="none" w:sz="0" w:space="0" w:color="auto"/>
      </w:divBdr>
    </w:div>
    <w:div w:id="1397633002">
      <w:bodyDiv w:val="1"/>
      <w:marLeft w:val="0"/>
      <w:marRight w:val="0"/>
      <w:marTop w:val="0"/>
      <w:marBottom w:val="0"/>
      <w:divBdr>
        <w:top w:val="none" w:sz="0" w:space="0" w:color="auto"/>
        <w:left w:val="none" w:sz="0" w:space="0" w:color="auto"/>
        <w:bottom w:val="none" w:sz="0" w:space="0" w:color="auto"/>
        <w:right w:val="none" w:sz="0" w:space="0" w:color="auto"/>
      </w:divBdr>
    </w:div>
    <w:div w:id="1433748466">
      <w:bodyDiv w:val="1"/>
      <w:marLeft w:val="0"/>
      <w:marRight w:val="0"/>
      <w:marTop w:val="0"/>
      <w:marBottom w:val="0"/>
      <w:divBdr>
        <w:top w:val="none" w:sz="0" w:space="0" w:color="auto"/>
        <w:left w:val="none" w:sz="0" w:space="0" w:color="auto"/>
        <w:bottom w:val="none" w:sz="0" w:space="0" w:color="auto"/>
        <w:right w:val="none" w:sz="0" w:space="0" w:color="auto"/>
      </w:divBdr>
    </w:div>
    <w:div w:id="146565651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82009129">
      <w:bodyDiv w:val="1"/>
      <w:marLeft w:val="0"/>
      <w:marRight w:val="0"/>
      <w:marTop w:val="0"/>
      <w:marBottom w:val="0"/>
      <w:divBdr>
        <w:top w:val="none" w:sz="0" w:space="0" w:color="auto"/>
        <w:left w:val="none" w:sz="0" w:space="0" w:color="auto"/>
        <w:bottom w:val="none" w:sz="0" w:space="0" w:color="auto"/>
        <w:right w:val="none" w:sz="0" w:space="0" w:color="auto"/>
      </w:divBdr>
    </w:div>
    <w:div w:id="1979453991">
      <w:bodyDiv w:val="1"/>
      <w:marLeft w:val="0"/>
      <w:marRight w:val="0"/>
      <w:marTop w:val="0"/>
      <w:marBottom w:val="0"/>
      <w:divBdr>
        <w:top w:val="none" w:sz="0" w:space="0" w:color="auto"/>
        <w:left w:val="none" w:sz="0" w:space="0" w:color="auto"/>
        <w:bottom w:val="none" w:sz="0" w:space="0" w:color="auto"/>
        <w:right w:val="none" w:sz="0" w:space="0" w:color="auto"/>
      </w:divBdr>
    </w:div>
    <w:div w:id="2001499873">
      <w:bodyDiv w:val="1"/>
      <w:marLeft w:val="0"/>
      <w:marRight w:val="0"/>
      <w:marTop w:val="0"/>
      <w:marBottom w:val="0"/>
      <w:divBdr>
        <w:top w:val="none" w:sz="0" w:space="0" w:color="auto"/>
        <w:left w:val="none" w:sz="0" w:space="0" w:color="auto"/>
        <w:bottom w:val="none" w:sz="0" w:space="0" w:color="auto"/>
        <w:right w:val="none" w:sz="0" w:space="0" w:color="auto"/>
      </w:divBdr>
      <w:divsChild>
        <w:div w:id="317225418">
          <w:marLeft w:val="0"/>
          <w:marRight w:val="0"/>
          <w:marTop w:val="0"/>
          <w:marBottom w:val="0"/>
          <w:divBdr>
            <w:top w:val="none" w:sz="0" w:space="0" w:color="auto"/>
            <w:left w:val="none" w:sz="0" w:space="0" w:color="auto"/>
            <w:bottom w:val="none" w:sz="0" w:space="0" w:color="auto"/>
            <w:right w:val="none" w:sz="0" w:space="0" w:color="auto"/>
          </w:divBdr>
          <w:divsChild>
            <w:div w:id="290479668">
              <w:marLeft w:val="0"/>
              <w:marRight w:val="0"/>
              <w:marTop w:val="0"/>
              <w:marBottom w:val="240"/>
              <w:divBdr>
                <w:top w:val="none" w:sz="0" w:space="0" w:color="auto"/>
                <w:left w:val="none" w:sz="0" w:space="0" w:color="auto"/>
                <w:bottom w:val="none" w:sz="0" w:space="0" w:color="auto"/>
                <w:right w:val="none" w:sz="0" w:space="0" w:color="auto"/>
              </w:divBdr>
              <w:divsChild>
                <w:div w:id="230124058">
                  <w:marLeft w:val="600"/>
                  <w:marRight w:val="96"/>
                  <w:marTop w:val="0"/>
                  <w:marBottom w:val="0"/>
                  <w:divBdr>
                    <w:top w:val="none" w:sz="0" w:space="0" w:color="auto"/>
                    <w:left w:val="none" w:sz="0" w:space="0" w:color="auto"/>
                    <w:bottom w:val="none" w:sz="0" w:space="0" w:color="auto"/>
                    <w:right w:val="none" w:sz="0" w:space="0" w:color="auto"/>
                  </w:divBdr>
                </w:div>
              </w:divsChild>
            </w:div>
            <w:div w:id="398555840">
              <w:marLeft w:val="0"/>
              <w:marRight w:val="0"/>
              <w:marTop w:val="0"/>
              <w:marBottom w:val="240"/>
              <w:divBdr>
                <w:top w:val="none" w:sz="0" w:space="0" w:color="auto"/>
                <w:left w:val="none" w:sz="0" w:space="0" w:color="auto"/>
                <w:bottom w:val="none" w:sz="0" w:space="0" w:color="auto"/>
                <w:right w:val="none" w:sz="0" w:space="0" w:color="auto"/>
              </w:divBdr>
              <w:divsChild>
                <w:div w:id="259532713">
                  <w:marLeft w:val="600"/>
                  <w:marRight w:val="96"/>
                  <w:marTop w:val="0"/>
                  <w:marBottom w:val="0"/>
                  <w:divBdr>
                    <w:top w:val="none" w:sz="0" w:space="0" w:color="auto"/>
                    <w:left w:val="none" w:sz="0" w:space="0" w:color="auto"/>
                    <w:bottom w:val="none" w:sz="0" w:space="0" w:color="auto"/>
                    <w:right w:val="none" w:sz="0" w:space="0" w:color="auto"/>
                  </w:divBdr>
                </w:div>
              </w:divsChild>
            </w:div>
            <w:div w:id="496043703">
              <w:marLeft w:val="0"/>
              <w:marRight w:val="0"/>
              <w:marTop w:val="0"/>
              <w:marBottom w:val="240"/>
              <w:divBdr>
                <w:top w:val="none" w:sz="0" w:space="0" w:color="auto"/>
                <w:left w:val="none" w:sz="0" w:space="0" w:color="auto"/>
                <w:bottom w:val="none" w:sz="0" w:space="0" w:color="auto"/>
                <w:right w:val="none" w:sz="0" w:space="0" w:color="auto"/>
              </w:divBdr>
              <w:divsChild>
                <w:div w:id="82995278">
                  <w:marLeft w:val="600"/>
                  <w:marRight w:val="96"/>
                  <w:marTop w:val="0"/>
                  <w:marBottom w:val="0"/>
                  <w:divBdr>
                    <w:top w:val="none" w:sz="0" w:space="0" w:color="auto"/>
                    <w:left w:val="none" w:sz="0" w:space="0" w:color="auto"/>
                    <w:bottom w:val="none" w:sz="0" w:space="0" w:color="auto"/>
                    <w:right w:val="none" w:sz="0" w:space="0" w:color="auto"/>
                  </w:divBdr>
                </w:div>
              </w:divsChild>
            </w:div>
            <w:div w:id="897017038">
              <w:marLeft w:val="0"/>
              <w:marRight w:val="0"/>
              <w:marTop w:val="0"/>
              <w:marBottom w:val="240"/>
              <w:divBdr>
                <w:top w:val="none" w:sz="0" w:space="0" w:color="auto"/>
                <w:left w:val="none" w:sz="0" w:space="0" w:color="auto"/>
                <w:bottom w:val="none" w:sz="0" w:space="0" w:color="auto"/>
                <w:right w:val="none" w:sz="0" w:space="0" w:color="auto"/>
              </w:divBdr>
              <w:divsChild>
                <w:div w:id="1681663790">
                  <w:marLeft w:val="600"/>
                  <w:marRight w:val="96"/>
                  <w:marTop w:val="0"/>
                  <w:marBottom w:val="0"/>
                  <w:divBdr>
                    <w:top w:val="none" w:sz="0" w:space="0" w:color="auto"/>
                    <w:left w:val="none" w:sz="0" w:space="0" w:color="auto"/>
                    <w:bottom w:val="none" w:sz="0" w:space="0" w:color="auto"/>
                    <w:right w:val="none" w:sz="0" w:space="0" w:color="auto"/>
                  </w:divBdr>
                </w:div>
              </w:divsChild>
            </w:div>
            <w:div w:id="925000462">
              <w:marLeft w:val="0"/>
              <w:marRight w:val="0"/>
              <w:marTop w:val="0"/>
              <w:marBottom w:val="240"/>
              <w:divBdr>
                <w:top w:val="none" w:sz="0" w:space="0" w:color="auto"/>
                <w:left w:val="none" w:sz="0" w:space="0" w:color="auto"/>
                <w:bottom w:val="none" w:sz="0" w:space="0" w:color="auto"/>
                <w:right w:val="none" w:sz="0" w:space="0" w:color="auto"/>
              </w:divBdr>
              <w:divsChild>
                <w:div w:id="573055590">
                  <w:marLeft w:val="600"/>
                  <w:marRight w:val="96"/>
                  <w:marTop w:val="0"/>
                  <w:marBottom w:val="0"/>
                  <w:divBdr>
                    <w:top w:val="none" w:sz="0" w:space="0" w:color="auto"/>
                    <w:left w:val="none" w:sz="0" w:space="0" w:color="auto"/>
                    <w:bottom w:val="none" w:sz="0" w:space="0" w:color="auto"/>
                    <w:right w:val="none" w:sz="0" w:space="0" w:color="auto"/>
                  </w:divBdr>
                </w:div>
              </w:divsChild>
            </w:div>
            <w:div w:id="1174876075">
              <w:marLeft w:val="0"/>
              <w:marRight w:val="0"/>
              <w:marTop w:val="0"/>
              <w:marBottom w:val="240"/>
              <w:divBdr>
                <w:top w:val="none" w:sz="0" w:space="0" w:color="auto"/>
                <w:left w:val="none" w:sz="0" w:space="0" w:color="auto"/>
                <w:bottom w:val="none" w:sz="0" w:space="0" w:color="auto"/>
                <w:right w:val="none" w:sz="0" w:space="0" w:color="auto"/>
              </w:divBdr>
              <w:divsChild>
                <w:div w:id="696733249">
                  <w:marLeft w:val="600"/>
                  <w:marRight w:val="96"/>
                  <w:marTop w:val="0"/>
                  <w:marBottom w:val="0"/>
                  <w:divBdr>
                    <w:top w:val="none" w:sz="0" w:space="0" w:color="auto"/>
                    <w:left w:val="none" w:sz="0" w:space="0" w:color="auto"/>
                    <w:bottom w:val="none" w:sz="0" w:space="0" w:color="auto"/>
                    <w:right w:val="none" w:sz="0" w:space="0" w:color="auto"/>
                  </w:divBdr>
                </w:div>
              </w:divsChild>
            </w:div>
            <w:div w:id="1187986002">
              <w:marLeft w:val="0"/>
              <w:marRight w:val="0"/>
              <w:marTop w:val="0"/>
              <w:marBottom w:val="240"/>
              <w:divBdr>
                <w:top w:val="none" w:sz="0" w:space="0" w:color="auto"/>
                <w:left w:val="none" w:sz="0" w:space="0" w:color="auto"/>
                <w:bottom w:val="none" w:sz="0" w:space="0" w:color="auto"/>
                <w:right w:val="none" w:sz="0" w:space="0" w:color="auto"/>
              </w:divBdr>
              <w:divsChild>
                <w:div w:id="1357851953">
                  <w:marLeft w:val="600"/>
                  <w:marRight w:val="96"/>
                  <w:marTop w:val="0"/>
                  <w:marBottom w:val="0"/>
                  <w:divBdr>
                    <w:top w:val="none" w:sz="0" w:space="0" w:color="auto"/>
                    <w:left w:val="none" w:sz="0" w:space="0" w:color="auto"/>
                    <w:bottom w:val="none" w:sz="0" w:space="0" w:color="auto"/>
                    <w:right w:val="none" w:sz="0" w:space="0" w:color="auto"/>
                  </w:divBdr>
                </w:div>
              </w:divsChild>
            </w:div>
            <w:div w:id="1442334255">
              <w:marLeft w:val="0"/>
              <w:marRight w:val="0"/>
              <w:marTop w:val="0"/>
              <w:marBottom w:val="0"/>
              <w:divBdr>
                <w:top w:val="none" w:sz="0" w:space="0" w:color="auto"/>
                <w:left w:val="none" w:sz="0" w:space="0" w:color="auto"/>
                <w:bottom w:val="none" w:sz="0" w:space="0" w:color="auto"/>
                <w:right w:val="none" w:sz="0" w:space="0" w:color="auto"/>
              </w:divBdr>
              <w:divsChild>
                <w:div w:id="997272428">
                  <w:marLeft w:val="600"/>
                  <w:marRight w:val="96"/>
                  <w:marTop w:val="0"/>
                  <w:marBottom w:val="0"/>
                  <w:divBdr>
                    <w:top w:val="none" w:sz="0" w:space="0" w:color="auto"/>
                    <w:left w:val="none" w:sz="0" w:space="0" w:color="auto"/>
                    <w:bottom w:val="none" w:sz="0" w:space="0" w:color="auto"/>
                    <w:right w:val="none" w:sz="0" w:space="0" w:color="auto"/>
                  </w:divBdr>
                </w:div>
              </w:divsChild>
            </w:div>
            <w:div w:id="1442454083">
              <w:marLeft w:val="0"/>
              <w:marRight w:val="0"/>
              <w:marTop w:val="0"/>
              <w:marBottom w:val="240"/>
              <w:divBdr>
                <w:top w:val="none" w:sz="0" w:space="0" w:color="auto"/>
                <w:left w:val="none" w:sz="0" w:space="0" w:color="auto"/>
                <w:bottom w:val="none" w:sz="0" w:space="0" w:color="auto"/>
                <w:right w:val="none" w:sz="0" w:space="0" w:color="auto"/>
              </w:divBdr>
              <w:divsChild>
                <w:div w:id="897859340">
                  <w:marLeft w:val="600"/>
                  <w:marRight w:val="96"/>
                  <w:marTop w:val="0"/>
                  <w:marBottom w:val="0"/>
                  <w:divBdr>
                    <w:top w:val="none" w:sz="0" w:space="0" w:color="auto"/>
                    <w:left w:val="none" w:sz="0" w:space="0" w:color="auto"/>
                    <w:bottom w:val="none" w:sz="0" w:space="0" w:color="auto"/>
                    <w:right w:val="none" w:sz="0" w:space="0" w:color="auto"/>
                  </w:divBdr>
                </w:div>
              </w:divsChild>
            </w:div>
            <w:div w:id="1446583635">
              <w:marLeft w:val="0"/>
              <w:marRight w:val="0"/>
              <w:marTop w:val="0"/>
              <w:marBottom w:val="240"/>
              <w:divBdr>
                <w:top w:val="none" w:sz="0" w:space="0" w:color="auto"/>
                <w:left w:val="none" w:sz="0" w:space="0" w:color="auto"/>
                <w:bottom w:val="none" w:sz="0" w:space="0" w:color="auto"/>
                <w:right w:val="none" w:sz="0" w:space="0" w:color="auto"/>
              </w:divBdr>
              <w:divsChild>
                <w:div w:id="1393776258">
                  <w:marLeft w:val="600"/>
                  <w:marRight w:val="96"/>
                  <w:marTop w:val="0"/>
                  <w:marBottom w:val="0"/>
                  <w:divBdr>
                    <w:top w:val="none" w:sz="0" w:space="0" w:color="auto"/>
                    <w:left w:val="none" w:sz="0" w:space="0" w:color="auto"/>
                    <w:bottom w:val="none" w:sz="0" w:space="0" w:color="auto"/>
                    <w:right w:val="none" w:sz="0" w:space="0" w:color="auto"/>
                  </w:divBdr>
                </w:div>
              </w:divsChild>
            </w:div>
            <w:div w:id="1726686009">
              <w:marLeft w:val="0"/>
              <w:marRight w:val="0"/>
              <w:marTop w:val="0"/>
              <w:marBottom w:val="240"/>
              <w:divBdr>
                <w:top w:val="none" w:sz="0" w:space="0" w:color="auto"/>
                <w:left w:val="none" w:sz="0" w:space="0" w:color="auto"/>
                <w:bottom w:val="none" w:sz="0" w:space="0" w:color="auto"/>
                <w:right w:val="none" w:sz="0" w:space="0" w:color="auto"/>
              </w:divBdr>
              <w:divsChild>
                <w:div w:id="1430590081">
                  <w:marLeft w:val="600"/>
                  <w:marRight w:val="96"/>
                  <w:marTop w:val="0"/>
                  <w:marBottom w:val="0"/>
                  <w:divBdr>
                    <w:top w:val="none" w:sz="0" w:space="0" w:color="auto"/>
                    <w:left w:val="none" w:sz="0" w:space="0" w:color="auto"/>
                    <w:bottom w:val="none" w:sz="0" w:space="0" w:color="auto"/>
                    <w:right w:val="none" w:sz="0" w:space="0" w:color="auto"/>
                  </w:divBdr>
                </w:div>
              </w:divsChild>
            </w:div>
            <w:div w:id="1762144631">
              <w:marLeft w:val="0"/>
              <w:marRight w:val="0"/>
              <w:marTop w:val="0"/>
              <w:marBottom w:val="240"/>
              <w:divBdr>
                <w:top w:val="none" w:sz="0" w:space="0" w:color="auto"/>
                <w:left w:val="none" w:sz="0" w:space="0" w:color="auto"/>
                <w:bottom w:val="none" w:sz="0" w:space="0" w:color="auto"/>
                <w:right w:val="none" w:sz="0" w:space="0" w:color="auto"/>
              </w:divBdr>
              <w:divsChild>
                <w:div w:id="781998446">
                  <w:marLeft w:val="600"/>
                  <w:marRight w:val="96"/>
                  <w:marTop w:val="0"/>
                  <w:marBottom w:val="0"/>
                  <w:divBdr>
                    <w:top w:val="none" w:sz="0" w:space="0" w:color="auto"/>
                    <w:left w:val="none" w:sz="0" w:space="0" w:color="auto"/>
                    <w:bottom w:val="none" w:sz="0" w:space="0" w:color="auto"/>
                    <w:right w:val="none" w:sz="0" w:space="0" w:color="auto"/>
                  </w:divBdr>
                </w:div>
              </w:divsChild>
            </w:div>
            <w:div w:id="1834906491">
              <w:marLeft w:val="0"/>
              <w:marRight w:val="0"/>
              <w:marTop w:val="0"/>
              <w:marBottom w:val="240"/>
              <w:divBdr>
                <w:top w:val="none" w:sz="0" w:space="0" w:color="auto"/>
                <w:left w:val="none" w:sz="0" w:space="0" w:color="auto"/>
                <w:bottom w:val="none" w:sz="0" w:space="0" w:color="auto"/>
                <w:right w:val="none" w:sz="0" w:space="0" w:color="auto"/>
              </w:divBdr>
              <w:divsChild>
                <w:div w:id="302544263">
                  <w:marLeft w:val="600"/>
                  <w:marRight w:val="96"/>
                  <w:marTop w:val="0"/>
                  <w:marBottom w:val="0"/>
                  <w:divBdr>
                    <w:top w:val="none" w:sz="0" w:space="0" w:color="auto"/>
                    <w:left w:val="none" w:sz="0" w:space="0" w:color="auto"/>
                    <w:bottom w:val="none" w:sz="0" w:space="0" w:color="auto"/>
                    <w:right w:val="none" w:sz="0" w:space="0" w:color="auto"/>
                  </w:divBdr>
                </w:div>
              </w:divsChild>
            </w:div>
            <w:div w:id="1977561863">
              <w:marLeft w:val="0"/>
              <w:marRight w:val="0"/>
              <w:marTop w:val="0"/>
              <w:marBottom w:val="240"/>
              <w:divBdr>
                <w:top w:val="none" w:sz="0" w:space="0" w:color="auto"/>
                <w:left w:val="none" w:sz="0" w:space="0" w:color="auto"/>
                <w:bottom w:val="none" w:sz="0" w:space="0" w:color="auto"/>
                <w:right w:val="none" w:sz="0" w:space="0" w:color="auto"/>
              </w:divBdr>
              <w:divsChild>
                <w:div w:id="844393876">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7242956">
      <w:bodyDiv w:val="1"/>
      <w:marLeft w:val="0"/>
      <w:marRight w:val="0"/>
      <w:marTop w:val="0"/>
      <w:marBottom w:val="0"/>
      <w:divBdr>
        <w:top w:val="none" w:sz="0" w:space="0" w:color="auto"/>
        <w:left w:val="none" w:sz="0" w:space="0" w:color="auto"/>
        <w:bottom w:val="none" w:sz="0" w:space="0" w:color="auto"/>
        <w:right w:val="none" w:sz="0" w:space="0" w:color="auto"/>
      </w:divBdr>
    </w:div>
    <w:div w:id="20575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90EBE6-C16F-4660-A353-6E560392ED34}">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53A3-8A26-469E-A802-D14D33DB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14013</Words>
  <Characters>75673</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Lara</dc:creator>
  <cp:keywords/>
  <dc:description/>
  <cp:lastModifiedBy>Danilo Lara</cp:lastModifiedBy>
  <cp:revision>15</cp:revision>
  <dcterms:created xsi:type="dcterms:W3CDTF">2021-12-10T15:46:00Z</dcterms:created>
  <dcterms:modified xsi:type="dcterms:W3CDTF">2022-03-09T22:03:00Z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id="ukQYYHFB"/&gt;&lt;style id="http://www.zotero.org/styles/future-science-group" hasBibliography="1" bibliographyStyleHasBeenSet="1"/&gt;&lt;prefs&gt;&lt;pref name="fieldType" value="Field"/&gt;&lt;pref name="dontAskDel</vt:lpwstr>
  </property>
  <property fmtid="{D5CDD505-2E9C-101B-9397-08002B2CF9AE}" pid="3" name="ZOTERO_PREF_2">
    <vt:lpwstr>ayCitationUpdates" value="true"/&gt;&lt;/prefs&gt;&lt;/data&gt;</vt:lpwstr>
  </property>
</Properties>
</file>