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2767" w14:textId="77777777" w:rsidR="002506A8" w:rsidRPr="001E29BB" w:rsidRDefault="002506A8" w:rsidP="002506A8">
      <w:pPr>
        <w:pStyle w:val="DossierHeading2"/>
        <w:numPr>
          <w:ilvl w:val="0"/>
          <w:numId w:val="0"/>
        </w:num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MATERIALS</w:t>
      </w:r>
    </w:p>
    <w:p w14:paraId="65FD8E54" w14:textId="77777777" w:rsidR="002506A8" w:rsidRPr="001E29BB" w:rsidRDefault="002506A8" w:rsidP="002506A8">
      <w:pPr>
        <w:pStyle w:val="Caption"/>
        <w:rPr>
          <w:rFonts w:cs="Times New Roman"/>
        </w:rPr>
      </w:pPr>
      <w:bookmarkStart w:id="0" w:name="_Ref79085144"/>
      <w:r>
        <w:t xml:space="preserve">Supplemental Figure </w:t>
      </w:r>
      <w:r>
        <w:fldChar w:fldCharType="begin"/>
      </w:r>
      <w:r>
        <w:instrText>SEQ Supplemental_Figure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 w:rsidRPr="001E29BB">
        <w:rPr>
          <w:rFonts w:cs="Times New Roman"/>
        </w:rPr>
        <w:t xml:space="preserve">. </w:t>
      </w:r>
      <w:r w:rsidRPr="00AE01EE">
        <w:rPr>
          <w:rFonts w:cs="Times New Roman"/>
        </w:rPr>
        <w:t xml:space="preserve">Algorithm for assessing FN risk and the need for primary prophylactic G-CSF </w:t>
      </w:r>
    </w:p>
    <w:p w14:paraId="4B4A2CA5" w14:textId="77777777" w:rsidR="002506A8" w:rsidRDefault="002506A8" w:rsidP="002506A8">
      <w:pPr>
        <w:spacing w:after="160" w:line="259" w:lineRule="auto"/>
        <w:jc w:val="left"/>
        <w:rPr>
          <w:rFonts w:eastAsia="SimSun" w:cs="Times New Roman"/>
          <w:b/>
          <w:color w:val="000000"/>
          <w:sz w:val="21"/>
          <w:szCs w:val="21"/>
          <w:lang w:eastAsia="nl-NL"/>
        </w:rPr>
      </w:pPr>
      <w:r w:rsidRPr="003267BA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0DFC05ED" wp14:editId="187C1397">
            <wp:extent cx="5727700" cy="414528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F80A4" w14:textId="77777777" w:rsidR="002506A8" w:rsidRPr="001E29BB" w:rsidRDefault="002506A8" w:rsidP="002506A8">
      <w:pPr>
        <w:pStyle w:val="Footer"/>
      </w:pPr>
      <w:bookmarkStart w:id="1" w:name="_Ref75353297"/>
      <w:bookmarkStart w:id="2" w:name="_Ref74745576"/>
      <w:r>
        <w:t>Source</w:t>
      </w:r>
      <w:r w:rsidRPr="003D1ECD">
        <w:t>:</w:t>
      </w:r>
      <w:r>
        <w:t xml:space="preserve"> </w:t>
      </w:r>
      <w:r w:rsidRPr="002D2724">
        <w:t xml:space="preserve">Cornes </w:t>
      </w:r>
      <w:r w:rsidRPr="002D2724">
        <w:rPr>
          <w:i/>
          <w:iCs/>
        </w:rPr>
        <w:t>et al</w:t>
      </w:r>
      <w:r>
        <w:t xml:space="preserve">. </w:t>
      </w:r>
      <w:r>
        <w:fldChar w:fldCharType="begin">
          <w:fldData xml:space="preserve">PEVuZE5vdGU+PENpdGU+PEF1dGhvcj5Db3JuZXM8L0F1dGhvcj48WWVhcj4yMDIwPC9ZZWFyPjxS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PEVuZE5vdGU+PENpdGU+PEF1dGhvcj5Db3JuZXM8L0F1dGhvcj48WWVhcj4yMDIwPC9ZZWFyPjxS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[5]</w:t>
      </w:r>
      <w:r>
        <w:fldChar w:fldCharType="end"/>
      </w:r>
      <w:r>
        <w:t xml:space="preserve">. </w:t>
      </w:r>
      <w:r w:rsidRPr="00AE01EE">
        <w:rPr>
          <w:rFonts w:cs="Times New Roman"/>
        </w:rPr>
        <w:t>Adapted from guidelines by the European Organization for Research and Treatment of Cancer</w:t>
      </w:r>
      <w:r>
        <w:rPr>
          <w:rFonts w:cs="Times New Roman"/>
        </w:rPr>
        <w:t xml:space="preserve"> </w:t>
      </w:r>
      <w:r>
        <w:rPr>
          <w:rFonts w:cs="Times New Roman"/>
        </w:rPr>
        <w:fldChar w:fldCharType="begin">
          <w:fldData xml:space="preserve">PEVuZE5vdGU+PENpdGU+PEF1dGhvcj5BYXBybzwvQXV0aG9yPjxZZWFyPjIwMTE8L1llYXI+PFJl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==
</w:fldData>
        </w:fldChar>
      </w:r>
      <w:r>
        <w:rPr>
          <w:rFonts w:cs="Times New Roman"/>
        </w:rPr>
        <w:instrText xml:space="preserve"> ADDIN EN.CITE </w:instrText>
      </w:r>
      <w:r>
        <w:rPr>
          <w:rFonts w:cs="Times New Roman"/>
        </w:rPr>
        <w:fldChar w:fldCharType="begin">
          <w:fldData xml:space="preserve">PEVuZE5vdGU+PENpdGU+PEF1dGhvcj5BYXBybzwvQXV0aG9yPjxZZWFyPjIwMTE8L1llYXI+PFJl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==
</w:fldData>
        </w:fldChar>
      </w:r>
      <w:r>
        <w:rPr>
          <w:rFonts w:cs="Times New Roman"/>
        </w:rPr>
        <w:instrText xml:space="preserve"> ADDIN EN.CITE.DATA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[57]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, </w:t>
      </w:r>
      <w:r w:rsidRPr="00F152F9">
        <w:rPr>
          <w:rFonts w:cs="Times New Roman"/>
        </w:rPr>
        <w:t>the European Society of Medical Oncology</w:t>
      </w:r>
      <w:r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ADDIN EN.CITE &lt;EndNote&gt;&lt;Cite&gt;&lt;Author&gt;Klastersky&lt;/Author&gt;&lt;Year&gt;2016&lt;/Year&gt;&lt;RecNum&gt;12&lt;/RecNum&gt;&lt;DisplayText&gt;[44]&lt;/DisplayText&gt;&lt;record&gt;&lt;rec-number&gt;12&lt;/rec-number&gt;&lt;foreign-keys&gt;&lt;key app="EN" db-id="9vsrx0ddlazarbedd26xdzan5daf5rr05vpr" timestamp="1642005395"&gt;12&lt;/key&gt;&lt;/foreign-keys&gt;&lt;ref-type name="Journal Article"&gt;17&lt;/ref-type&gt;&lt;contributors&gt;&lt;authors&gt;&lt;author&gt;Klastersky, J.&lt;/author&gt;&lt;author&gt;de Naurois, J.&lt;/author&gt;&lt;author&gt;Rolston, K.&lt;/author&gt;&lt;author&gt;Rapoport, B.&lt;/author&gt;&lt;author&gt;Maschmeyer, G.&lt;/author&gt;&lt;author&gt;Aapro, M.&lt;/author&gt;&lt;author&gt;Herrstedt, J.&lt;/author&gt;&lt;/authors&gt;&lt;/contributors&gt;&lt;auth-address&gt;Institut Jules Bordet-Centre des Tumeurs de l&amp;apos;ULB, Brussels, Belgium.&amp;#xD;St Luke&amp;apos;s Cancer Centre, Royal Surrey County Hospital, Guildford, UK.&amp;#xD;M.D. Anderson Cancer Center, Houston, TX, USA.&amp;#xD;Medical Oncology Centre of Rosebank, Johannesburg, South Africa.&amp;#xD;Department of Hematology, Oncology and Palliative Care, Ernst von Bergmann Hospital, Potsdam, Germany.&amp;#xD;Multidisciplinary Institute of Oncology, Clinique de Genolier, Genolier, Switzerland.&amp;#xD;Department of Oncology, Odense University Hospital (OUH), Odense, Denmark.&lt;/auth-address&gt;&lt;titles&gt;&lt;title&gt;Management of febrile neutropaenia: ESMO Clinical Practice Guidelines&lt;/title&gt;&lt;secondary-title&gt;Ann Oncol&lt;/secondary-title&gt;&lt;/titles&gt;&lt;periodical&gt;&lt;full-title&gt;Ann Oncol&lt;/full-title&gt;&lt;/periodical&gt;&lt;pages&gt;v111-v118&lt;/pages&gt;&lt;volume&gt;27&lt;/volume&gt;&lt;number&gt;suppl 5&lt;/number&gt;&lt;edition&gt;2016/09/25&lt;/edition&gt;&lt;dates&gt;&lt;year&gt;2016&lt;/year&gt;&lt;pub-dates&gt;&lt;date&gt;Sep&lt;/date&gt;&lt;/pub-dates&gt;&lt;/dates&gt;&lt;isbn&gt;0923-7534&lt;/isbn&gt;&lt;accession-num&gt;27664247&lt;/accession-num&gt;&lt;urls&gt;&lt;/urls&gt;&lt;electronic-resource-num&gt;10.1093/annonc/mdw325&lt;/electronic-resource-num&gt;&lt;remote-database-provider&gt;NLM&lt;/remote-database-provider&gt;&lt;language&gt;eng&lt;/language&gt;&lt;/record&gt;&lt;/Cite&gt;&lt;/EndNote&gt;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[44]</w:t>
      </w:r>
      <w:r>
        <w:rPr>
          <w:rFonts w:cs="Times New Roman"/>
        </w:rPr>
        <w:fldChar w:fldCharType="end"/>
      </w:r>
      <w:r>
        <w:rPr>
          <w:rFonts w:cs="Times New Roman"/>
        </w:rPr>
        <w:t>,</w:t>
      </w:r>
      <w:r w:rsidRPr="00F152F9">
        <w:t xml:space="preserve"> </w:t>
      </w:r>
      <w:r w:rsidRPr="00F152F9">
        <w:rPr>
          <w:rFonts w:cs="Times New Roman"/>
        </w:rPr>
        <w:t>and the National Comprehensive Cancer Network</w:t>
      </w:r>
      <w:r>
        <w:rPr>
          <w:rFonts w:cs="Times New Roman"/>
        </w:rPr>
        <w:t xml:space="preserve"> </w:t>
      </w:r>
      <w:r>
        <w:rPr>
          <w:rFonts w:cs="Times New Roman"/>
        </w:rPr>
        <w:fldChar w:fldCharType="begin">
          <w:fldData xml:space="preserve">PEVuZE5vdGU+PENpdGU+PEF1dGhvcj5DcmF3Zm9yZDwvQXV0aG9yPjxZZWFyPjIwMTc8L1llYXI+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</w:fldData>
        </w:fldChar>
      </w:r>
      <w:r>
        <w:rPr>
          <w:rFonts w:cs="Times New Roman"/>
        </w:rPr>
        <w:instrText xml:space="preserve"> ADDIN EN.CITE </w:instrText>
      </w:r>
      <w:r>
        <w:rPr>
          <w:rFonts w:cs="Times New Roman"/>
        </w:rPr>
        <w:fldChar w:fldCharType="begin">
          <w:fldData xml:space="preserve">PEVuZE5vdGU+PENpdGU+PEF1dGhvcj5DcmF3Zm9yZDwvQXV0aG9yPjxZZWFyPjIwMTc8L1llYXI+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</w:fldData>
        </w:fldChar>
      </w:r>
      <w:r>
        <w:rPr>
          <w:rFonts w:cs="Times New Roman"/>
        </w:rPr>
        <w:instrText xml:space="preserve"> ADDIN EN.CITE.DATA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[45]</w:t>
      </w:r>
      <w:r>
        <w:rPr>
          <w:rFonts w:cs="Times New Roman"/>
        </w:rPr>
        <w:fldChar w:fldCharType="end"/>
      </w:r>
    </w:p>
    <w:p w14:paraId="3D171774" w14:textId="77777777" w:rsidR="002506A8" w:rsidRPr="001E29BB" w:rsidRDefault="002506A8" w:rsidP="002506A8">
      <w:pPr>
        <w:pStyle w:val="Footer"/>
      </w:pPr>
      <w:r>
        <w:t>Abbreviations: FN, febrile neutropenia; G-CSF granulocyte colony stimulating factor.</w:t>
      </w:r>
    </w:p>
    <w:p w14:paraId="39EB8AFE" w14:textId="77777777" w:rsidR="002506A8" w:rsidRDefault="002506A8" w:rsidP="002506A8">
      <w:pPr>
        <w:rPr>
          <w:lang w:eastAsia="nl-NL"/>
        </w:rPr>
      </w:pPr>
    </w:p>
    <w:p w14:paraId="1C40018D" w14:textId="77777777" w:rsidR="002506A8" w:rsidRDefault="002506A8" w:rsidP="002506A8">
      <w:pPr>
        <w:rPr>
          <w:lang w:eastAsia="nl-NL"/>
        </w:rPr>
      </w:pPr>
    </w:p>
    <w:bookmarkEnd w:id="1"/>
    <w:p w14:paraId="5E883871" w14:textId="77777777" w:rsidR="002506A8" w:rsidRDefault="002506A8" w:rsidP="002506A8">
      <w:pPr>
        <w:spacing w:after="160" w:line="259" w:lineRule="auto"/>
        <w:jc w:val="left"/>
        <w:rPr>
          <w:rFonts w:eastAsia="SimSun" w:cs="Arial"/>
          <w:b/>
          <w:color w:val="000000"/>
          <w:sz w:val="21"/>
          <w:szCs w:val="21"/>
          <w:lang w:eastAsia="nl-NL"/>
        </w:rPr>
      </w:pPr>
      <w:r>
        <w:br w:type="page"/>
      </w:r>
    </w:p>
    <w:p w14:paraId="2AEA2610" w14:textId="77777777" w:rsidR="002506A8" w:rsidRPr="001E29BB" w:rsidRDefault="002506A8" w:rsidP="002506A8">
      <w:pPr>
        <w:pStyle w:val="Caption"/>
        <w:rPr>
          <w:rFonts w:cs="Times New Roman"/>
        </w:rPr>
      </w:pPr>
      <w:bookmarkStart w:id="3" w:name="_Ref97735711"/>
      <w:r>
        <w:lastRenderedPageBreak/>
        <w:t xml:space="preserve">Supplemental Figure </w:t>
      </w:r>
      <w:r>
        <w:fldChar w:fldCharType="begin"/>
      </w:r>
      <w:r>
        <w:instrText>SEQ Supplemental_Figure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3"/>
      <w:r w:rsidRPr="001E29BB">
        <w:rPr>
          <w:rFonts w:cs="Times New Roman"/>
        </w:rPr>
        <w:t xml:space="preserve">. PSA Cost-Effectiveness Acceptability Curves, </w:t>
      </w:r>
      <w:r>
        <w:rPr>
          <w:rFonts w:cs="Times New Roman"/>
        </w:rPr>
        <w:t>b</w:t>
      </w:r>
      <w:r w:rsidRPr="001E29BB">
        <w:rPr>
          <w:rFonts w:cs="Times New Roman"/>
        </w:rPr>
        <w:t>y Outcome and Risk Group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506A8" w14:paraId="45EF9E32" w14:textId="77777777" w:rsidTr="003D16FD">
        <w:tc>
          <w:tcPr>
            <w:tcW w:w="4675" w:type="dxa"/>
          </w:tcPr>
          <w:p w14:paraId="73C2F393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A1. Cost per QALY gained, </w:t>
            </w:r>
            <w:r>
              <w:rPr>
                <w:rFonts w:cs="Times New Roman"/>
                <w:sz w:val="21"/>
                <w:szCs w:val="21"/>
                <w:lang w:eastAsia="en-US"/>
              </w:rPr>
              <w:t>high-risk</w:t>
            </w: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Times New Roman"/>
                <w:sz w:val="21"/>
                <w:szCs w:val="21"/>
                <w:lang w:eastAsia="en-US"/>
              </w:rPr>
              <w:t>group</w:t>
            </w:r>
          </w:p>
        </w:tc>
        <w:tc>
          <w:tcPr>
            <w:tcW w:w="4675" w:type="dxa"/>
          </w:tcPr>
          <w:p w14:paraId="19073E59" w14:textId="77777777" w:rsidR="002506A8" w:rsidRPr="001E29BB" w:rsidRDefault="002506A8" w:rsidP="003D16FD">
            <w:pPr>
              <w:jc w:val="left"/>
              <w:rPr>
                <w:rFonts w:cs="Times New Roman"/>
                <w:sz w:val="21"/>
                <w:szCs w:val="21"/>
                <w:lang w:eastAsia="en-US"/>
              </w:rPr>
            </w:pPr>
            <w:r w:rsidRPr="001E29BB">
              <w:rPr>
                <w:rFonts w:cs="Times New Roman"/>
                <w:sz w:val="21"/>
                <w:szCs w:val="21"/>
                <w:lang w:eastAsia="en-US"/>
              </w:rPr>
              <w:t>A2. Cost per QALY gained, intermediate</w:t>
            </w:r>
            <w:r>
              <w:rPr>
                <w:rFonts w:cs="Times New Roman"/>
                <w:sz w:val="21"/>
                <w:szCs w:val="21"/>
                <w:lang w:eastAsia="en-US"/>
              </w:rPr>
              <w:t>-</w:t>
            </w: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risk </w:t>
            </w:r>
            <w:r>
              <w:rPr>
                <w:rFonts w:cs="Times New Roman"/>
                <w:sz w:val="21"/>
                <w:szCs w:val="21"/>
                <w:lang w:eastAsia="en-US"/>
              </w:rPr>
              <w:t>group</w:t>
            </w:r>
          </w:p>
        </w:tc>
      </w:tr>
      <w:tr w:rsidR="002506A8" w14:paraId="5DC6868A" w14:textId="77777777" w:rsidTr="003D16FD">
        <w:tc>
          <w:tcPr>
            <w:tcW w:w="4675" w:type="dxa"/>
          </w:tcPr>
          <w:p w14:paraId="1494B10B" w14:textId="77777777" w:rsidR="002506A8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6B084E10" wp14:editId="38A79D38">
                  <wp:extent cx="2834640" cy="1751362"/>
                  <wp:effectExtent l="0" t="0" r="0" b="1270"/>
                  <wp:docPr id="20" name="Picture 20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screenshot of a computer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51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58B469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4675" w:type="dxa"/>
          </w:tcPr>
          <w:p w14:paraId="110DE994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11474C48" wp14:editId="77461EF3">
                  <wp:extent cx="2834640" cy="1751361"/>
                  <wp:effectExtent l="0" t="0" r="0" b="1270"/>
                  <wp:docPr id="8" name="Picture 8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screenshot of a computer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51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6A8" w14:paraId="5E398B9F" w14:textId="77777777" w:rsidTr="003D16FD">
        <w:tc>
          <w:tcPr>
            <w:tcW w:w="4675" w:type="dxa"/>
          </w:tcPr>
          <w:p w14:paraId="242449AE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B1. Cost per LY gained, </w:t>
            </w:r>
            <w:r>
              <w:rPr>
                <w:rFonts w:cs="Times New Roman"/>
                <w:sz w:val="21"/>
                <w:szCs w:val="21"/>
                <w:lang w:eastAsia="en-US"/>
              </w:rPr>
              <w:t>high-risk</w:t>
            </w: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Times New Roman"/>
                <w:sz w:val="21"/>
                <w:szCs w:val="21"/>
                <w:lang w:eastAsia="en-US"/>
              </w:rPr>
              <w:t>group</w:t>
            </w:r>
          </w:p>
        </w:tc>
        <w:tc>
          <w:tcPr>
            <w:tcW w:w="4675" w:type="dxa"/>
          </w:tcPr>
          <w:p w14:paraId="1F2B611E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1E29BB">
              <w:rPr>
                <w:rFonts w:cs="Times New Roman"/>
                <w:sz w:val="21"/>
                <w:szCs w:val="21"/>
                <w:lang w:eastAsia="en-US"/>
              </w:rPr>
              <w:t>B2. Cost per LY gained, intermediate</w:t>
            </w:r>
            <w:r>
              <w:rPr>
                <w:rFonts w:cs="Times New Roman"/>
                <w:sz w:val="21"/>
                <w:szCs w:val="21"/>
                <w:lang w:eastAsia="en-US"/>
              </w:rPr>
              <w:t>-</w:t>
            </w: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risk </w:t>
            </w:r>
            <w:r>
              <w:rPr>
                <w:rFonts w:cs="Times New Roman"/>
                <w:sz w:val="21"/>
                <w:szCs w:val="21"/>
                <w:lang w:eastAsia="en-US"/>
              </w:rPr>
              <w:t>group</w:t>
            </w:r>
          </w:p>
        </w:tc>
      </w:tr>
      <w:tr w:rsidR="002506A8" w14:paraId="07E50630" w14:textId="77777777" w:rsidTr="003D16FD">
        <w:tc>
          <w:tcPr>
            <w:tcW w:w="4675" w:type="dxa"/>
          </w:tcPr>
          <w:p w14:paraId="60AE36CA" w14:textId="77777777" w:rsidR="002506A8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581E4457" wp14:editId="1C30A562">
                  <wp:extent cx="2834640" cy="1751362"/>
                  <wp:effectExtent l="0" t="0" r="0" b="1270"/>
                  <wp:docPr id="21" name="Picture 21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screenshot of a computer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51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78D008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4675" w:type="dxa"/>
          </w:tcPr>
          <w:p w14:paraId="33D184EB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11456A09" wp14:editId="2F018F0C">
                  <wp:extent cx="2834640" cy="1751362"/>
                  <wp:effectExtent l="0" t="0" r="0" b="1270"/>
                  <wp:docPr id="9" name="Picture 9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screenshot of a computer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51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6A8" w14:paraId="681A9870" w14:textId="77777777" w:rsidTr="003D16FD">
        <w:tc>
          <w:tcPr>
            <w:tcW w:w="4675" w:type="dxa"/>
          </w:tcPr>
          <w:p w14:paraId="782B189B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C1. Cost per FN avoided, </w:t>
            </w:r>
            <w:r>
              <w:rPr>
                <w:rFonts w:cs="Times New Roman"/>
                <w:sz w:val="21"/>
                <w:szCs w:val="21"/>
                <w:lang w:eastAsia="en-US"/>
              </w:rPr>
              <w:t>high-risk</w:t>
            </w: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Times New Roman"/>
                <w:sz w:val="21"/>
                <w:szCs w:val="21"/>
                <w:lang w:eastAsia="en-US"/>
              </w:rPr>
              <w:t>group</w:t>
            </w:r>
          </w:p>
        </w:tc>
        <w:tc>
          <w:tcPr>
            <w:tcW w:w="4675" w:type="dxa"/>
          </w:tcPr>
          <w:p w14:paraId="285BE2DA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1E29BB">
              <w:rPr>
                <w:rFonts w:cs="Times New Roman"/>
                <w:sz w:val="21"/>
                <w:szCs w:val="21"/>
                <w:lang w:eastAsia="en-US"/>
              </w:rPr>
              <w:t>C2. Cost per FN avoided, intermediate</w:t>
            </w:r>
            <w:r>
              <w:rPr>
                <w:rFonts w:cs="Times New Roman"/>
                <w:sz w:val="21"/>
                <w:szCs w:val="21"/>
                <w:lang w:eastAsia="en-US"/>
              </w:rPr>
              <w:t>-</w:t>
            </w: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risk </w:t>
            </w:r>
            <w:r>
              <w:rPr>
                <w:rFonts w:cs="Times New Roman"/>
                <w:sz w:val="21"/>
                <w:szCs w:val="21"/>
                <w:lang w:eastAsia="en-US"/>
              </w:rPr>
              <w:t>group</w:t>
            </w:r>
          </w:p>
        </w:tc>
      </w:tr>
      <w:tr w:rsidR="002506A8" w14:paraId="0920CCF0" w14:textId="77777777" w:rsidTr="003D16FD">
        <w:tc>
          <w:tcPr>
            <w:tcW w:w="4675" w:type="dxa"/>
          </w:tcPr>
          <w:p w14:paraId="5F56F952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69D9868A" wp14:editId="590B4B66">
                  <wp:extent cx="2834640" cy="1751362"/>
                  <wp:effectExtent l="0" t="0" r="0" b="1270"/>
                  <wp:docPr id="17" name="Picture 17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screenshot of a computer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51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6A7A990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21587E25" wp14:editId="5AEC0F1B">
                  <wp:extent cx="2834640" cy="1751362"/>
                  <wp:effectExtent l="0" t="0" r="0" b="1270"/>
                  <wp:docPr id="16" name="Picture 16" descr="A screenshot of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screenshot of a computer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51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2BB93" w14:textId="77777777" w:rsidR="002506A8" w:rsidRPr="001E29BB" w:rsidRDefault="002506A8" w:rsidP="002506A8">
      <w:pPr>
        <w:pStyle w:val="Footer"/>
      </w:pPr>
      <w:r w:rsidRPr="003D1ECD">
        <w:t>Note</w:t>
      </w:r>
      <w:r>
        <w:t>s</w:t>
      </w:r>
      <w:r w:rsidRPr="003D1ECD">
        <w:t xml:space="preserve">: Given that reference products are always dominated by their less costly biosimilar products, assuming equivalent efficacy, only the biosimilar products are included in the sensitivity analyses for the comparison of </w:t>
      </w:r>
      <w:r>
        <w:t>PEG</w:t>
      </w:r>
      <w:r w:rsidRPr="003D1ECD">
        <w:t xml:space="preserve"> </w:t>
      </w:r>
      <w:r>
        <w:t>vs</w:t>
      </w:r>
      <w:r w:rsidRPr="003D1ECD">
        <w:t xml:space="preserve"> </w:t>
      </w:r>
      <w:r>
        <w:t>FIL</w:t>
      </w:r>
      <w:r w:rsidRPr="003D1ECD">
        <w:t>.</w:t>
      </w:r>
    </w:p>
    <w:p w14:paraId="48C2CC92" w14:textId="77777777" w:rsidR="002506A8" w:rsidRPr="001E29BB" w:rsidRDefault="002506A8" w:rsidP="002506A8">
      <w:pPr>
        <w:pStyle w:val="Footer"/>
      </w:pPr>
      <w:r>
        <w:t xml:space="preserve">Abbreviations: </w:t>
      </w:r>
      <w:r>
        <w:rPr>
          <w:rFonts w:cs="Times New Roman"/>
        </w:rPr>
        <w:t>FIL, filgrastim</w:t>
      </w:r>
      <w:r>
        <w:t xml:space="preserve">; FN, febrile neutropenia; LY, life year; </w:t>
      </w:r>
      <w:r>
        <w:rPr>
          <w:rFonts w:cs="Times New Roman"/>
        </w:rPr>
        <w:t xml:space="preserve">PEG, </w:t>
      </w:r>
      <w:proofErr w:type="spellStart"/>
      <w:r>
        <w:rPr>
          <w:rFonts w:cs="Times New Roman"/>
        </w:rPr>
        <w:t>pegfilgrastim</w:t>
      </w:r>
      <w:proofErr w:type="spellEnd"/>
      <w:r>
        <w:rPr>
          <w:rFonts w:cs="Times New Roman"/>
        </w:rPr>
        <w:t xml:space="preserve">; </w:t>
      </w:r>
      <w:r>
        <w:t>PSA, probability sensitivity analysis; QALY, quality-adjusted life year.</w:t>
      </w:r>
    </w:p>
    <w:p w14:paraId="742ED288" w14:textId="77777777" w:rsidR="002506A8" w:rsidRPr="001E29BB" w:rsidRDefault="002506A8" w:rsidP="002506A8">
      <w:pPr>
        <w:rPr>
          <w:lang w:eastAsia="nl-NL"/>
        </w:rPr>
      </w:pPr>
    </w:p>
    <w:p w14:paraId="434F8EE9" w14:textId="77777777" w:rsidR="002506A8" w:rsidRDefault="002506A8" w:rsidP="002506A8">
      <w:pPr>
        <w:spacing w:after="160" w:line="259" w:lineRule="auto"/>
        <w:jc w:val="left"/>
        <w:rPr>
          <w:rFonts w:eastAsia="SimSun" w:cs="Arial"/>
          <w:b/>
          <w:color w:val="000000"/>
          <w:sz w:val="21"/>
          <w:szCs w:val="21"/>
          <w:lang w:eastAsia="nl-NL"/>
        </w:rPr>
      </w:pPr>
      <w:r>
        <w:br w:type="page"/>
      </w:r>
    </w:p>
    <w:p w14:paraId="5E2A62E0" w14:textId="77777777" w:rsidR="002506A8" w:rsidRPr="001E29BB" w:rsidRDefault="002506A8" w:rsidP="002506A8">
      <w:pPr>
        <w:pStyle w:val="Caption"/>
        <w:rPr>
          <w:rFonts w:cs="Times New Roman"/>
        </w:rPr>
      </w:pPr>
      <w:bookmarkStart w:id="4" w:name="_Ref75353312"/>
      <w:r>
        <w:lastRenderedPageBreak/>
        <w:t xml:space="preserve">Supplemental Figure </w:t>
      </w:r>
      <w:r>
        <w:fldChar w:fldCharType="begin"/>
      </w:r>
      <w:r>
        <w:instrText>SEQ Supplemental_Figure \* 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2"/>
      <w:bookmarkEnd w:id="4"/>
      <w:r>
        <w:t>. O</w:t>
      </w:r>
      <w:r w:rsidRPr="001E29BB">
        <w:rPr>
          <w:rFonts w:cs="Times New Roman"/>
        </w:rPr>
        <w:t>WSA Tornado Diagrams</w:t>
      </w:r>
      <w:r>
        <w:rPr>
          <w:rFonts w:cs="Times New Roman"/>
        </w:rPr>
        <w:t xml:space="preserve"> for Incremental Cost-effectiveness Ratios</w:t>
      </w:r>
      <w:r w:rsidRPr="001E29BB">
        <w:rPr>
          <w:rFonts w:cs="Times New Roman"/>
        </w:rPr>
        <w:t xml:space="preserve">, By Outcome </w:t>
      </w:r>
    </w:p>
    <w:tbl>
      <w:tblPr>
        <w:tblStyle w:val="TableGrid"/>
        <w:tblW w:w="18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8"/>
      </w:tblGrid>
      <w:tr w:rsidR="002506A8" w14:paraId="373577FD" w14:textId="77777777" w:rsidTr="003D16FD">
        <w:tc>
          <w:tcPr>
            <w:tcW w:w="18218" w:type="dxa"/>
          </w:tcPr>
          <w:p w14:paraId="1B200A3D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A</w:t>
            </w: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. Cost per QALY gained, intermediate risk </w:t>
            </w:r>
          </w:p>
        </w:tc>
      </w:tr>
      <w:tr w:rsidR="002506A8" w14:paraId="1F2E4B43" w14:textId="77777777" w:rsidTr="003D16FD">
        <w:tc>
          <w:tcPr>
            <w:tcW w:w="18218" w:type="dxa"/>
          </w:tcPr>
          <w:p w14:paraId="1948F6BC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2D0C6B75" wp14:editId="50832984">
                  <wp:extent cx="6309360" cy="1867363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1867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6A8" w14:paraId="72FAAFA7" w14:textId="77777777" w:rsidTr="003D16FD">
        <w:tc>
          <w:tcPr>
            <w:tcW w:w="18218" w:type="dxa"/>
          </w:tcPr>
          <w:p w14:paraId="4E0A0F53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B</w:t>
            </w: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. Cost per LY gained, intermediate risk </w:t>
            </w:r>
          </w:p>
        </w:tc>
      </w:tr>
      <w:tr w:rsidR="002506A8" w14:paraId="04C6D5C5" w14:textId="77777777" w:rsidTr="003D16FD">
        <w:tc>
          <w:tcPr>
            <w:tcW w:w="18218" w:type="dxa"/>
          </w:tcPr>
          <w:p w14:paraId="163184F8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52DC87C4" wp14:editId="715149BC">
                  <wp:extent cx="6309360" cy="1867363"/>
                  <wp:effectExtent l="0" t="0" r="0" b="0"/>
                  <wp:docPr id="3" name="Picture 3" descr="Graphical user interface,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1867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6A8" w14:paraId="33FD0C63" w14:textId="77777777" w:rsidTr="003D16FD">
        <w:tc>
          <w:tcPr>
            <w:tcW w:w="18218" w:type="dxa"/>
          </w:tcPr>
          <w:p w14:paraId="5B039878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C</w:t>
            </w:r>
            <w:r w:rsidRPr="001E29BB">
              <w:rPr>
                <w:rFonts w:cs="Times New Roman"/>
                <w:sz w:val="21"/>
                <w:szCs w:val="21"/>
                <w:lang w:eastAsia="en-US"/>
              </w:rPr>
              <w:t xml:space="preserve">. Cost per FN avoided, intermediate risk </w:t>
            </w:r>
          </w:p>
        </w:tc>
      </w:tr>
      <w:tr w:rsidR="002506A8" w14:paraId="2366418F" w14:textId="77777777" w:rsidTr="003D16FD">
        <w:tc>
          <w:tcPr>
            <w:tcW w:w="9936" w:type="dxa"/>
          </w:tcPr>
          <w:p w14:paraId="0DD0EECF" w14:textId="77777777" w:rsidR="002506A8" w:rsidRPr="001E29BB" w:rsidRDefault="002506A8" w:rsidP="003D16FD">
            <w:pPr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5686A1D7" wp14:editId="05FB885B">
                  <wp:extent cx="6309360" cy="1867363"/>
                  <wp:effectExtent l="0" t="0" r="0" b="0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1867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EDD3EE" w14:textId="77777777" w:rsidR="002506A8" w:rsidRPr="001E29BB" w:rsidRDefault="002506A8" w:rsidP="002506A8">
      <w:pPr>
        <w:pStyle w:val="Footer"/>
      </w:pPr>
      <w:r w:rsidRPr="003D1ECD">
        <w:t>Note</w:t>
      </w:r>
      <w:r>
        <w:t>s</w:t>
      </w:r>
      <w:r w:rsidRPr="003D1ECD">
        <w:t>:</w:t>
      </w:r>
      <w:r>
        <w:t xml:space="preserve"> First, g</w:t>
      </w:r>
      <w:r w:rsidRPr="003D1ECD">
        <w:t xml:space="preserve">iven that reference products are always dominated by their less costly biosimilar products, assuming equivalent efficacy, only the biosimilar products </w:t>
      </w:r>
      <w:r>
        <w:t>were</w:t>
      </w:r>
      <w:r w:rsidRPr="003D1ECD">
        <w:t xml:space="preserve"> included in the sensitivity analyses for the comparison of </w:t>
      </w:r>
      <w:proofErr w:type="spellStart"/>
      <w:r w:rsidRPr="003D1ECD">
        <w:t>pegfilgrastim</w:t>
      </w:r>
      <w:proofErr w:type="spellEnd"/>
      <w:r w:rsidRPr="003D1ECD">
        <w:t xml:space="preserve"> </w:t>
      </w:r>
      <w:r>
        <w:t>vs</w:t>
      </w:r>
      <w:r w:rsidRPr="003D1ECD">
        <w:t xml:space="preserve"> filgrastim.</w:t>
      </w:r>
      <w:r>
        <w:t xml:space="preserve"> Second, given that </w:t>
      </w:r>
      <w:proofErr w:type="spellStart"/>
      <w:r>
        <w:t>pegfilgrastim</w:t>
      </w:r>
      <w:proofErr w:type="spellEnd"/>
      <w:r>
        <w:t xml:space="preserve"> biosimilar was estimated to be dominant over filgrastim biosimilar in all the OWSA for the </w:t>
      </w:r>
      <w:proofErr w:type="gramStart"/>
      <w:r>
        <w:t>high risk</w:t>
      </w:r>
      <w:proofErr w:type="gramEnd"/>
      <w:r>
        <w:t xml:space="preserve"> group, in which the incremental cost-effectiveness ratios are not applicable, the tornado diagrams are only presented for the intermediate risk group.</w:t>
      </w:r>
    </w:p>
    <w:p w14:paraId="52E82827" w14:textId="77777777" w:rsidR="002506A8" w:rsidRPr="001E29BB" w:rsidRDefault="002506A8" w:rsidP="002506A8">
      <w:pPr>
        <w:pStyle w:val="Footer"/>
      </w:pPr>
      <w:r>
        <w:t>Abbreviations: Admin., administration; chemo, chemotherapy; FN, febrile neutropenia; G-CSF, g</w:t>
      </w:r>
      <w:r w:rsidRPr="00F117CC">
        <w:t>ranulocyte colony-stimulating factor</w:t>
      </w:r>
      <w:r>
        <w:t>; PP, primary prophylaxis; RR, relative risk.</w:t>
      </w:r>
    </w:p>
    <w:p w14:paraId="2F594014" w14:textId="77777777" w:rsidR="002506A8" w:rsidRDefault="002506A8" w:rsidP="002506A8">
      <w:pPr>
        <w:spacing w:after="160" w:line="259" w:lineRule="auto"/>
        <w:jc w:val="left"/>
        <w:rPr>
          <w:rFonts w:eastAsia="SimSun" w:cs="Times New Roman"/>
          <w:b/>
          <w:color w:val="000000"/>
          <w:sz w:val="21"/>
          <w:szCs w:val="21"/>
          <w:lang w:eastAsia="nl-NL"/>
        </w:rPr>
      </w:pPr>
    </w:p>
    <w:p w14:paraId="42BB6389" w14:textId="77777777" w:rsidR="008B6AB1" w:rsidRDefault="008B6AB1"/>
    <w:sectPr w:rsidR="008B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6ABF"/>
    <w:multiLevelType w:val="multilevel"/>
    <w:tmpl w:val="26E47184"/>
    <w:lvl w:ilvl="0">
      <w:start w:val="1"/>
      <w:numFmt w:val="decimal"/>
      <w:pStyle w:val="DossierHeading1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DossierHeading2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Dossier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DossierHeading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A8"/>
    <w:rsid w:val="000072A6"/>
    <w:rsid w:val="002506A8"/>
    <w:rsid w:val="006125F2"/>
    <w:rsid w:val="008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37CC"/>
  <w15:chartTrackingRefBased/>
  <w15:docId w15:val="{54BAF1F5-E636-42F7-9FA8-AF9AEDB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8"/>
    <w:pPr>
      <w:spacing w:after="0" w:line="360" w:lineRule="auto"/>
      <w:jc w:val="both"/>
    </w:pPr>
    <w:rPr>
      <w:rFonts w:ascii="Times New Roman" w:eastAsiaTheme="minorEastAsia" w:hAnsi="Times New Roman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6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ssierHeading1">
    <w:name w:val="Dossier Heading 1"/>
    <w:basedOn w:val="Heading1"/>
    <w:next w:val="Normal"/>
    <w:qFormat/>
    <w:rsid w:val="002506A8"/>
    <w:pPr>
      <w:numPr>
        <w:numId w:val="1"/>
      </w:numPr>
      <w:tabs>
        <w:tab w:val="left" w:pos="1008"/>
      </w:tabs>
      <w:spacing w:before="0" w:after="320" w:line="276" w:lineRule="auto"/>
    </w:pPr>
    <w:rPr>
      <w:rFonts w:ascii="Arial Bold" w:hAnsi="Arial Bold"/>
      <w:b/>
      <w:bCs/>
      <w:caps/>
      <w:color w:val="auto"/>
      <w:szCs w:val="28"/>
      <w:lang w:eastAsia="en-US"/>
    </w:rPr>
  </w:style>
  <w:style w:type="paragraph" w:customStyle="1" w:styleId="DossierHeading2">
    <w:name w:val="Dossier Heading 2"/>
    <w:basedOn w:val="DossierHeading1"/>
    <w:next w:val="Normal"/>
    <w:qFormat/>
    <w:rsid w:val="002506A8"/>
    <w:pPr>
      <w:numPr>
        <w:ilvl w:val="1"/>
      </w:numPr>
      <w:spacing w:after="280"/>
      <w:outlineLvl w:val="1"/>
    </w:pPr>
    <w:rPr>
      <w:caps w:val="0"/>
      <w:sz w:val="24"/>
    </w:rPr>
  </w:style>
  <w:style w:type="paragraph" w:customStyle="1" w:styleId="DossierHeading3">
    <w:name w:val="Dossier Heading 3"/>
    <w:basedOn w:val="DossierHeading2"/>
    <w:next w:val="Normal"/>
    <w:qFormat/>
    <w:rsid w:val="002506A8"/>
    <w:pPr>
      <w:numPr>
        <w:ilvl w:val="2"/>
      </w:numPr>
      <w:spacing w:after="240"/>
      <w:outlineLvl w:val="2"/>
    </w:pPr>
    <w:rPr>
      <w:sz w:val="21"/>
    </w:rPr>
  </w:style>
  <w:style w:type="paragraph" w:customStyle="1" w:styleId="DossierHeading4">
    <w:name w:val="Dossier Heading 4"/>
    <w:basedOn w:val="DossierHeading3"/>
    <w:next w:val="Normal"/>
    <w:qFormat/>
    <w:rsid w:val="002506A8"/>
    <w:pPr>
      <w:keepNext w:val="0"/>
      <w:keepLines w:val="0"/>
      <w:numPr>
        <w:ilvl w:val="3"/>
      </w:numPr>
      <w:outlineLvl w:val="3"/>
    </w:pPr>
  </w:style>
  <w:style w:type="paragraph" w:styleId="Footer">
    <w:name w:val="footer"/>
    <w:link w:val="FooterChar"/>
    <w:qFormat/>
    <w:rsid w:val="002506A8"/>
    <w:pPr>
      <w:tabs>
        <w:tab w:val="right" w:pos="9000"/>
      </w:tabs>
      <w:spacing w:after="0" w:line="240" w:lineRule="exact"/>
      <w:jc w:val="both"/>
    </w:pPr>
    <w:rPr>
      <w:rFonts w:ascii="Times New Roman" w:eastAsia="SimSun" w:hAnsi="Times New Roman" w:cs="Arial"/>
      <w:sz w:val="18"/>
      <w:szCs w:val="14"/>
      <w:lang w:val="en-US"/>
    </w:rPr>
  </w:style>
  <w:style w:type="character" w:customStyle="1" w:styleId="FooterChar">
    <w:name w:val="Footer Char"/>
    <w:basedOn w:val="DefaultParagraphFont"/>
    <w:link w:val="Footer"/>
    <w:rsid w:val="002506A8"/>
    <w:rPr>
      <w:rFonts w:ascii="Times New Roman" w:eastAsia="SimSun" w:hAnsi="Times New Roman" w:cs="Arial"/>
      <w:sz w:val="18"/>
      <w:szCs w:val="14"/>
      <w:lang w:val="en-US"/>
    </w:rPr>
  </w:style>
  <w:style w:type="paragraph" w:styleId="Caption">
    <w:name w:val="caption"/>
    <w:basedOn w:val="Normal"/>
    <w:next w:val="Normal"/>
    <w:link w:val="CaptionChar"/>
    <w:qFormat/>
    <w:rsid w:val="002506A8"/>
    <w:pPr>
      <w:keepNext/>
      <w:tabs>
        <w:tab w:val="left" w:pos="1134"/>
      </w:tabs>
      <w:spacing w:after="120" w:line="276" w:lineRule="auto"/>
      <w:contextualSpacing/>
    </w:pPr>
    <w:rPr>
      <w:rFonts w:eastAsia="SimSun" w:cs="Arial"/>
      <w:b/>
      <w:color w:val="000000"/>
      <w:sz w:val="21"/>
      <w:szCs w:val="21"/>
      <w:lang w:eastAsia="nl-NL"/>
    </w:rPr>
  </w:style>
  <w:style w:type="table" w:styleId="TableGrid">
    <w:name w:val="Table Grid"/>
    <w:basedOn w:val="TableNormal"/>
    <w:uiPriority w:val="39"/>
    <w:rsid w:val="002506A8"/>
    <w:pPr>
      <w:spacing w:after="0" w:line="240" w:lineRule="auto"/>
    </w:pPr>
    <w:rPr>
      <w:rFonts w:ascii="Arial" w:eastAsia="SimSun" w:hAnsi="Arial" w:cs="Arial"/>
      <w:color w:val="000000"/>
      <w:sz w:val="21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rsid w:val="002506A8"/>
    <w:rPr>
      <w:rFonts w:ascii="Times New Roman" w:eastAsia="SimSun" w:hAnsi="Times New Roman" w:cs="Arial"/>
      <w:b/>
      <w:color w:val="000000"/>
      <w:sz w:val="21"/>
      <w:szCs w:val="21"/>
      <w:lang w:val="en-US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2506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2022-03-18T11:23:00Z</dcterms:created>
  <dcterms:modified xsi:type="dcterms:W3CDTF">2022-03-18T11:24:00Z</dcterms:modified>
</cp:coreProperties>
</file>