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711F" w14:textId="77777777" w:rsidR="005B2CE7" w:rsidRDefault="005B2CE7" w:rsidP="005B2CE7">
      <w:pPr>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Supplementary material</w:t>
      </w:r>
    </w:p>
    <w:p w14:paraId="53F991DC" w14:textId="5A23E146" w:rsidR="005B2CE7" w:rsidRDefault="0074323A" w:rsidP="005B2CE7">
      <w:pPr>
        <w:jc w:val="both"/>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Supplementary box</w:t>
      </w:r>
      <w:r w:rsidR="005B2CE7">
        <w:rPr>
          <w:rFonts w:ascii="Times New Roman" w:eastAsia="Times New Roman" w:hAnsi="Times New Roman" w:cs="Times New Roman"/>
          <w:b/>
          <w:color w:val="212121"/>
          <w:sz w:val="24"/>
          <w:szCs w:val="24"/>
          <w:highlight w:val="white"/>
        </w:rPr>
        <w:t xml:space="preserve">. </w:t>
      </w:r>
      <w:r w:rsidR="005B2CE7">
        <w:rPr>
          <w:rFonts w:ascii="Times New Roman" w:eastAsia="Times New Roman" w:hAnsi="Times New Roman" w:cs="Times New Roman"/>
          <w:b/>
          <w:color w:val="222222"/>
          <w:sz w:val="24"/>
          <w:szCs w:val="24"/>
          <w:highlight w:val="white"/>
        </w:rPr>
        <w:t>Longer-term outcomes of infections: lessons learnt so far</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5B2CE7" w14:paraId="56CECFB4" w14:textId="77777777" w:rsidTr="00D24EE8">
        <w:tc>
          <w:tcPr>
            <w:tcW w:w="9638" w:type="dxa"/>
            <w:shd w:val="clear" w:color="auto" w:fill="auto"/>
            <w:tcMar>
              <w:top w:w="100" w:type="dxa"/>
              <w:left w:w="100" w:type="dxa"/>
              <w:bottom w:w="100" w:type="dxa"/>
              <w:right w:w="100" w:type="dxa"/>
            </w:tcMar>
          </w:tcPr>
          <w:p w14:paraId="285D7F83" w14:textId="77777777" w:rsidR="005B2CE7" w:rsidRDefault="005B2CE7" w:rsidP="00D24EE8">
            <w:pPr>
              <w:spacing w:line="240" w:lineRule="auto"/>
              <w:jc w:val="both"/>
              <w:rPr>
                <w:rFonts w:ascii="Times New Roman" w:eastAsia="Times New Roman" w:hAnsi="Times New Roman" w:cs="Times New Roman"/>
                <w:b/>
                <w:i/>
                <w:color w:val="222222"/>
                <w:sz w:val="16"/>
                <w:szCs w:val="16"/>
                <w:highlight w:val="white"/>
              </w:rPr>
            </w:pPr>
            <w:r>
              <w:rPr>
                <w:rFonts w:ascii="Times New Roman" w:eastAsia="Times New Roman" w:hAnsi="Times New Roman" w:cs="Times New Roman"/>
                <w:b/>
                <w:i/>
                <w:color w:val="222222"/>
                <w:sz w:val="16"/>
                <w:szCs w:val="16"/>
                <w:highlight w:val="white"/>
              </w:rPr>
              <w:t>Respiratory Syncytial Virus (RSV)</w:t>
            </w:r>
          </w:p>
          <w:p w14:paraId="25F18F38" w14:textId="77777777" w:rsidR="005B2CE7" w:rsidRDefault="005B2CE7" w:rsidP="00D24EE8">
            <w:pPr>
              <w:spacing w:line="240" w:lineRule="auto"/>
              <w:jc w:val="both"/>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22222"/>
                <w:sz w:val="16"/>
                <w:szCs w:val="16"/>
                <w:highlight w:val="white"/>
              </w:rPr>
              <w:t>RSV is the leading etiological agent of acute bronchiolitis and one of the leading causes of hospitalization and mortality in children (</w:t>
            </w:r>
            <w:sdt>
              <w:sdtPr>
                <w:tag w:val="goog_rdk_126"/>
                <w:id w:val="-1471819641"/>
              </w:sdtPr>
              <w:sdtEndPr/>
              <w:sdtContent/>
            </w:sdt>
            <w:r>
              <w:rPr>
                <w:rFonts w:ascii="Times New Roman" w:eastAsia="Times New Roman" w:hAnsi="Times New Roman" w:cs="Times New Roman"/>
                <w:color w:val="222222"/>
                <w:sz w:val="16"/>
                <w:szCs w:val="16"/>
                <w:highlight w:val="white"/>
              </w:rPr>
              <w:t>4, 5). Although mechanisms are not fully established, several longitudinal studies have linked bronchiolitis in infancy with the development of recurrent wheezing and asthma, often requiring chronic inhaled therapy or multiple admissions, for years (</w:t>
            </w:r>
            <w:sdt>
              <w:sdtPr>
                <w:tag w:val="goog_rdk_127"/>
                <w:id w:val="-1101179211"/>
              </w:sdtPr>
              <w:sdtEndPr/>
              <w:sdtContent/>
            </w:sdt>
            <w:r>
              <w:rPr>
                <w:rFonts w:ascii="Times New Roman" w:eastAsia="Times New Roman" w:hAnsi="Times New Roman" w:cs="Times New Roman"/>
                <w:color w:val="222222"/>
                <w:sz w:val="16"/>
                <w:szCs w:val="16"/>
              </w:rPr>
              <w:t>6</w:t>
            </w:r>
            <w:r>
              <w:rPr>
                <w:rFonts w:ascii="Times New Roman" w:eastAsia="Times New Roman" w:hAnsi="Times New Roman" w:cs="Times New Roman"/>
                <w:color w:val="222222"/>
                <w:sz w:val="16"/>
                <w:szCs w:val="16"/>
                <w:highlight w:val="white"/>
              </w:rPr>
              <w:t xml:space="preserve">). In a recent study, </w:t>
            </w:r>
            <w:r>
              <w:rPr>
                <w:rFonts w:ascii="Times New Roman" w:eastAsia="Times New Roman" w:hAnsi="Times New Roman" w:cs="Times New Roman"/>
                <w:color w:val="212121"/>
                <w:sz w:val="16"/>
                <w:szCs w:val="16"/>
                <w:highlight w:val="white"/>
              </w:rPr>
              <w:t>including follow up of 266 children with bronchiolitis , 36 (13.5%) developed recurrent wheezing (RW) group, 65 (24.4%) were diagnosed with asthma (AS), while  the remaining 165 (62.1%) recovered fully  (</w:t>
            </w:r>
            <w:sdt>
              <w:sdtPr>
                <w:tag w:val="goog_rdk_128"/>
                <w:id w:val="-211658701"/>
              </w:sdtPr>
              <w:sdtEndPr/>
              <w:sdtContent/>
            </w:sdt>
            <w:r>
              <w:rPr>
                <w:rFonts w:ascii="Times New Roman" w:eastAsia="Times New Roman" w:hAnsi="Times New Roman" w:cs="Times New Roman"/>
                <w:color w:val="212121"/>
                <w:sz w:val="16"/>
                <w:szCs w:val="16"/>
                <w:highlight w:val="white"/>
              </w:rPr>
              <w:t xml:space="preserve">6). Importantly, Zhang </w:t>
            </w:r>
            <w:r>
              <w:rPr>
                <w:rFonts w:ascii="Times New Roman" w:eastAsia="Times New Roman" w:hAnsi="Times New Roman" w:cs="Times New Roman"/>
                <w:i/>
                <w:color w:val="212121"/>
                <w:sz w:val="16"/>
                <w:szCs w:val="16"/>
                <w:highlight w:val="white"/>
              </w:rPr>
              <w:t>et al</w:t>
            </w:r>
            <w:r>
              <w:rPr>
                <w:rFonts w:ascii="Times New Roman" w:eastAsia="Times New Roman" w:hAnsi="Times New Roman" w:cs="Times New Roman"/>
                <w:color w:val="212121"/>
                <w:sz w:val="16"/>
                <w:szCs w:val="16"/>
                <w:highlight w:val="white"/>
              </w:rPr>
              <w:t xml:space="preserve">., found that the relative abundance of </w:t>
            </w:r>
            <w:r>
              <w:rPr>
                <w:rFonts w:ascii="Times New Roman" w:eastAsia="Times New Roman" w:hAnsi="Times New Roman" w:cs="Times New Roman"/>
                <w:i/>
                <w:color w:val="212121"/>
                <w:sz w:val="16"/>
                <w:szCs w:val="16"/>
                <w:highlight w:val="white"/>
              </w:rPr>
              <w:t xml:space="preserve">Haemophilus, Moraxella, </w:t>
            </w:r>
            <w:r>
              <w:rPr>
                <w:rFonts w:ascii="Times New Roman" w:eastAsia="Times New Roman" w:hAnsi="Times New Roman" w:cs="Times New Roman"/>
                <w:color w:val="212121"/>
                <w:sz w:val="16"/>
                <w:szCs w:val="16"/>
                <w:highlight w:val="white"/>
              </w:rPr>
              <w:t xml:space="preserve">and </w:t>
            </w:r>
            <w:r>
              <w:rPr>
                <w:rFonts w:ascii="Times New Roman" w:eastAsia="Times New Roman" w:hAnsi="Times New Roman" w:cs="Times New Roman"/>
                <w:i/>
                <w:color w:val="212121"/>
                <w:sz w:val="16"/>
                <w:szCs w:val="16"/>
                <w:highlight w:val="white"/>
              </w:rPr>
              <w:t>Klebsiella</w:t>
            </w:r>
            <w:r>
              <w:rPr>
                <w:rFonts w:ascii="Times New Roman" w:eastAsia="Times New Roman" w:hAnsi="Times New Roman" w:cs="Times New Roman"/>
                <w:color w:val="212121"/>
                <w:sz w:val="16"/>
                <w:szCs w:val="16"/>
                <w:highlight w:val="white"/>
              </w:rPr>
              <w:t xml:space="preserve"> was higher in infants who later developed recurrent wheezing than in those who did not (LDA score &gt;3.5). Airway levels of LPS (P = .003), CXCL8 (P = .004), CCL5 (P = .029), IL-6 (P = .004), and IL-13 (P &lt; .001) were significantly higher in infants who later developed recurrent wheezing than in those who did not. Moreover, high airway abundance of </w:t>
            </w:r>
            <w:r>
              <w:rPr>
                <w:rFonts w:ascii="Times New Roman" w:eastAsia="Times New Roman" w:hAnsi="Times New Roman" w:cs="Times New Roman"/>
                <w:i/>
                <w:color w:val="212121"/>
                <w:sz w:val="16"/>
                <w:szCs w:val="16"/>
                <w:highlight w:val="white"/>
              </w:rPr>
              <w:t>Haemophilus</w:t>
            </w:r>
            <w:r>
              <w:rPr>
                <w:rFonts w:ascii="Times New Roman" w:eastAsia="Times New Roman" w:hAnsi="Times New Roman" w:cs="Times New Roman"/>
                <w:color w:val="212121"/>
                <w:sz w:val="16"/>
                <w:szCs w:val="16"/>
                <w:highlight w:val="white"/>
              </w:rPr>
              <w:t xml:space="preserve"> was associated with higher CXCL8 (r = 0.246, P = .037) levels. Abundance of Moraxella was associated with higher IL-6 level (r = 0.236, P = .046) and IL-10 level (r = 0.266, P = .024) (</w:t>
            </w:r>
            <w:sdt>
              <w:sdtPr>
                <w:tag w:val="goog_rdk_129"/>
                <w:id w:val="834040566"/>
              </w:sdtPr>
              <w:sdtEndPr/>
              <w:sdtContent/>
            </w:sdt>
            <w:r>
              <w:rPr>
                <w:rFonts w:ascii="Times New Roman" w:eastAsia="Times New Roman" w:hAnsi="Times New Roman" w:cs="Times New Roman"/>
                <w:color w:val="212121"/>
                <w:sz w:val="16"/>
                <w:szCs w:val="16"/>
                <w:highlight w:val="white"/>
              </w:rPr>
              <w:t xml:space="preserve">7). These data suggests that imbalances in host microbiota during an acute infection may impact on risk of longer term sequelae. Other post-infectious RSV immune dysregulations have been described: Maleewan Kitcharoensakkul </w:t>
            </w:r>
            <w:r>
              <w:rPr>
                <w:rFonts w:ascii="Times New Roman" w:eastAsia="Times New Roman" w:hAnsi="Times New Roman" w:cs="Times New Roman"/>
                <w:i/>
                <w:color w:val="212121"/>
                <w:sz w:val="16"/>
                <w:szCs w:val="16"/>
                <w:highlight w:val="white"/>
              </w:rPr>
              <w:t>et al.,</w:t>
            </w:r>
            <w:r>
              <w:rPr>
                <w:rFonts w:ascii="Times New Roman" w:eastAsia="Times New Roman" w:hAnsi="Times New Roman" w:cs="Times New Roman"/>
                <w:color w:val="212121"/>
                <w:sz w:val="16"/>
                <w:szCs w:val="16"/>
                <w:highlight w:val="white"/>
              </w:rPr>
              <w:t xml:space="preserve"> found lower TNF-α production by </w:t>
            </w:r>
            <w:r>
              <w:rPr>
                <w:rFonts w:ascii="Times New Roman" w:eastAsia="Times New Roman" w:hAnsi="Times New Roman" w:cs="Times New Roman"/>
                <w:i/>
                <w:color w:val="212121"/>
                <w:sz w:val="16"/>
                <w:szCs w:val="16"/>
                <w:highlight w:val="white"/>
              </w:rPr>
              <w:t>in vitro</w:t>
            </w:r>
            <w:r>
              <w:rPr>
                <w:rFonts w:ascii="Times New Roman" w:eastAsia="Times New Roman" w:hAnsi="Times New Roman" w:cs="Times New Roman"/>
                <w:color w:val="212121"/>
                <w:sz w:val="16"/>
                <w:szCs w:val="16"/>
                <w:highlight w:val="white"/>
              </w:rPr>
              <w:t xml:space="preserve"> stimulated CD4+ T cells during severe RSV bronchiolitis in children who  subsequently developed recurrent wheezing. This data supports the role of CD4+ T cell immunity in the development of post-acute RSV wheezing in these children (</w:t>
            </w:r>
            <w:sdt>
              <w:sdtPr>
                <w:tag w:val="goog_rdk_130"/>
                <w:id w:val="546419385"/>
              </w:sdtPr>
              <w:sdtEndPr/>
              <w:sdtContent/>
            </w:sdt>
            <w:r>
              <w:rPr>
                <w:rFonts w:ascii="Times New Roman" w:eastAsia="Times New Roman" w:hAnsi="Times New Roman" w:cs="Times New Roman"/>
                <w:color w:val="212121"/>
                <w:sz w:val="16"/>
                <w:szCs w:val="16"/>
                <w:highlight w:val="white"/>
              </w:rPr>
              <w:t>8, 9). In addition, different dysregulated interferon pathways have also been implicated in post-bronchiolitis wheezing (</w:t>
            </w:r>
            <w:sdt>
              <w:sdtPr>
                <w:tag w:val="goog_rdk_131"/>
                <w:id w:val="1715935701"/>
              </w:sdtPr>
              <w:sdtEndPr/>
              <w:sdtContent/>
            </w:sdt>
            <w:r>
              <w:rPr>
                <w:rFonts w:ascii="Times New Roman" w:eastAsia="Times New Roman" w:hAnsi="Times New Roman" w:cs="Times New Roman"/>
                <w:color w:val="212121"/>
                <w:sz w:val="16"/>
                <w:szCs w:val="16"/>
                <w:highlight w:val="white"/>
              </w:rPr>
              <w:t>8, 9).</w:t>
            </w:r>
          </w:p>
          <w:p w14:paraId="3F102DE3" w14:textId="77777777" w:rsidR="005B2CE7" w:rsidRDefault="005B2CE7" w:rsidP="00D24EE8">
            <w:pPr>
              <w:spacing w:line="240" w:lineRule="auto"/>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Epstein-Barr virus (EBV)</w:t>
            </w:r>
          </w:p>
          <w:p w14:paraId="6ABD2F6F" w14:textId="77777777" w:rsidR="005B2CE7" w:rsidRDefault="005B2CE7" w:rsidP="00D24EE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Epstein-Barr virus (EBV) is a double-stranded DNA virus belonging to the Herpes family. It is a common infectious agent, found in approximately 95% of the world’s population. Primary infection with EBV is more frequent during childhood, usually asymptomatic or presenting with mild symptoms. generally and causinges a mild infection, usually asymptomatic. which usually presents with no symptoms. When primary infection occurs during adolescence, it leads to infectious mononucleosis (IM) in 30-70% of cases, with risk of  (</w:t>
            </w:r>
            <w:sdt>
              <w:sdtPr>
                <w:tag w:val="goog_rdk_132"/>
                <w:id w:val="-337227321"/>
              </w:sdtPr>
              <w:sdtEndPr/>
              <w:sdtContent/>
            </w:sdt>
            <w:r>
              <w:rPr>
                <w:rFonts w:ascii="Times New Roman" w:eastAsia="Times New Roman" w:hAnsi="Times New Roman" w:cs="Times New Roman"/>
                <w:sz w:val="16"/>
                <w:szCs w:val="16"/>
              </w:rPr>
              <w:t>10)</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However, several, well-established  post acute complications are well established.</w:t>
            </w:r>
          </w:p>
          <w:p w14:paraId="76D1AA95" w14:textId="77777777" w:rsidR="005B2CE7" w:rsidRDefault="005B2CE7" w:rsidP="00D24EE8">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EBV is transmitted by saliva and initially infects epithelial cells in the oropharynx and nasopharynx. After which wards, EBV enters the underlying tissues and infects B-cells (</w:t>
            </w:r>
            <w:sdt>
              <w:sdtPr>
                <w:tag w:val="goog_rdk_133"/>
                <w:id w:val="-1901121261"/>
              </w:sdtPr>
              <w:sdtEndPr/>
              <w:sdtContent/>
            </w:sdt>
            <w:r>
              <w:rPr>
                <w:rFonts w:ascii="Times New Roman" w:eastAsia="Times New Roman" w:hAnsi="Times New Roman" w:cs="Times New Roman"/>
                <w:sz w:val="16"/>
                <w:szCs w:val="16"/>
              </w:rPr>
              <w:t>10, 11)</w:t>
            </w:r>
            <w:r>
              <w:rPr>
                <w:rFonts w:ascii="Times New Roman" w:eastAsia="Times New Roman" w:hAnsi="Times New Roman" w:cs="Times New Roman"/>
                <w:i/>
                <w:sz w:val="16"/>
                <w:szCs w:val="16"/>
              </w:rPr>
              <w:t>.</w:t>
            </w:r>
          </w:p>
          <w:p w14:paraId="648A2098" w14:textId="77777777" w:rsidR="005B2CE7" w:rsidRDefault="005B2CE7" w:rsidP="00D24EE8">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 xml:space="preserve">Latently infected B cells in peripheral blood are present for years after acute EBV infection. Each cell carries approximately two to five copies of an intact circular (latent, episomal) viral </w:t>
            </w:r>
            <w:r w:rsidRPr="009E66ED">
              <w:rPr>
                <w:rFonts w:ascii="Times New Roman" w:eastAsia="Times New Roman" w:hAnsi="Times New Roman" w:cs="Times New Roman"/>
                <w:sz w:val="16"/>
                <w:szCs w:val="16"/>
              </w:rPr>
              <w:t>genome (</w:t>
            </w:r>
            <w:sdt>
              <w:sdtPr>
                <w:tag w:val="goog_rdk_134"/>
                <w:id w:val="412058798"/>
              </w:sdtPr>
              <w:sdtEndPr/>
              <w:sdtContent/>
            </w:sdt>
            <w:r w:rsidRPr="009E66ED">
              <w:rPr>
                <w:rFonts w:ascii="Times New Roman" w:eastAsia="Times New Roman" w:hAnsi="Times New Roman" w:cs="Times New Roman"/>
                <w:sz w:val="16"/>
                <w:szCs w:val="16"/>
              </w:rPr>
              <w:t>10, 12).</w:t>
            </w:r>
          </w:p>
          <w:p w14:paraId="22115AD6" w14:textId="77777777" w:rsidR="005B2CE7" w:rsidRDefault="005B2CE7" w:rsidP="00D24EE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EBV has a unique biologic activity that transforms B-lymphocytes into lymphoblastoid cells that have the potential to proliferate autonomously in vivo. A This process might be responsible for the pathogenesis of neoplastic diseases associated with the virus </w:t>
            </w:r>
            <w:r>
              <w:rPr>
                <w:rFonts w:ascii="Times New Roman" w:eastAsia="Times New Roman" w:hAnsi="Times New Roman" w:cs="Times New Roman"/>
                <w:i/>
                <w:sz w:val="16"/>
                <w:szCs w:val="16"/>
              </w:rPr>
              <w:t>(</w:t>
            </w:r>
            <w:sdt>
              <w:sdtPr>
                <w:tag w:val="goog_rdk_135"/>
                <w:id w:val="696276191"/>
              </w:sdtPr>
              <w:sdtEndPr/>
              <w:sdtContent/>
            </w:sdt>
            <w:r>
              <w:rPr>
                <w:rFonts w:ascii="Times New Roman" w:eastAsia="Times New Roman" w:hAnsi="Times New Roman" w:cs="Times New Roman"/>
                <w:i/>
                <w:sz w:val="16"/>
                <w:szCs w:val="16"/>
              </w:rPr>
              <w:t>12).</w:t>
            </w:r>
          </w:p>
          <w:p w14:paraId="0ED681A3" w14:textId="77777777" w:rsidR="005B2CE7" w:rsidRDefault="005B2CE7" w:rsidP="00D24EE8">
            <w:pPr>
              <w:spacing w:after="0" w:line="240" w:lineRule="auto"/>
              <w:jc w:val="both"/>
              <w:rPr>
                <w:rFonts w:ascii="Times New Roman" w:eastAsia="Times New Roman" w:hAnsi="Times New Roman" w:cs="Times New Roman"/>
                <w:color w:val="FF0000"/>
                <w:sz w:val="16"/>
                <w:szCs w:val="16"/>
                <w:highlight w:val="white"/>
              </w:rPr>
            </w:pPr>
            <w:r>
              <w:rPr>
                <w:rFonts w:ascii="Times New Roman" w:eastAsia="Times New Roman" w:hAnsi="Times New Roman" w:cs="Times New Roman"/>
                <w:b/>
                <w:sz w:val="16"/>
                <w:szCs w:val="16"/>
              </w:rPr>
              <w:t>Lymphoproliferative cancers</w:t>
            </w:r>
            <w:r>
              <w:rPr>
                <w:rFonts w:ascii="Times New Roman" w:eastAsia="Times New Roman" w:hAnsi="Times New Roman" w:cs="Times New Roman"/>
                <w:sz w:val="16"/>
                <w:szCs w:val="16"/>
              </w:rPr>
              <w:t xml:space="preserve"> are the most well established late-onset complication ofto EBV infection. As EBV preferentially infects B- cells via the CD21 receptor, it has a strong association with B-lineage-lymphoproliferative diseases or lymphomas, such as post-transplant lymphoproliferative disorders, Hodgkin lymphoma, Burkitt lymphoma and EBV positive diffuse large B-cell lymphoma (13, 14)</w:t>
            </w:r>
            <w:r>
              <w:rPr>
                <w:rFonts w:ascii="Times New Roman" w:eastAsia="Times New Roman" w:hAnsi="Times New Roman" w:cs="Times New Roman"/>
                <w:i/>
                <w:sz w:val="16"/>
                <w:szCs w:val="16"/>
              </w:rPr>
              <w:t>.</w:t>
            </w:r>
          </w:p>
          <w:p w14:paraId="5637FF0A" w14:textId="77777777" w:rsidR="005B2CE7" w:rsidRDefault="005B2CE7" w:rsidP="00D24EE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It also infects T- or natural killer (NK)-lineage cells at a lower frequency and it is associated with T- or NK-cell malignancies, such as extranodal NK/T cell lymphoma and aggressive NK-cell leukaemia (15)</w:t>
            </w:r>
            <w:r>
              <w:rPr>
                <w:rFonts w:ascii="Times New Roman" w:eastAsia="Times New Roman" w:hAnsi="Times New Roman" w:cs="Times New Roman"/>
                <w:i/>
                <w:sz w:val="16"/>
                <w:szCs w:val="16"/>
              </w:rPr>
              <w:t>.</w:t>
            </w:r>
          </w:p>
          <w:p w14:paraId="3D3FFEA5" w14:textId="77777777" w:rsidR="005B2CE7" w:rsidRDefault="005B2CE7" w:rsidP="00D24EE8">
            <w:pP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EBV infection is also associated with</w:t>
            </w:r>
            <w:r>
              <w:rPr>
                <w:rFonts w:ascii="Times New Roman" w:eastAsia="Times New Roman" w:hAnsi="Times New Roman" w:cs="Times New Roman"/>
                <w:b/>
                <w:sz w:val="16"/>
                <w:szCs w:val="16"/>
              </w:rPr>
              <w:t xml:space="preserve"> epithelial cell malignancies </w:t>
            </w:r>
            <w:r>
              <w:rPr>
                <w:rFonts w:ascii="Times New Roman" w:eastAsia="Times New Roman" w:hAnsi="Times New Roman" w:cs="Times New Roman"/>
                <w:sz w:val="16"/>
                <w:szCs w:val="16"/>
              </w:rPr>
              <w:t xml:space="preserve">such as </w:t>
            </w:r>
            <w:r>
              <w:rPr>
                <w:rFonts w:ascii="Times New Roman" w:eastAsia="Times New Roman" w:hAnsi="Times New Roman" w:cs="Times New Roman"/>
                <w:b/>
                <w:sz w:val="16"/>
                <w:szCs w:val="16"/>
              </w:rPr>
              <w:t>nasopharyingeal carcinoma (NPC) and gastric carcinoma</w:t>
            </w:r>
            <w:r>
              <w:rPr>
                <w:rFonts w:ascii="Times New Roman" w:eastAsia="Times New Roman" w:hAnsi="Times New Roman" w:cs="Times New Roman"/>
                <w:sz w:val="16"/>
                <w:szCs w:val="16"/>
              </w:rPr>
              <w:t xml:space="preserve">. The latent EBV infection in pre-invasive nasopharyngeal epithelium might be an early stage of NPC pathogenesis. </w:t>
            </w:r>
            <w:r>
              <w:rPr>
                <w:rFonts w:ascii="Times New Roman" w:eastAsia="Times New Roman" w:hAnsi="Times New Roman" w:cs="Times New Roman"/>
                <w:i/>
                <w:sz w:val="16"/>
                <w:szCs w:val="16"/>
              </w:rPr>
              <w:t>Campion NJ et. al</w:t>
            </w:r>
            <w:r>
              <w:rPr>
                <w:rFonts w:ascii="Times New Roman" w:eastAsia="Times New Roman" w:hAnsi="Times New Roman" w:cs="Times New Roman"/>
                <w:sz w:val="16"/>
                <w:szCs w:val="16"/>
              </w:rPr>
              <w:t xml:space="preserve"> showed that p16 inactivation and Cyclin D1 overexpression appear to be important early events to allow EBV latency in nasopharyngeal cells (16)</w:t>
            </w:r>
            <w:r>
              <w:rPr>
                <w:rFonts w:ascii="Times New Roman" w:eastAsia="Times New Roman" w:hAnsi="Times New Roman" w:cs="Times New Roman"/>
                <w:i/>
                <w:sz w:val="16"/>
                <w:szCs w:val="16"/>
              </w:rPr>
              <w:t>.</w:t>
            </w:r>
            <w:r>
              <w:rPr>
                <w:rFonts w:ascii="Times New Roman" w:eastAsia="Times New Roman" w:hAnsi="Times New Roman" w:cs="Times New Roman"/>
                <w:sz w:val="16"/>
                <w:szCs w:val="16"/>
              </w:rPr>
              <w:t xml:space="preserve"> Moreover, some studies suggest that dysregulated NF-κB (Nuclear Factor Kappa-light-chain-enhancer of activated B cells) signaling may contribute to the establishment of latent EBV infection in NPC. Stable EBV infection and the expression of latent EBV genes are responsible for transformation of pre-invasive nasopharyngeal epithelial cells to cancer cells through multiple pathways (17, 18)</w:t>
            </w:r>
            <w:r>
              <w:rPr>
                <w:rFonts w:ascii="Times New Roman" w:eastAsia="Times New Roman" w:hAnsi="Times New Roman" w:cs="Times New Roman"/>
                <w:i/>
                <w:sz w:val="16"/>
                <w:szCs w:val="16"/>
              </w:rPr>
              <w:t>.</w:t>
            </w:r>
          </w:p>
          <w:p w14:paraId="5B18DBE1" w14:textId="77777777" w:rsidR="005B2CE7" w:rsidRDefault="005B2CE7" w:rsidP="00D24EE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Myalgic encephalomyelitis/chronic fatigue syndrome (ME/CFS)</w:t>
            </w:r>
            <w:r>
              <w:rPr>
                <w:rFonts w:ascii="Times New Roman" w:eastAsia="Times New Roman" w:hAnsi="Times New Roman" w:cs="Times New Roman"/>
                <w:sz w:val="16"/>
                <w:szCs w:val="16"/>
              </w:rPr>
              <w:t xml:space="preserve"> is a chronic multisystem disease characterized by at least six months of fatigue and various other symptoms, including headache, sore throat, muscle pain, joint pain, muscle weakness, post-exertional malaise, orthostatic intolerance, cognitive problems, anxietysleep abnormalities,  anxiety and depression. As demonstrated in a recent study by</w:t>
            </w:r>
            <w:r>
              <w:rPr>
                <w:rFonts w:ascii="Times New Roman" w:eastAsia="Times New Roman" w:hAnsi="Times New Roman" w:cs="Times New Roman"/>
                <w:color w:val="212121"/>
                <w:sz w:val="16"/>
                <w:szCs w:val="16"/>
                <w:highlight w:val="white"/>
              </w:rPr>
              <w:t xml:space="preserve"> </w:t>
            </w:r>
            <w:hyperlink r:id="rId4">
              <w:r>
                <w:rPr>
                  <w:rFonts w:ascii="Times New Roman" w:eastAsia="Times New Roman" w:hAnsi="Times New Roman" w:cs="Times New Roman"/>
                  <w:i/>
                  <w:sz w:val="16"/>
                  <w:szCs w:val="16"/>
                </w:rPr>
                <w:t>Evelina Shikova</w:t>
              </w:r>
            </w:hyperlink>
            <w:r>
              <w:rPr>
                <w:rFonts w:ascii="Times New Roman" w:eastAsia="Times New Roman" w:hAnsi="Times New Roman" w:cs="Times New Roman"/>
                <w:i/>
                <w:sz w:val="16"/>
                <w:szCs w:val="16"/>
              </w:rPr>
              <w:t> et al.</w:t>
            </w:r>
            <w:r>
              <w:rPr>
                <w:rFonts w:ascii="Times New Roman" w:eastAsia="Times New Roman" w:hAnsi="Times New Roman" w:cs="Times New Roman"/>
                <w:sz w:val="16"/>
                <w:szCs w:val="16"/>
              </w:rPr>
              <w:t xml:space="preserve"> EBV infection is a well-known trigger of CFS </w:t>
            </w:r>
            <w:r w:rsidRPr="009E66ED">
              <w:rPr>
                <w:rFonts w:ascii="Times New Roman" w:eastAsia="Times New Roman" w:hAnsi="Times New Roman" w:cs="Times New Roman"/>
                <w:sz w:val="16"/>
                <w:szCs w:val="16"/>
              </w:rPr>
              <w:t>(19)</w:t>
            </w:r>
            <w:r>
              <w:rPr>
                <w:rFonts w:ascii="Times New Roman" w:eastAsia="Times New Roman" w:hAnsi="Times New Roman" w:cs="Times New Roman"/>
                <w:i/>
                <w:sz w:val="16"/>
                <w:szCs w:val="16"/>
              </w:rPr>
              <w:t>.</w:t>
            </w:r>
            <w:r>
              <w:rPr>
                <w:rFonts w:ascii="Times New Roman" w:eastAsia="Times New Roman" w:hAnsi="Times New Roman" w:cs="Times New Roman"/>
                <w:sz w:val="16"/>
                <w:szCs w:val="16"/>
              </w:rPr>
              <w:t xml:space="preserve"> According to </w:t>
            </w:r>
            <w:r>
              <w:rPr>
                <w:rFonts w:ascii="Times New Roman" w:eastAsia="Times New Roman" w:hAnsi="Times New Roman" w:cs="Times New Roman"/>
                <w:i/>
                <w:sz w:val="16"/>
                <w:szCs w:val="16"/>
              </w:rPr>
              <w:t>Ben Z. Katz et al</w:t>
            </w:r>
            <w:r>
              <w:rPr>
                <w:rFonts w:ascii="Times New Roman" w:eastAsia="Times New Roman" w:hAnsi="Times New Roman" w:cs="Times New Roman"/>
                <w:sz w:val="16"/>
                <w:szCs w:val="16"/>
              </w:rPr>
              <w:t xml:space="preserve">. among 301 adolescents with IM, 11-13% are reported to have CFS six months after EBV infection. Several mechanisms have been proposed to be involved in the development of ME/CFS after EBV infection. </w:t>
            </w:r>
            <w:r>
              <w:rPr>
                <w:rFonts w:ascii="Times New Roman" w:eastAsia="Times New Roman" w:hAnsi="Times New Roman" w:cs="Times New Roman"/>
                <w:i/>
                <w:sz w:val="16"/>
                <w:szCs w:val="16"/>
              </w:rPr>
              <w:t>Ruiz-Pablos et al.</w:t>
            </w:r>
            <w:r>
              <w:rPr>
                <w:rFonts w:ascii="Times New Roman" w:eastAsia="Times New Roman" w:hAnsi="Times New Roman" w:cs="Times New Roman"/>
                <w:sz w:val="16"/>
                <w:szCs w:val="16"/>
              </w:rPr>
              <w:t xml:space="preserve"> recently suggest that the pathogenetic mechanism underlying ME/CSF and EBV is the ability of EBV-infected latent cells to escape cellular surveillance</w:t>
            </w:r>
            <w:r>
              <w:rPr>
                <w:rFonts w:ascii="Times New Roman" w:eastAsia="Times New Roman" w:hAnsi="Times New Roman" w:cs="Times New Roman"/>
                <w:sz w:val="16"/>
                <w:szCs w:val="16"/>
                <w:highlight w:val="white"/>
              </w:rPr>
              <w:t>. They also hypothesize that within ME/CFS there is a subgroup of patients with DRB1 and DQB1 alleles that could confer greater susceptibility to EBV</w:t>
            </w:r>
            <w:r>
              <w:rPr>
                <w:rFonts w:ascii="Times New Roman" w:eastAsia="Times New Roman" w:hAnsi="Times New Roman" w:cs="Times New Roman"/>
                <w:sz w:val="16"/>
                <w:szCs w:val="16"/>
              </w:rPr>
              <w:t xml:space="preserve"> (20-22)</w:t>
            </w:r>
            <w:r>
              <w:rPr>
                <w:rFonts w:ascii="Times New Roman" w:eastAsia="Times New Roman" w:hAnsi="Times New Roman" w:cs="Times New Roman"/>
                <w:i/>
                <w:sz w:val="16"/>
                <w:szCs w:val="16"/>
              </w:rPr>
              <w:t>. Kerr J.</w:t>
            </w:r>
            <w:r>
              <w:rPr>
                <w:rFonts w:ascii="Times New Roman" w:eastAsia="Times New Roman" w:hAnsi="Times New Roman" w:cs="Times New Roman"/>
                <w:sz w:val="16"/>
                <w:szCs w:val="16"/>
              </w:rPr>
              <w:t xml:space="preserve"> in his studies reported upregulation of Early Growth Response genes (EGR1, EGR2, EGR3) occurred in ME/CFS patients with a raised level of EBV virus induced gene 2 (EBI2) mRNA, suggesting that expression of these four genes in peripheral blood mononuclear cells (PBMC) of ME/CFS patients was linked with EBV infection/reactivation</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(20-22)</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Neuroinflammation is also involved in ME/CFS pathogenesis (23).</w:t>
            </w:r>
            <w:r>
              <w:rPr>
                <w:rFonts w:ascii="Times New Roman" w:eastAsia="Times New Roman" w:hAnsi="Times New Roman" w:cs="Times New Roman"/>
                <w:i/>
                <w:sz w:val="16"/>
                <w:szCs w:val="16"/>
              </w:rPr>
              <w:t xml:space="preserve"> </w:t>
            </w:r>
          </w:p>
          <w:p w14:paraId="63B81BB5" w14:textId="77777777" w:rsidR="005B2CE7" w:rsidRDefault="005B2CE7" w:rsidP="00D24EE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EBV could be associated also with </w:t>
            </w:r>
            <w:r>
              <w:rPr>
                <w:rFonts w:ascii="Times New Roman" w:eastAsia="Times New Roman" w:hAnsi="Times New Roman" w:cs="Times New Roman"/>
                <w:b/>
                <w:sz w:val="16"/>
                <w:szCs w:val="16"/>
              </w:rPr>
              <w:t>autoimmune diseases</w:t>
            </w:r>
            <w:r>
              <w:rPr>
                <w:rFonts w:ascii="Times New Roman" w:eastAsia="Times New Roman" w:hAnsi="Times New Roman" w:cs="Times New Roman"/>
                <w:sz w:val="16"/>
                <w:szCs w:val="16"/>
              </w:rPr>
              <w:t>, such as rheumatoid arthritis, systemic lupus erythematosus, multiple sclerosis (24), inflammatory bowel diseases, autoimmune thyroiditis, insulin-dependent diabetes mellitus, Sjögren’s syndrome, autoimmune liver diseases, systemic sclerosis and myasthenia gravis (25-28)</w:t>
            </w:r>
            <w:r>
              <w:rPr>
                <w:rFonts w:ascii="Times New Roman" w:eastAsia="Times New Roman" w:hAnsi="Times New Roman" w:cs="Times New Roman"/>
                <w:i/>
                <w:sz w:val="16"/>
                <w:szCs w:val="16"/>
              </w:rPr>
              <w:t>.</w:t>
            </w:r>
            <w:r>
              <w:rPr>
                <w:rFonts w:ascii="Times New Roman" w:eastAsia="Times New Roman" w:hAnsi="Times New Roman" w:cs="Times New Roman"/>
                <w:sz w:val="16"/>
                <w:szCs w:val="16"/>
              </w:rPr>
              <w:t xml:space="preserve"> One of the main mechanisms underlying the link between EBV infection and autoimmunity may be molecular mimicry </w:t>
            </w:r>
            <w:r>
              <w:rPr>
                <w:rFonts w:ascii="Times New Roman" w:eastAsia="Times New Roman" w:hAnsi="Times New Roman" w:cs="Times New Roman"/>
                <w:i/>
                <w:sz w:val="16"/>
                <w:szCs w:val="16"/>
              </w:rPr>
              <w:t>or</w:t>
            </w:r>
            <w:r>
              <w:rPr>
                <w:rFonts w:ascii="Times New Roman" w:eastAsia="Times New Roman" w:hAnsi="Times New Roman" w:cs="Times New Roman"/>
                <w:sz w:val="16"/>
                <w:szCs w:val="16"/>
              </w:rPr>
              <w:t xml:space="preserve"> by ‘bystander activation’</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(25-28)</w:t>
            </w:r>
            <w:r>
              <w:rPr>
                <w:rFonts w:ascii="Times New Roman" w:eastAsia="Times New Roman" w:hAnsi="Times New Roman" w:cs="Times New Roman"/>
                <w:i/>
                <w:sz w:val="16"/>
                <w:szCs w:val="16"/>
              </w:rPr>
              <w:t>.</w:t>
            </w:r>
          </w:p>
          <w:p w14:paraId="290BC7D8" w14:textId="77777777" w:rsidR="005B2CE7" w:rsidRDefault="005B2CE7" w:rsidP="00D24EE8">
            <w:pPr>
              <w:spacing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Alice in Wonderland syndrome</w:t>
            </w:r>
            <w:r>
              <w:rPr>
                <w:rFonts w:ascii="Times New Roman" w:eastAsia="Times New Roman" w:hAnsi="Times New Roman" w:cs="Times New Roman"/>
                <w:sz w:val="16"/>
                <w:szCs w:val="16"/>
              </w:rPr>
              <w:t xml:space="preserve"> is described both during acute infections and during EBV reactivations </w:t>
            </w:r>
            <w:r w:rsidRPr="00893CD2">
              <w:rPr>
                <w:rFonts w:ascii="Times New Roman" w:eastAsia="Times New Roman" w:hAnsi="Times New Roman" w:cs="Times New Roman"/>
                <w:sz w:val="16"/>
                <w:szCs w:val="16"/>
              </w:rPr>
              <w:t>(</w:t>
            </w:r>
            <w:r>
              <w:rPr>
                <w:rFonts w:ascii="Times New Roman" w:eastAsia="Times New Roman" w:hAnsi="Times New Roman" w:cs="Times New Roman"/>
                <w:sz w:val="16"/>
                <w:szCs w:val="16"/>
              </w:rPr>
              <w:t>28</w:t>
            </w:r>
            <w:r w:rsidRPr="00893CD2">
              <w:rPr>
                <w:rFonts w:ascii="Times New Roman" w:eastAsia="Times New Roman" w:hAnsi="Times New Roman" w:cs="Times New Roman"/>
                <w:sz w:val="16"/>
                <w:szCs w:val="16"/>
              </w:rPr>
              <w:t>)</w:t>
            </w:r>
            <w:r>
              <w:rPr>
                <w:rFonts w:ascii="Times New Roman" w:eastAsia="Times New Roman" w:hAnsi="Times New Roman" w:cs="Times New Roman"/>
                <w:b/>
                <w:sz w:val="16"/>
                <w:szCs w:val="16"/>
              </w:rPr>
              <w:t xml:space="preserve">. </w:t>
            </w:r>
          </w:p>
          <w:p w14:paraId="43FE822F" w14:textId="77777777" w:rsidR="005B2CE7" w:rsidRDefault="005B2CE7" w:rsidP="00D24EE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Exposure to EBV has also been associated with attachment </w:t>
            </w:r>
            <w:r>
              <w:rPr>
                <w:rFonts w:ascii="Times New Roman" w:eastAsia="Times New Roman" w:hAnsi="Times New Roman" w:cs="Times New Roman"/>
                <w:b/>
                <w:sz w:val="16"/>
                <w:szCs w:val="16"/>
              </w:rPr>
              <w:t>anxiety, psychotic experiences</w:t>
            </w:r>
            <w:r>
              <w:rPr>
                <w:rFonts w:ascii="Times New Roman" w:eastAsia="Times New Roman" w:hAnsi="Times New Roman" w:cs="Times New Roman"/>
                <w:sz w:val="16"/>
                <w:szCs w:val="16"/>
              </w:rPr>
              <w:t xml:space="preserve"> in adolescence, and </w:t>
            </w:r>
            <w:r>
              <w:rPr>
                <w:rFonts w:ascii="Times New Roman" w:eastAsia="Times New Roman" w:hAnsi="Times New Roman" w:cs="Times New Roman"/>
                <w:b/>
                <w:sz w:val="16"/>
                <w:szCs w:val="16"/>
              </w:rPr>
              <w:t>cognitive impairments</w:t>
            </w:r>
            <w:r>
              <w:rPr>
                <w:rFonts w:ascii="Times New Roman" w:eastAsia="Times New Roman" w:hAnsi="Times New Roman" w:cs="Times New Roman"/>
                <w:sz w:val="16"/>
                <w:szCs w:val="16"/>
              </w:rPr>
              <w:t xml:space="preserve"> in some individuals (29-31). </w:t>
            </w:r>
            <w:r>
              <w:rPr>
                <w:rFonts w:ascii="Times New Roman" w:eastAsia="Times New Roman" w:hAnsi="Times New Roman" w:cs="Times New Roman"/>
                <w:i/>
                <w:sz w:val="16"/>
                <w:szCs w:val="16"/>
              </w:rPr>
              <w:t>Dickerson F. et. al</w:t>
            </w:r>
            <w:r>
              <w:rPr>
                <w:rFonts w:ascii="Times New Roman" w:eastAsia="Times New Roman" w:hAnsi="Times New Roman" w:cs="Times New Roman"/>
                <w:sz w:val="16"/>
                <w:szCs w:val="16"/>
              </w:rPr>
              <w:t xml:space="preserve"> found that individuals with schizophrenia had elevations in the levels of antibodies to EBV virions as compared to the control population (29-31)</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EBV is a known neurotropic infectious agent. The human brain continues to develop during childhood and early adulthood; hence, infection during this period could potentially increase the risk of neurological abnormalities. Possible pathophysiological </w:t>
            </w:r>
            <w:r>
              <w:rPr>
                <w:rFonts w:ascii="Times New Roman" w:eastAsia="Times New Roman" w:hAnsi="Times New Roman" w:cs="Times New Roman"/>
                <w:sz w:val="16"/>
                <w:szCs w:val="16"/>
              </w:rPr>
              <w:lastRenderedPageBreak/>
              <w:t>mechanisms include inflammatory cytokines affecting the brain after the activation of the innate immune system (25).</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 xml:space="preserve"> Last, growing evidence suggest that EBV also play a primary role in the pathogenesis of multiple sclerosis (24).</w:t>
            </w:r>
          </w:p>
          <w:p w14:paraId="15D52150" w14:textId="77777777" w:rsidR="005B2CE7" w:rsidRDefault="005B2CE7" w:rsidP="00D24EE8">
            <w:pPr>
              <w:spacing w:line="240" w:lineRule="auto"/>
              <w:jc w:val="both"/>
              <w:rPr>
                <w:rFonts w:ascii="Times New Roman" w:eastAsia="Times New Roman" w:hAnsi="Times New Roman" w:cs="Times New Roman"/>
                <w:b/>
                <w:i/>
                <w:color w:val="212121"/>
                <w:sz w:val="16"/>
                <w:szCs w:val="16"/>
                <w:highlight w:val="white"/>
              </w:rPr>
            </w:pPr>
          </w:p>
          <w:p w14:paraId="2C6BC48B" w14:textId="77777777" w:rsidR="005B2CE7" w:rsidRPr="00893CD2" w:rsidRDefault="005B2CE7" w:rsidP="00D24EE8">
            <w:pPr>
              <w:spacing w:line="240" w:lineRule="auto"/>
              <w:jc w:val="both"/>
              <w:rPr>
                <w:rFonts w:ascii="Times New Roman" w:eastAsia="Times New Roman" w:hAnsi="Times New Roman" w:cs="Times New Roman"/>
                <w:b/>
                <w:i/>
                <w:color w:val="212121"/>
                <w:sz w:val="16"/>
                <w:szCs w:val="16"/>
                <w:highlight w:val="white"/>
              </w:rPr>
            </w:pPr>
            <w:r w:rsidRPr="00893CD2">
              <w:rPr>
                <w:rFonts w:ascii="Times New Roman" w:eastAsia="Times New Roman" w:hAnsi="Times New Roman" w:cs="Times New Roman"/>
                <w:b/>
                <w:i/>
                <w:color w:val="212121"/>
                <w:sz w:val="16"/>
                <w:szCs w:val="16"/>
                <w:highlight w:val="white"/>
              </w:rPr>
              <w:t xml:space="preserve">Streptococcus pyogenes  </w:t>
            </w:r>
          </w:p>
          <w:p w14:paraId="3D5FD11A" w14:textId="77777777" w:rsidR="005B2CE7" w:rsidRDefault="005B2CE7" w:rsidP="00D24EE8">
            <w:pPr>
              <w:spacing w:line="240" w:lineRule="auto"/>
              <w:jc w:val="both"/>
              <w:rPr>
                <w:rFonts w:ascii="Times New Roman" w:eastAsia="Times New Roman" w:hAnsi="Times New Roman" w:cs="Times New Roman"/>
                <w:color w:val="202122"/>
                <w:sz w:val="16"/>
                <w:szCs w:val="16"/>
                <w:highlight w:val="white"/>
              </w:rPr>
            </w:pPr>
            <w:r>
              <w:rPr>
                <w:rFonts w:ascii="Times New Roman" w:eastAsia="Times New Roman" w:hAnsi="Times New Roman" w:cs="Times New Roman"/>
                <w:i/>
                <w:color w:val="212121"/>
                <w:sz w:val="16"/>
                <w:szCs w:val="16"/>
                <w:highlight w:val="white"/>
              </w:rPr>
              <w:t>Streptococco Pyogenes, also known as group A Streptococcus (GAS) is a gram positive bacterium which frequently causes human infections such as pharyngitis and</w:t>
            </w:r>
            <w:r>
              <w:rPr>
                <w:rFonts w:ascii="Times New Roman" w:eastAsia="Times New Roman" w:hAnsi="Times New Roman" w:cs="Times New Roman"/>
                <w:color w:val="202122"/>
                <w:sz w:val="16"/>
                <w:szCs w:val="16"/>
                <w:highlight w:val="white"/>
              </w:rPr>
              <w:t xml:space="preserve"> Scarlet fever, or more severe disease like </w:t>
            </w:r>
            <w:r>
              <w:rPr>
                <w:rFonts w:ascii="Times New Roman" w:eastAsia="Times New Roman" w:hAnsi="Times New Roman" w:cs="Times New Roman"/>
                <w:sz w:val="16"/>
                <w:szCs w:val="16"/>
                <w:highlight w:val="white"/>
              </w:rPr>
              <w:t xml:space="preserve">necrotizing fasciitis </w:t>
            </w:r>
            <w:r>
              <w:rPr>
                <w:rFonts w:ascii="Times New Roman" w:eastAsia="Times New Roman" w:hAnsi="Times New Roman" w:cs="Times New Roman"/>
                <w:color w:val="202122"/>
                <w:sz w:val="16"/>
                <w:szCs w:val="16"/>
                <w:highlight w:val="white"/>
              </w:rPr>
              <w:t xml:space="preserve">and streptococcal </w:t>
            </w:r>
            <w:r>
              <w:rPr>
                <w:rFonts w:ascii="Times New Roman" w:eastAsia="Times New Roman" w:hAnsi="Times New Roman" w:cs="Times New Roman"/>
                <w:sz w:val="16"/>
                <w:szCs w:val="16"/>
                <w:highlight w:val="white"/>
              </w:rPr>
              <w:t xml:space="preserve">toxic shock syndrome. However, GAS is much well defined for its post-infectious sequeale, suche as </w:t>
            </w:r>
            <w:r>
              <w:rPr>
                <w:rFonts w:ascii="Times New Roman" w:eastAsia="Times New Roman" w:hAnsi="Times New Roman" w:cs="Times New Roman"/>
                <w:b/>
                <w:color w:val="202122"/>
                <w:sz w:val="16"/>
                <w:szCs w:val="16"/>
                <w:highlight w:val="white"/>
              </w:rPr>
              <w:t xml:space="preserve">Acute Rheumatic Fever, </w:t>
            </w:r>
            <w:r>
              <w:rPr>
                <w:rFonts w:ascii="Times New Roman" w:eastAsia="Times New Roman" w:hAnsi="Times New Roman" w:cs="Times New Roman"/>
                <w:b/>
                <w:sz w:val="16"/>
                <w:szCs w:val="16"/>
              </w:rPr>
              <w:t xml:space="preserve">Post-streptococcal acute glomerulonephritis or </w:t>
            </w:r>
            <w:r>
              <w:rPr>
                <w:rFonts w:ascii="Times New Roman" w:eastAsia="Times New Roman" w:hAnsi="Times New Roman" w:cs="Times New Roman"/>
                <w:b/>
                <w:color w:val="202122"/>
                <w:sz w:val="16"/>
                <w:szCs w:val="16"/>
                <w:highlight w:val="white"/>
              </w:rPr>
              <w:t>Pediatric Autoimmune Neuropsychiatric Disorders</w:t>
            </w:r>
            <w:r>
              <w:rPr>
                <w:rFonts w:ascii="Times New Roman" w:eastAsia="Times New Roman" w:hAnsi="Times New Roman" w:cs="Times New Roman"/>
                <w:color w:val="202122"/>
                <w:sz w:val="16"/>
                <w:szCs w:val="16"/>
                <w:highlight w:val="white"/>
              </w:rPr>
              <w:t xml:space="preserve"> associated With Streptococcal Infections (PANDAS)</w:t>
            </w:r>
            <w:r>
              <w:rPr>
                <w:rFonts w:ascii="Times New Roman" w:eastAsia="Times New Roman" w:hAnsi="Times New Roman" w:cs="Times New Roman"/>
                <w:sz w:val="16"/>
                <w:szCs w:val="16"/>
                <w:highlight w:val="white"/>
              </w:rPr>
              <w:t xml:space="preserve">. In all cases, </w:t>
            </w:r>
            <w:r>
              <w:rPr>
                <w:rFonts w:ascii="Times New Roman" w:eastAsia="Times New Roman" w:hAnsi="Times New Roman" w:cs="Times New Roman"/>
                <w:color w:val="202122"/>
                <w:sz w:val="16"/>
                <w:szCs w:val="16"/>
                <w:highlight w:val="white"/>
              </w:rPr>
              <w:t>a complex interaction between Streptococcus Pyogenes and a susceptible host, in a stage set by enviromental factors, seem to contribute a role in their development. Importantly, autoimmune responses have been documented in all these syndromes</w:t>
            </w:r>
            <w:r>
              <w:rPr>
                <w:rFonts w:ascii="Times New Roman" w:eastAsia="Times New Roman" w:hAnsi="Times New Roman" w:cs="Times New Roman"/>
                <w:color w:val="202122"/>
                <w:sz w:val="16"/>
                <w:szCs w:val="16"/>
              </w:rPr>
              <w:t xml:space="preserve"> (32, 33</w:t>
            </w:r>
            <w:r>
              <w:rPr>
                <w:rFonts w:ascii="Times New Roman" w:eastAsia="Times New Roman" w:hAnsi="Times New Roman" w:cs="Times New Roman"/>
                <w:color w:val="202122"/>
                <w:sz w:val="16"/>
                <w:szCs w:val="16"/>
                <w:highlight w:val="white"/>
              </w:rPr>
              <w:t xml:space="preserve">). </w:t>
            </w:r>
          </w:p>
          <w:p w14:paraId="1FE5ACA9" w14:textId="77777777" w:rsidR="005B2CE7" w:rsidRDefault="005B2CE7" w:rsidP="00D24EE8">
            <w:pPr>
              <w:spacing w:line="240" w:lineRule="auto"/>
              <w:jc w:val="both"/>
              <w:rPr>
                <w:rFonts w:ascii="Times New Roman" w:eastAsia="Times New Roman" w:hAnsi="Times New Roman" w:cs="Times New Roman"/>
                <w:b/>
                <w:i/>
                <w:color w:val="212121"/>
                <w:sz w:val="16"/>
                <w:szCs w:val="16"/>
                <w:highlight w:val="white"/>
              </w:rPr>
            </w:pPr>
            <w:r>
              <w:rPr>
                <w:rFonts w:ascii="Times New Roman" w:eastAsia="Times New Roman" w:hAnsi="Times New Roman" w:cs="Times New Roman"/>
                <w:b/>
                <w:i/>
                <w:color w:val="212121"/>
                <w:sz w:val="16"/>
                <w:szCs w:val="16"/>
                <w:highlight w:val="white"/>
              </w:rPr>
              <w:t xml:space="preserve">Dengue virus and chickungunia </w:t>
            </w:r>
          </w:p>
          <w:p w14:paraId="491D9D8B" w14:textId="77777777" w:rsidR="005B2CE7" w:rsidRDefault="005B2CE7" w:rsidP="00D24EE8">
            <w:pPr>
              <w:shd w:val="clear" w:color="auto" w:fill="FFFFFF"/>
              <w:spacing w:after="18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111111"/>
                <w:sz w:val="16"/>
                <w:szCs w:val="16"/>
                <w:highlight w:val="white"/>
              </w:rPr>
              <w:t xml:space="preserve">Dengue fever is a mosquito-borne illness that occurs in tropical and subtropical areas of the world. </w:t>
            </w:r>
            <w:r>
              <w:rPr>
                <w:rFonts w:ascii="Times New Roman" w:eastAsia="Times New Roman" w:hAnsi="Times New Roman" w:cs="Times New Roman"/>
                <w:sz w:val="16"/>
                <w:szCs w:val="16"/>
              </w:rPr>
              <w:t>In a prospective study from Singapore 127 patients hospitalized for dengue fever were interviewed by telephone 2 months after the acute infection and compared with non-dengue patients with an acute febrile illness; post-infectious fatigue was found in 25% of patients, Dengue patients had a significantly higher risk of fatigue at 2 months after the acute infection (RR 4.93 [95% confidence interval {CI} 2.3 to 10.4], p&lt;0.001) (34).</w:t>
            </w:r>
          </w:p>
          <w:p w14:paraId="1031C8A6" w14:textId="77777777" w:rsidR="005B2CE7" w:rsidRDefault="005B2CE7" w:rsidP="00D24EE8">
            <w:pPr>
              <w:spacing w:line="240" w:lineRule="auto"/>
              <w:jc w:val="both"/>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sz w:val="16"/>
                <w:szCs w:val="16"/>
              </w:rPr>
              <w:t>Also, long-term sequelae such as arthralgia, arthritis, depression and alopecia after chikungunya’ infection have been described and negatively impact on Quality of Life (35). Moro et al.  evidenced that persistent arthralgia after acute infection varied from 5% (24/509) at a time-interval of 24 months, to 60.8% (138/227) at a time-interval of 12-13 months (36). Depression and/or depressed mood were reported as a longterm consequence of a Chikungunya infection. Two groups demonstrated a significant difference in the occurrence of depression between seropositive and seronegative persons, 17 and 24 months after infection respectively: 13% (25/199) vs. 5% (10/199) and 14.7% (75/512) vs. 8.0% (47/582), respectively, with a relative risk of 2.5 (CI 1.5-4.1)5 and a crude prevalence ratio of 1.8 (CI 1.2-2.7) (37).</w:t>
            </w:r>
          </w:p>
          <w:p w14:paraId="60EB320A" w14:textId="77777777" w:rsidR="005B2CE7" w:rsidRDefault="005B2CE7" w:rsidP="00D24EE8">
            <w:pPr>
              <w:spacing w:line="240" w:lineRule="auto"/>
              <w:jc w:val="both"/>
              <w:rPr>
                <w:rFonts w:ascii="Times New Roman" w:eastAsia="Times New Roman" w:hAnsi="Times New Roman" w:cs="Times New Roman"/>
                <w:b/>
                <w:i/>
                <w:color w:val="212121"/>
                <w:sz w:val="16"/>
                <w:szCs w:val="16"/>
                <w:highlight w:val="white"/>
              </w:rPr>
            </w:pPr>
            <w:r>
              <w:rPr>
                <w:rFonts w:ascii="Times New Roman" w:eastAsia="Times New Roman" w:hAnsi="Times New Roman" w:cs="Times New Roman"/>
                <w:b/>
                <w:i/>
                <w:color w:val="212121"/>
                <w:sz w:val="16"/>
                <w:szCs w:val="16"/>
                <w:highlight w:val="white"/>
              </w:rPr>
              <w:t>Poliomyelitis</w:t>
            </w:r>
          </w:p>
          <w:p w14:paraId="39EB8A24" w14:textId="77777777" w:rsidR="005B2CE7" w:rsidRDefault="005B2CE7" w:rsidP="00D24EE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Poliomyelitis has been one of the scariest and most acutely debilitating infections in the 20</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16"/>
                <w:szCs w:val="16"/>
              </w:rPr>
              <w:t xml:space="preserve"> century affecting millions of people before the introduction of an effective vaccination. </w:t>
            </w:r>
            <w:r>
              <w:rPr>
                <w:rFonts w:ascii="Times New Roman" w:eastAsia="Times New Roman" w:hAnsi="Times New Roman" w:cs="Times New Roman"/>
                <w:color w:val="3C4245"/>
                <w:sz w:val="16"/>
                <w:szCs w:val="16"/>
              </w:rPr>
              <w:t>The poliovirus is transmitted by person-to-person spread mainly through the fecal-oral route or, less frequently, by a common vehicle. Although initial symptoms are fever, fatigue, headache, vomiting, stiffness of the neck and pain in the limbs, one in two hundred infections leads to irreversible paralysis (usually in the legs) which can cause death in case of involvement of respiratory muscles (38). Importantly, years after infection several survivors develop post-polio syndrome, characterized by new, persistent, and progressive muscle weakness, atrophy, limb fatigability, myalgia, arthralgia, and dysphagia, but also as generalized fatigue, which typically has a considerable impact on the patients’ quality of life (39).</w:t>
            </w:r>
          </w:p>
          <w:p w14:paraId="1C1F5F1F" w14:textId="77777777" w:rsidR="005B2CE7" w:rsidRDefault="005B2CE7" w:rsidP="00D24EE8">
            <w:pPr>
              <w:spacing w:line="240" w:lineRule="auto"/>
              <w:jc w:val="both"/>
              <w:rPr>
                <w:rFonts w:ascii="Times New Roman" w:eastAsia="Times New Roman" w:hAnsi="Times New Roman" w:cs="Times New Roman"/>
                <w:b/>
                <w:i/>
                <w:color w:val="212121"/>
                <w:sz w:val="16"/>
                <w:szCs w:val="16"/>
                <w:highlight w:val="white"/>
              </w:rPr>
            </w:pPr>
            <w:r>
              <w:rPr>
                <w:rFonts w:ascii="Times New Roman" w:eastAsia="Times New Roman" w:hAnsi="Times New Roman" w:cs="Times New Roman"/>
                <w:b/>
                <w:i/>
                <w:color w:val="212121"/>
                <w:sz w:val="16"/>
                <w:szCs w:val="16"/>
                <w:highlight w:val="white"/>
              </w:rPr>
              <w:t>Measles</w:t>
            </w:r>
          </w:p>
          <w:p w14:paraId="7A90EC25" w14:textId="77777777" w:rsidR="005B2CE7" w:rsidRDefault="005B2CE7" w:rsidP="00D24EE8">
            <w:pPr>
              <w:spacing w:line="240" w:lineRule="auto"/>
              <w:jc w:val="both"/>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Measles shares several similarities with SARS-CoV-2, being both RNA viruses with an airborne transmission route and both can cause a systemic illness ranging from a mild to severe and even fatal disease in all age groups. Moreover, although pathophysiological mechanisms are not yet completely understood, the acute and long-term consequences of measles infection are clinically well characterized and widely accepted since decades (40), representing an useful model to understand the long-term consequences of viral infections, including Covid-19.</w:t>
            </w:r>
          </w:p>
          <w:p w14:paraId="24C03703" w14:textId="77777777" w:rsidR="005B2CE7" w:rsidRDefault="005B2CE7" w:rsidP="00D24EE8">
            <w:pPr>
              <w:spacing w:line="240" w:lineRule="auto"/>
              <w:jc w:val="both"/>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Focusing on post-acute complications, historical epidemiological and clinical studies (41) showed that measles weakens the immune system causing a measles-induced immune suppression predisposing to secondary infections (42). More in details, epidemiological studies clearly linked non-measles infectious disease mortality in high-income countries to measles incidence, in both the pre- and post-vaccine eras (43). Recent immunological studies are providing rational for these findings (44). It is now accepted that  measles infection causes depletion of T and B lymphocytes (43) and, more recently, an important study showed that measles caused elimination of 11 to 73% of the antibody repertoire across individuals in a cohort of 77 unvaccinated children assessed before and two months after infection using VirScan, an assay that tracks antibodies to thousands of pathogen epitopes in blood (45). Interestingly, these immune system effects were not observed in infants vaccinated against MMR (measles, mumps, and rubella) and recovery of antibodies was detected after natural re-exposure to pathogens.</w:t>
            </w:r>
          </w:p>
          <w:p w14:paraId="7D0B3365" w14:textId="77777777" w:rsidR="005B2CE7" w:rsidRDefault="005B2CE7" w:rsidP="00D24EE8">
            <w:pPr>
              <w:spacing w:line="240" w:lineRule="auto"/>
              <w:jc w:val="both"/>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Unfortunately, measles also has well-known long-term neurological complications occurring within days to years after the infection, including primary measles encephalitis, acute post-infectious measles encephalomyelitis, measles inclusion body encephalitis, and subacute sclerosing panencephalitis (SSPE) (46). In all cases, complex interactions between the virus and immune system, or the persistence of the virus in the central nervous system, are implicated. In sclerosing panencephalitis, the virus isolated from brain tissue of patients with SSPE is missing 1 of the 6 structural proteins, the matrix or M protein, which is responsible for assembly, orientation, and alignment of the virus in preparation for budding during viral replication (47). This immature virus may be able to reside, and possibly propagate, within neuronal cells for long periods and stimulate chronic inflammatory changes. The fact that most patients with SSPE were exposed at a young age suggests that immune immaturity is involved in pathogenesis (47). Importantly, these sequelae develop years after initial infection and diagnosis is challenging since most usual assessments are normal, including cerebrospinal fluid changes and brain magnetic resonance, while only biopsies may mostly show some clinical clues. Of note, these patients usually have evidence of intratecal production of measles IgG antibodies. This concept is extremely relevant, since recently a case series of three children with subacute neuropsychiatric symptoms were found to have intrathecal anti–SARS-CoV-2 antibodies as well as intrathecal antineural antibodies (48) and, overall, neurological manifestations were found to be relatively common in children with Covid-19 or multisystem inflammatory syndrome (49).</w:t>
            </w:r>
          </w:p>
          <w:p w14:paraId="31BFAA92" w14:textId="77777777" w:rsidR="005B2CE7" w:rsidRDefault="005B2CE7" w:rsidP="00D24EE8">
            <w:pPr>
              <w:spacing w:line="240" w:lineRule="auto"/>
              <w:jc w:val="both"/>
              <w:rPr>
                <w:rFonts w:ascii="Times New Roman" w:eastAsia="Times New Roman" w:hAnsi="Times New Roman" w:cs="Times New Roman"/>
                <w:b/>
                <w:i/>
                <w:color w:val="212121"/>
                <w:sz w:val="16"/>
                <w:szCs w:val="16"/>
                <w:highlight w:val="white"/>
              </w:rPr>
            </w:pPr>
            <w:r>
              <w:rPr>
                <w:rFonts w:ascii="Times New Roman" w:eastAsia="Times New Roman" w:hAnsi="Times New Roman" w:cs="Times New Roman"/>
                <w:b/>
                <w:i/>
                <w:color w:val="212121"/>
                <w:sz w:val="16"/>
                <w:szCs w:val="16"/>
                <w:highlight w:val="white"/>
              </w:rPr>
              <w:t>Influenza</w:t>
            </w:r>
          </w:p>
          <w:p w14:paraId="20FF66B4" w14:textId="77777777" w:rsidR="005B2CE7" w:rsidRDefault="005B2CE7" w:rsidP="00D24EE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212121"/>
                <w:sz w:val="16"/>
                <w:szCs w:val="16"/>
                <w:highlight w:val="white"/>
              </w:rPr>
              <w:t xml:space="preserve">A recent study aiming to assess long covid in a cohort of Covid-19 patients compared with influenza patients found that symptoms like abnormal breathing, fatigue/malaise, chest/throat pain, headache, abdominal symptoms, myalgia, cognitive, and anxiety/depression, although more frequent in Covid-19 survivors, were frequent also in flu ones (50). Chen et al performed a 2-year follow-up of a cohort of fifty-six influenza A (H7N9) survivors, showing </w:t>
            </w:r>
            <w:r>
              <w:rPr>
                <w:rFonts w:ascii="Times New Roman" w:eastAsia="Times New Roman" w:hAnsi="Times New Roman" w:cs="Times New Roman"/>
                <w:sz w:val="16"/>
                <w:szCs w:val="16"/>
              </w:rPr>
              <w:t>that long-term lung disability and psychological impairment in H7N9 survivors persisted at 2 years after discharge from the hospital (51). A similar finding was reported by Whang et al in different cohorts of patients suffering from H7N9 influenza during different outbreaks (52). Also, a higher risk in severe cardiovascular events has been found in influenza survivors (53, 54). These findings are not surprising, since similar chronic sequelae have been reported even after then Spanish Flu in 1918 (55).</w:t>
            </w:r>
          </w:p>
          <w:p w14:paraId="0113BBB2" w14:textId="77777777" w:rsidR="005B2CE7" w:rsidRDefault="005B2CE7" w:rsidP="00D24EE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In addition, non-neurotropic H3N2 Influenza virus infection in mice was able to induce neuroinflammatory responses generating neuroinflammation in the hippocampus, impaired spatial learning, microglia activation, rise in amyloid-β plaques load and cognitive, and reduced CA1 hippocampal dendritic spine density (56, 57). </w:t>
            </w:r>
          </w:p>
          <w:p w14:paraId="6D1446E5" w14:textId="77777777" w:rsidR="005B2CE7" w:rsidRDefault="005B2CE7" w:rsidP="00D24EE8">
            <w:pPr>
              <w:spacing w:line="240" w:lineRule="auto"/>
              <w:jc w:val="both"/>
              <w:rPr>
                <w:rFonts w:ascii="Times New Roman" w:eastAsia="Times New Roman" w:hAnsi="Times New Roman" w:cs="Times New Roman"/>
                <w:b/>
                <w:i/>
                <w:color w:val="212121"/>
                <w:sz w:val="16"/>
                <w:szCs w:val="16"/>
                <w:highlight w:val="white"/>
              </w:rPr>
            </w:pPr>
            <w:r>
              <w:rPr>
                <w:rFonts w:ascii="Times New Roman" w:eastAsia="Times New Roman" w:hAnsi="Times New Roman" w:cs="Times New Roman"/>
                <w:b/>
                <w:i/>
                <w:color w:val="212121"/>
                <w:sz w:val="16"/>
                <w:szCs w:val="16"/>
                <w:highlight w:val="white"/>
              </w:rPr>
              <w:t>HIV</w:t>
            </w:r>
          </w:p>
          <w:p w14:paraId="3DF0B7FA" w14:textId="77777777" w:rsidR="005B2CE7" w:rsidRPr="00946C41" w:rsidRDefault="005B2CE7" w:rsidP="00D24EE8">
            <w:pPr>
              <w:spacing w:line="240" w:lineRule="auto"/>
              <w:jc w:val="both"/>
              <w:rPr>
                <w:rFonts w:ascii="Times New Roman" w:eastAsia="Times New Roman" w:hAnsi="Times New Roman" w:cs="Times New Roman"/>
                <w:color w:val="212121"/>
                <w:sz w:val="16"/>
                <w:szCs w:val="16"/>
                <w:highlight w:val="white"/>
              </w:rPr>
            </w:pPr>
            <w:r>
              <w:rPr>
                <w:rFonts w:ascii="Times New Roman" w:eastAsia="Times New Roman" w:hAnsi="Times New Roman" w:cs="Times New Roman"/>
                <w:color w:val="212121"/>
                <w:sz w:val="16"/>
                <w:szCs w:val="16"/>
                <w:highlight w:val="white"/>
              </w:rPr>
              <w:t>The massive long-term impact of HIV in humans is very well established and cannot be summarized in a single chapter. Being so well characterized, it is important to remember that even HIV begins as an either asymptomatic infection of with a flu-like syndrome, which, only years later, fully manifests its impact on the immune system of the infected individual.</w:t>
            </w:r>
          </w:p>
        </w:tc>
      </w:tr>
    </w:tbl>
    <w:p w14:paraId="57031D15" w14:textId="77777777" w:rsidR="005B2CE7" w:rsidRDefault="005B2CE7" w:rsidP="005B2CE7">
      <w:pPr>
        <w:jc w:val="both"/>
        <w:rPr>
          <w:rFonts w:ascii="Times New Roman" w:eastAsia="Times New Roman" w:hAnsi="Times New Roman" w:cs="Times New Roman"/>
          <w:color w:val="212121"/>
          <w:sz w:val="24"/>
          <w:szCs w:val="24"/>
          <w:highlight w:val="white"/>
        </w:rPr>
      </w:pPr>
    </w:p>
    <w:p w14:paraId="2D7F8FAA" w14:textId="77777777" w:rsidR="005B2CE7" w:rsidRDefault="005B2CE7" w:rsidP="005B2CE7">
      <w:pPr>
        <w:jc w:val="both"/>
        <w:rPr>
          <w:rFonts w:ascii="Times New Roman" w:eastAsia="Times New Roman" w:hAnsi="Times New Roman" w:cs="Times New Roman"/>
          <w:color w:val="212121"/>
          <w:sz w:val="24"/>
          <w:szCs w:val="24"/>
          <w:highlight w:val="white"/>
        </w:rPr>
      </w:pPr>
    </w:p>
    <w:p w14:paraId="11B728DA" w14:textId="77777777" w:rsidR="005B2CE7" w:rsidRDefault="005B2CE7" w:rsidP="005B2CE7">
      <w:pPr>
        <w:jc w:val="both"/>
        <w:rPr>
          <w:rFonts w:ascii="Times New Roman" w:eastAsia="Times New Roman" w:hAnsi="Times New Roman" w:cs="Times New Roman"/>
          <w:color w:val="212121"/>
          <w:sz w:val="24"/>
          <w:szCs w:val="24"/>
          <w:highlight w:val="white"/>
        </w:rPr>
      </w:pPr>
    </w:p>
    <w:p w14:paraId="3AA70099" w14:textId="77777777" w:rsidR="005B2CE7" w:rsidRDefault="005B2CE7" w:rsidP="005B2CE7">
      <w:pPr>
        <w:jc w:val="both"/>
        <w:rPr>
          <w:rFonts w:ascii="Times New Roman" w:eastAsia="Times New Roman" w:hAnsi="Times New Roman" w:cs="Times New Roman"/>
          <w:color w:val="212121"/>
          <w:sz w:val="24"/>
          <w:szCs w:val="24"/>
          <w:highlight w:val="white"/>
        </w:rPr>
      </w:pPr>
    </w:p>
    <w:p w14:paraId="33CEB969" w14:textId="77777777" w:rsidR="005B2CE7" w:rsidRPr="009E66ED" w:rsidRDefault="005B2CE7" w:rsidP="005B2CE7">
      <w:pPr>
        <w:jc w:val="both"/>
        <w:rPr>
          <w:rFonts w:ascii="Times New Roman" w:eastAsia="Times New Roman" w:hAnsi="Times New Roman" w:cs="Times New Roman"/>
          <w:color w:val="212121"/>
          <w:sz w:val="24"/>
          <w:szCs w:val="24"/>
          <w:highlight w:val="white"/>
        </w:rPr>
      </w:pPr>
    </w:p>
    <w:p w14:paraId="1CABC418" w14:textId="77777777" w:rsidR="006D1C81" w:rsidRDefault="005B2CE7" w:rsidP="005B2CE7">
      <w:r>
        <w:rPr>
          <w:rFonts w:ascii="Times New Roman" w:eastAsia="Times New Roman" w:hAnsi="Times New Roman" w:cs="Times New Roman"/>
          <w:b/>
          <w:color w:val="212121"/>
          <w:sz w:val="24"/>
          <w:szCs w:val="24"/>
          <w:highlight w:val="white"/>
        </w:rPr>
        <w:br w:type="page"/>
      </w:r>
    </w:p>
    <w:sectPr w:rsidR="006D1C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EF"/>
    <w:rsid w:val="0051748E"/>
    <w:rsid w:val="005B2CE7"/>
    <w:rsid w:val="006027EF"/>
    <w:rsid w:val="0074323A"/>
    <w:rsid w:val="007F2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EACA"/>
  <w15:chartTrackingRefBased/>
  <w15:docId w15:val="{06106FD5-1E4B-4DF1-8A97-A1FC5162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E7"/>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term=Shikova+E&amp;cauthor_id=3212949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2372</Words>
  <Characters>13523</Characters>
  <Application>Microsoft Office Word</Application>
  <DocSecurity>0</DocSecurity>
  <Lines>112</Lines>
  <Paragraphs>31</Paragraphs>
  <ScaleCrop>false</ScaleCrop>
  <Company>FPG-Policlinico Gemelli</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Buonsenso</dc:creator>
  <cp:keywords/>
  <dc:description/>
  <cp:lastModifiedBy>Atiya Henry</cp:lastModifiedBy>
  <cp:revision>2</cp:revision>
  <dcterms:created xsi:type="dcterms:W3CDTF">2022-02-23T10:07:00Z</dcterms:created>
  <dcterms:modified xsi:type="dcterms:W3CDTF">2022-02-23T10:07:00Z</dcterms:modified>
</cp:coreProperties>
</file>