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680EC" w14:textId="0716A4C2" w:rsidR="00F13CB3" w:rsidRPr="00094A95" w:rsidRDefault="00F13CB3" w:rsidP="00F13CB3">
      <w:pPr>
        <w:pStyle w:val="Heading1"/>
        <w:rPr>
          <w:rFonts w:eastAsia="Times New Roman" w:cs="Arial"/>
          <w:sz w:val="24"/>
          <w:szCs w:val="24"/>
          <w:lang w:val="en-GB"/>
        </w:rPr>
      </w:pPr>
      <w:r w:rsidRPr="00094A95">
        <w:rPr>
          <w:rFonts w:eastAsia="Times New Roman" w:cs="Arial"/>
          <w:sz w:val="24"/>
          <w:szCs w:val="24"/>
          <w:lang w:val="en-GB"/>
        </w:rPr>
        <w:t>Supplementary section</w:t>
      </w:r>
    </w:p>
    <w:p w14:paraId="00F76476" w14:textId="77777777" w:rsidR="008A21FC" w:rsidRDefault="008A21FC" w:rsidP="008A21FC">
      <w:pPr>
        <w:pStyle w:val="Heading2"/>
        <w:jc w:val="both"/>
        <w:rPr>
          <w:rFonts w:ascii="Arial" w:hAnsi="Arial" w:cs="Arial"/>
          <w:b/>
          <w:bCs/>
          <w:i/>
          <w:iCs/>
          <w:color w:val="000000" w:themeColor="text1"/>
          <w:sz w:val="24"/>
          <w:szCs w:val="24"/>
          <w:lang w:val="en-US"/>
        </w:rPr>
      </w:pPr>
      <w:r>
        <w:rPr>
          <w:rFonts w:ascii="Arial" w:hAnsi="Arial" w:cs="Arial"/>
          <w:b/>
          <w:bCs/>
          <w:i/>
          <w:iCs/>
          <w:color w:val="000000" w:themeColor="text1"/>
          <w:sz w:val="24"/>
          <w:szCs w:val="24"/>
          <w:lang w:val="en-US"/>
        </w:rPr>
        <w:t>Estimation of molecular weight of BSA-peptide conjugate</w:t>
      </w:r>
      <w:r w:rsidRPr="00471A0B">
        <w:rPr>
          <w:rFonts w:ascii="Arial" w:hAnsi="Arial" w:cs="Arial"/>
          <w:b/>
          <w:bCs/>
          <w:i/>
          <w:iCs/>
          <w:color w:val="000000" w:themeColor="text1"/>
          <w:sz w:val="24"/>
          <w:szCs w:val="24"/>
          <w:lang w:val="en-US"/>
        </w:rPr>
        <w:t xml:space="preserve"> </w:t>
      </w:r>
    </w:p>
    <w:p w14:paraId="2DD5C63B" w14:textId="47FEEDD7" w:rsidR="008A21FC" w:rsidRDefault="008A21FC" w:rsidP="008A21FC">
      <w:pPr>
        <w:jc w:val="both"/>
        <w:rPr>
          <w:rFonts w:ascii="Arial" w:hAnsi="Arial" w:cs="Arial"/>
        </w:rPr>
      </w:pPr>
      <w:r>
        <w:rPr>
          <w:rFonts w:ascii="Arial" w:hAnsi="Arial" w:cs="Arial"/>
        </w:rPr>
        <w:t>To transform BSA as carrier protein azido-</w:t>
      </w:r>
      <w:r w:rsidRPr="00DB26F7">
        <w:rPr>
          <w:rFonts w:ascii="Arial" w:hAnsi="Arial" w:cs="Arial"/>
        </w:rPr>
        <w:t>PEG</w:t>
      </w:r>
      <w:r>
        <w:rPr>
          <w:rFonts w:ascii="Arial" w:hAnsi="Arial" w:cs="Arial"/>
          <w:vertAlign w:val="subscript"/>
        </w:rPr>
        <w:t>4</w:t>
      </w:r>
      <w:r>
        <w:rPr>
          <w:rFonts w:ascii="Arial" w:hAnsi="Arial" w:cs="Arial"/>
        </w:rPr>
        <w:t xml:space="preserve"> (</w:t>
      </w:r>
      <w:r w:rsidRPr="00DB26F7">
        <w:rPr>
          <w:rFonts w:ascii="Arial" w:hAnsi="Arial" w:cs="Arial"/>
        </w:rPr>
        <w:t>15</w:t>
      </w:r>
      <w:r w:rsidRPr="002A3258">
        <w:rPr>
          <w:rFonts w:ascii="Arial" w:hAnsi="Arial" w:cs="Arial"/>
        </w:rPr>
        <w:t>-Azido-4,7,10,13-tetraoxa-pentadecanoic acid succinimidyl ester</w:t>
      </w:r>
      <w:r>
        <w:rPr>
          <w:rFonts w:ascii="Arial" w:hAnsi="Arial" w:cs="Arial"/>
        </w:rPr>
        <w:t>) was deployed as spacer and functional group provider for immobilization of antigenic peptides. For the estimation of the molecular weight of the conjugate after spacer crosslinking and peptide click coupling all available primary NH</w:t>
      </w:r>
      <w:r>
        <w:rPr>
          <w:rFonts w:ascii="Arial" w:hAnsi="Arial" w:cs="Arial"/>
          <w:vertAlign w:val="subscript"/>
        </w:rPr>
        <w:t>2</w:t>
      </w:r>
      <w:r>
        <w:rPr>
          <w:rFonts w:ascii="Arial" w:hAnsi="Arial" w:cs="Arial"/>
        </w:rPr>
        <w:t xml:space="preserve"> side chains were considered as available for spontaneous crosslinking (mature BSA protein sequence; lysine, arginine, </w:t>
      </w:r>
      <w:proofErr w:type="gramStart"/>
      <w:r>
        <w:rPr>
          <w:rFonts w:ascii="Arial" w:hAnsi="Arial" w:cs="Arial"/>
        </w:rPr>
        <w:t>glutamine</w:t>
      </w:r>
      <w:proofErr w:type="gramEnd"/>
      <w:r>
        <w:rPr>
          <w:rFonts w:ascii="Arial" w:hAnsi="Arial" w:cs="Arial"/>
        </w:rPr>
        <w:t xml:space="preserve"> and asparagine considered: 1-146 groups for crosslinking available). Hence the peptide-conjugate should be observable between </w:t>
      </w:r>
      <w:r w:rsidR="006C55C8">
        <w:rPr>
          <w:rFonts w:ascii="Arial" w:hAnsi="Arial" w:cs="Arial"/>
        </w:rPr>
        <w:t>70.1</w:t>
      </w:r>
      <w:r>
        <w:rPr>
          <w:rFonts w:ascii="Arial" w:hAnsi="Arial" w:cs="Arial"/>
        </w:rPr>
        <w:t xml:space="preserve"> and 5</w:t>
      </w:r>
      <w:r w:rsidR="006C55C8">
        <w:rPr>
          <w:rFonts w:ascii="Arial" w:hAnsi="Arial" w:cs="Arial"/>
        </w:rPr>
        <w:t>53.8</w:t>
      </w:r>
      <w:r>
        <w:rPr>
          <w:rFonts w:ascii="Arial" w:hAnsi="Arial" w:cs="Arial"/>
        </w:rPr>
        <w:t xml:space="preserve"> kDa in Western Blotting analysis.</w:t>
      </w:r>
      <w:r w:rsidR="00093A9A">
        <w:rPr>
          <w:rFonts w:ascii="Arial" w:hAnsi="Arial" w:cs="Arial"/>
        </w:rPr>
        <w:t xml:space="preserve"> </w:t>
      </w:r>
    </w:p>
    <w:p w14:paraId="58A099BC" w14:textId="19F72B8C" w:rsidR="00620563" w:rsidRDefault="006C55C8" w:rsidP="00094A95">
      <w:pPr>
        <w:keepNext/>
        <w:jc w:val="both"/>
      </w:pPr>
      <w:r>
        <w:rPr>
          <w:noProof/>
        </w:rPr>
        <w:drawing>
          <wp:inline distT="0" distB="0" distL="0" distR="0" wp14:anchorId="38B1483E" wp14:editId="7D706932">
            <wp:extent cx="5806112" cy="402573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23720" cy="4037943"/>
                    </a:xfrm>
                    <a:prstGeom prst="rect">
                      <a:avLst/>
                    </a:prstGeom>
                    <a:noFill/>
                  </pic:spPr>
                </pic:pic>
              </a:graphicData>
            </a:graphic>
          </wp:inline>
        </w:drawing>
      </w:r>
    </w:p>
    <w:p w14:paraId="6EAA8324" w14:textId="0EFBC37C" w:rsidR="00AC5902" w:rsidRPr="00094A95" w:rsidRDefault="00620563" w:rsidP="00094A95">
      <w:pPr>
        <w:pStyle w:val="Caption"/>
        <w:jc w:val="both"/>
        <w:rPr>
          <w:rFonts w:ascii="Arial" w:hAnsi="Arial" w:cs="Arial"/>
          <w:lang w:val="en-GB"/>
        </w:rPr>
      </w:pPr>
      <w:r w:rsidRPr="00094A95">
        <w:rPr>
          <w:lang w:val="en-GB"/>
        </w:rPr>
        <w:t xml:space="preserve">Supplementary Figure </w:t>
      </w:r>
      <w:r>
        <w:fldChar w:fldCharType="begin"/>
      </w:r>
      <w:r w:rsidRPr="00094A95">
        <w:rPr>
          <w:lang w:val="en-GB"/>
        </w:rPr>
        <w:instrText xml:space="preserve"> SEQ Supplementary_Figure \* ARABIC </w:instrText>
      </w:r>
      <w:r>
        <w:fldChar w:fldCharType="separate"/>
      </w:r>
      <w:r w:rsidR="002D5588" w:rsidRPr="00094A95">
        <w:rPr>
          <w:noProof/>
          <w:lang w:val="en-GB"/>
        </w:rPr>
        <w:t>1</w:t>
      </w:r>
      <w:r>
        <w:fldChar w:fldCharType="end"/>
      </w:r>
      <w:r w:rsidRPr="00094A95">
        <w:rPr>
          <w:lang w:val="en-GB"/>
        </w:rPr>
        <w:t>: estimated mass (kDa) of the BSA-peptide conjugate</w:t>
      </w:r>
      <w:r w:rsidR="00C74E46" w:rsidRPr="00094A95">
        <w:rPr>
          <w:lang w:val="en-GB"/>
        </w:rPr>
        <w:t xml:space="preserve"> on the y-axis plotted against the number of coupled </w:t>
      </w:r>
      <w:proofErr w:type="gramStart"/>
      <w:r w:rsidR="00C74E46" w:rsidRPr="00094A95">
        <w:rPr>
          <w:lang w:val="en-GB"/>
        </w:rPr>
        <w:t>spacer</w:t>
      </w:r>
      <w:proofErr w:type="gramEnd"/>
      <w:r w:rsidR="00C74E46" w:rsidRPr="00094A95">
        <w:rPr>
          <w:lang w:val="en-GB"/>
        </w:rPr>
        <w:t>+linker+peptide group on the x-axis. Blue line shows the estimated masses for coupling of azido-PEG4 and spacer-peptide-propargylglycine to 1 to 146 available -NH</w:t>
      </w:r>
      <w:r w:rsidR="00C74E46" w:rsidRPr="00094A95">
        <w:rPr>
          <w:vertAlign w:val="subscript"/>
          <w:lang w:val="en-GB"/>
        </w:rPr>
        <w:t>2</w:t>
      </w:r>
      <w:r w:rsidR="00C74E46" w:rsidRPr="00094A95">
        <w:rPr>
          <w:lang w:val="en-GB"/>
        </w:rPr>
        <w:t xml:space="preserve"> groups based on the published sequence of BSA (lysine, arginine, </w:t>
      </w:r>
      <w:proofErr w:type="gramStart"/>
      <w:r w:rsidR="00C74E46" w:rsidRPr="00094A95">
        <w:rPr>
          <w:lang w:val="en-GB"/>
        </w:rPr>
        <w:t>glutamine</w:t>
      </w:r>
      <w:proofErr w:type="gramEnd"/>
      <w:r w:rsidR="00C74E46" w:rsidRPr="00094A95">
        <w:rPr>
          <w:lang w:val="en-GB"/>
        </w:rPr>
        <w:t xml:space="preserve"> and asparagine were considered as primary -NH</w:t>
      </w:r>
      <w:r w:rsidR="00C74E46" w:rsidRPr="00094A95">
        <w:rPr>
          <w:vertAlign w:val="subscript"/>
          <w:lang w:val="en-GB"/>
        </w:rPr>
        <w:t>2</w:t>
      </w:r>
      <w:r w:rsidR="00C74E46" w:rsidRPr="00094A95">
        <w:rPr>
          <w:lang w:val="en-GB"/>
        </w:rPr>
        <w:t xml:space="preserve"> group providers). Orange line shows the estimated masses of coupled azido-PEG4 coupled to BSA. </w:t>
      </w:r>
    </w:p>
    <w:p w14:paraId="0ABB4DE4" w14:textId="77777777" w:rsidR="008A21FC" w:rsidRPr="00094A95" w:rsidRDefault="008A21FC" w:rsidP="00094A95">
      <w:pPr>
        <w:rPr>
          <w:b/>
        </w:rPr>
      </w:pPr>
    </w:p>
    <w:p w14:paraId="419CE3A2" w14:textId="3F506094" w:rsidR="00F13CB3" w:rsidRDefault="00BF4A5E" w:rsidP="00F13CB3">
      <w:pPr>
        <w:pStyle w:val="Heading2"/>
        <w:jc w:val="both"/>
        <w:rPr>
          <w:lang w:val="en-US"/>
        </w:rPr>
      </w:pPr>
      <w:r>
        <w:rPr>
          <w:rFonts w:ascii="Arial" w:hAnsi="Arial" w:cs="Arial"/>
          <w:b/>
          <w:bCs/>
          <w:i/>
          <w:iCs/>
          <w:color w:val="000000" w:themeColor="text1"/>
          <w:sz w:val="24"/>
          <w:szCs w:val="24"/>
          <w:lang w:val="en-US"/>
        </w:rPr>
        <w:t>Confirmation of c</w:t>
      </w:r>
      <w:r w:rsidR="00F13CB3" w:rsidRPr="00471A0B">
        <w:rPr>
          <w:rFonts w:ascii="Arial" w:hAnsi="Arial" w:cs="Arial"/>
          <w:b/>
          <w:bCs/>
          <w:i/>
          <w:iCs/>
          <w:color w:val="000000" w:themeColor="text1"/>
          <w:sz w:val="24"/>
          <w:szCs w:val="24"/>
          <w:lang w:val="en-US"/>
        </w:rPr>
        <w:t xml:space="preserve">onjugation of peptides to BSA </w:t>
      </w:r>
    </w:p>
    <w:p w14:paraId="3AD5881B" w14:textId="5E6D8F37" w:rsidR="00F13CB3" w:rsidRPr="00B124AB" w:rsidRDefault="00F13CB3" w:rsidP="00F13CB3">
      <w:pPr>
        <w:jc w:val="both"/>
        <w:rPr>
          <w:rFonts w:ascii="Arial" w:hAnsi="Arial" w:cs="Arial"/>
        </w:rPr>
      </w:pPr>
      <w:r w:rsidRPr="00B124AB">
        <w:rPr>
          <w:rFonts w:ascii="Arial" w:hAnsi="Arial" w:cs="Arial"/>
        </w:rPr>
        <w:t xml:space="preserve">Conjugation of short antigenic peptides onto BSA is conducted via click chemistry and schematically presented in figure 1. </w:t>
      </w:r>
    </w:p>
    <w:p w14:paraId="2CD34DE0" w14:textId="2C1C0820" w:rsidR="00F13CB3" w:rsidRDefault="00F13CB3" w:rsidP="00F13CB3">
      <w:pPr>
        <w:keepNext/>
        <w:jc w:val="both"/>
      </w:pPr>
    </w:p>
    <w:p w14:paraId="7FBD4FE1" w14:textId="2972B56A" w:rsidR="00F13CB3" w:rsidRDefault="00BF4A5E" w:rsidP="00F13CB3">
      <w:pPr>
        <w:jc w:val="both"/>
        <w:rPr>
          <w:rFonts w:ascii="Arial" w:hAnsi="Arial" w:cs="Arial"/>
        </w:rPr>
      </w:pPr>
      <w:r>
        <w:rPr>
          <w:rFonts w:ascii="Arial" w:hAnsi="Arial" w:cs="Arial"/>
        </w:rPr>
        <w:t>To c</w:t>
      </w:r>
      <w:r w:rsidR="00F13CB3" w:rsidRPr="00B124AB">
        <w:rPr>
          <w:rFonts w:ascii="Arial" w:hAnsi="Arial" w:cs="Arial"/>
        </w:rPr>
        <w:t>onfirm the conjugation reaction Western Blot</w:t>
      </w:r>
      <w:r>
        <w:rPr>
          <w:rFonts w:ascii="Arial" w:hAnsi="Arial" w:cs="Arial"/>
        </w:rPr>
        <w:t>ting</w:t>
      </w:r>
      <w:r w:rsidR="00F13CB3" w:rsidRPr="00B124AB">
        <w:rPr>
          <w:rFonts w:ascii="Arial" w:hAnsi="Arial" w:cs="Arial"/>
        </w:rPr>
        <w:t xml:space="preserve"> analysis using a monoclonal anti-FLAG antibody</w:t>
      </w:r>
      <w:r>
        <w:rPr>
          <w:rFonts w:ascii="Arial" w:hAnsi="Arial" w:cs="Arial"/>
        </w:rPr>
        <w:t xml:space="preserve"> was performed</w:t>
      </w:r>
      <w:r w:rsidR="00F13CB3" w:rsidRPr="00B124AB">
        <w:rPr>
          <w:rFonts w:ascii="Arial" w:hAnsi="Arial" w:cs="Arial"/>
        </w:rPr>
        <w:t>. An eight amino-acid N-terminal FLAG tag (DYKDDDDK) was incorporated upon peptide synthesis and these control</w:t>
      </w:r>
      <w:r>
        <w:rPr>
          <w:rFonts w:ascii="Arial" w:hAnsi="Arial" w:cs="Arial"/>
        </w:rPr>
        <w:t xml:space="preserve"> peptides</w:t>
      </w:r>
      <w:r w:rsidR="00F13CB3" w:rsidRPr="00B124AB">
        <w:rPr>
          <w:rFonts w:ascii="Arial" w:hAnsi="Arial" w:cs="Arial"/>
        </w:rPr>
        <w:t xml:space="preserve"> coupled </w:t>
      </w:r>
      <w:r w:rsidRPr="00B124AB">
        <w:rPr>
          <w:rFonts w:ascii="Arial" w:hAnsi="Arial" w:cs="Arial"/>
        </w:rPr>
        <w:t>simultaneously</w:t>
      </w:r>
      <w:r w:rsidR="00F13CB3" w:rsidRPr="00B124AB">
        <w:rPr>
          <w:rFonts w:ascii="Arial" w:hAnsi="Arial" w:cs="Arial"/>
        </w:rPr>
        <w:t xml:space="preserve"> to </w:t>
      </w:r>
      <w:r w:rsidR="00F13CB3" w:rsidRPr="00B124AB">
        <w:rPr>
          <w:rFonts w:ascii="Arial" w:hAnsi="Arial" w:cs="Arial"/>
        </w:rPr>
        <w:lastRenderedPageBreak/>
        <w:t>t</w:t>
      </w:r>
      <w:r>
        <w:rPr>
          <w:rFonts w:ascii="Arial" w:hAnsi="Arial" w:cs="Arial"/>
        </w:rPr>
        <w:t>arget</w:t>
      </w:r>
      <w:r w:rsidR="00F13CB3" w:rsidRPr="00B124AB">
        <w:rPr>
          <w:rFonts w:ascii="Arial" w:hAnsi="Arial" w:cs="Arial"/>
        </w:rPr>
        <w:t xml:space="preserve"> peptides. For blot</w:t>
      </w:r>
      <w:r>
        <w:rPr>
          <w:rFonts w:ascii="Arial" w:hAnsi="Arial" w:cs="Arial"/>
        </w:rPr>
        <w:t>ting</w:t>
      </w:r>
      <w:r w:rsidR="00F13CB3" w:rsidRPr="00B124AB">
        <w:rPr>
          <w:rFonts w:ascii="Arial" w:hAnsi="Arial" w:cs="Arial"/>
        </w:rPr>
        <w:t xml:space="preserve"> analysis, 10 azido-BSA peptide-conjugates </w:t>
      </w:r>
      <w:r w:rsidR="00F13CB3">
        <w:rPr>
          <w:rFonts w:ascii="Arial" w:hAnsi="Arial" w:cs="Arial"/>
        </w:rPr>
        <w:t xml:space="preserve">were selected based on </w:t>
      </w:r>
      <w:r>
        <w:rPr>
          <w:rFonts w:ascii="Arial" w:hAnsi="Arial" w:cs="Arial"/>
        </w:rPr>
        <w:t>sero</w:t>
      </w:r>
      <w:r w:rsidR="00F13CB3">
        <w:rPr>
          <w:rFonts w:ascii="Arial" w:hAnsi="Arial" w:cs="Arial"/>
        </w:rPr>
        <w:t>reactivit</w:t>
      </w:r>
      <w:r>
        <w:rPr>
          <w:rFonts w:ascii="Arial" w:hAnsi="Arial" w:cs="Arial"/>
        </w:rPr>
        <w:t>ies</w:t>
      </w:r>
      <w:r w:rsidR="00F13CB3">
        <w:rPr>
          <w:rFonts w:ascii="Arial" w:hAnsi="Arial" w:cs="Arial"/>
        </w:rPr>
        <w:t xml:space="preserve"> on</w:t>
      </w:r>
      <w:r w:rsidR="00F13CB3" w:rsidRPr="00B124AB">
        <w:rPr>
          <w:rFonts w:ascii="Arial" w:hAnsi="Arial" w:cs="Arial"/>
        </w:rPr>
        <w:t xml:space="preserve"> multiplexed ELISA experiments (unpublished data). Between 0.5 and 5 µg of peptide-BSA conjugate (depending on the available volume) were amended with 1 µL corresponding peptide stock, 2.5 µL 4X LDS buffer (ThermoFisher #NP0007) added and volume adjusted to 10 µL with 1X PBS. </w:t>
      </w:r>
      <w:r>
        <w:rPr>
          <w:rFonts w:ascii="Arial" w:hAnsi="Arial" w:cs="Arial"/>
        </w:rPr>
        <w:t>The s</w:t>
      </w:r>
      <w:r w:rsidR="00F13CB3" w:rsidRPr="00B124AB">
        <w:rPr>
          <w:rFonts w:ascii="Arial" w:hAnsi="Arial" w:cs="Arial"/>
        </w:rPr>
        <w:t xml:space="preserve">ample mixtures were heated for 10 min at 70°C and loaded onto precasted 4-12% NovexTM BisTris gel (ThermoFisher #NP0329) in 1X MOPS (ThermoFisher #NP0001). Unlabelled BSA and azido-BSA were incorporated as controls. After SDS-Page electrophoresis (1h at 180V), the gel chamber was </w:t>
      </w:r>
      <w:proofErr w:type="gramStart"/>
      <w:r w:rsidR="00F13CB3" w:rsidRPr="00B124AB">
        <w:rPr>
          <w:rFonts w:ascii="Arial" w:hAnsi="Arial" w:cs="Arial"/>
        </w:rPr>
        <w:t>opened</w:t>
      </w:r>
      <w:proofErr w:type="gramEnd"/>
      <w:r w:rsidR="00F13CB3" w:rsidRPr="00B124AB">
        <w:rPr>
          <w:rFonts w:ascii="Arial" w:hAnsi="Arial" w:cs="Arial"/>
        </w:rPr>
        <w:t xml:space="preserve"> and the gel residuals (chamber and foot) removed to create a flat surface for blotting. A nitrocellulose membrane (ThermoFisher #88025) was placed on top of the gel, filter paper and blotting pads </w:t>
      </w:r>
      <w:proofErr w:type="gramStart"/>
      <w:r w:rsidR="00F13CB3" w:rsidRPr="00B124AB">
        <w:rPr>
          <w:rFonts w:ascii="Arial" w:hAnsi="Arial" w:cs="Arial"/>
        </w:rPr>
        <w:t>stacked</w:t>
      </w:r>
      <w:proofErr w:type="gramEnd"/>
      <w:r w:rsidR="00F13CB3" w:rsidRPr="00B124AB">
        <w:rPr>
          <w:rFonts w:ascii="Arial" w:hAnsi="Arial" w:cs="Arial"/>
        </w:rPr>
        <w:t xml:space="preserve"> and the assembly placed in the blotting module (XCell IITM Blotting module, </w:t>
      </w:r>
      <w:r w:rsidR="008B59D2">
        <w:rPr>
          <w:rFonts w:ascii="Arial" w:hAnsi="Arial" w:cs="Arial"/>
        </w:rPr>
        <w:t>according</w:t>
      </w:r>
      <w:r w:rsidR="008B59D2" w:rsidRPr="00B124AB">
        <w:rPr>
          <w:rFonts w:ascii="Arial" w:hAnsi="Arial" w:cs="Arial"/>
        </w:rPr>
        <w:t xml:space="preserve"> </w:t>
      </w:r>
      <w:r w:rsidR="00F13CB3" w:rsidRPr="00B124AB">
        <w:rPr>
          <w:rFonts w:ascii="Arial" w:hAnsi="Arial" w:cs="Arial"/>
        </w:rPr>
        <w:t xml:space="preserve">manufacturer’s instructions). Blotting was conducted for 1h at 25V in 1X Transfer Buffer (ThermoFisher #LC3675). Complete protein staining of the membrane was conducted with the reversible total protein staining kit (ThermoFisher #24585) and imaged with the ChemiDocTM Imaging system (BioRad) </w:t>
      </w:r>
      <w:proofErr w:type="gramStart"/>
      <w:r w:rsidR="00F13CB3" w:rsidRPr="00B124AB">
        <w:rPr>
          <w:rFonts w:ascii="Arial" w:hAnsi="Arial" w:cs="Arial"/>
        </w:rPr>
        <w:t>according</w:t>
      </w:r>
      <w:proofErr w:type="gramEnd"/>
      <w:r w:rsidR="00F13CB3" w:rsidRPr="00B124AB">
        <w:rPr>
          <w:rFonts w:ascii="Arial" w:hAnsi="Arial" w:cs="Arial"/>
        </w:rPr>
        <w:t xml:space="preserve"> manufacturer’s instructions. The residuals in the gel were stained with the SimplyBlueTM SafeStain </w:t>
      </w:r>
      <w:proofErr w:type="gramStart"/>
      <w:r w:rsidR="00F13CB3" w:rsidRPr="00B124AB">
        <w:rPr>
          <w:rFonts w:ascii="Arial" w:hAnsi="Arial" w:cs="Arial"/>
        </w:rPr>
        <w:t>according</w:t>
      </w:r>
      <w:proofErr w:type="gramEnd"/>
      <w:r w:rsidR="00F13CB3" w:rsidRPr="00B124AB">
        <w:rPr>
          <w:rFonts w:ascii="Arial" w:hAnsi="Arial" w:cs="Arial"/>
        </w:rPr>
        <w:t xml:space="preserve"> manufacturer’s instructions (Invitrogen LC6060). Meanwhile, the membrane was destained and washed three times with ultrapure water to remove residuals from staining. The membrane was blocked in 1XTBS 5% skimmed milkpowder overnight at 4°C, followed by five washes with 1X TBS 0.1 Tween-20 (TBST). Biotinylated anti-FLAG antibody was diluted to a concentration of 1 µg/µL in 1X TBS 1% skimmed milkpowder and the membrane incubated for 2h at RT. Detection was conducted by five washes with TBST and incubation with 1:200 diluted streptavidin-HRP conjugate in TBS 1% MP for 30min at RT. Blot was washed three times </w:t>
      </w:r>
      <w:r w:rsidR="008B59D2">
        <w:rPr>
          <w:rFonts w:ascii="Arial" w:hAnsi="Arial" w:cs="Arial"/>
        </w:rPr>
        <w:t xml:space="preserve">with </w:t>
      </w:r>
      <w:r w:rsidR="00F13CB3" w:rsidRPr="00B124AB">
        <w:rPr>
          <w:rFonts w:ascii="Arial" w:hAnsi="Arial" w:cs="Arial"/>
        </w:rPr>
        <w:t>TBST and band</w:t>
      </w:r>
      <w:r w:rsidR="008B59D2">
        <w:rPr>
          <w:rFonts w:ascii="Arial" w:hAnsi="Arial" w:cs="Arial"/>
        </w:rPr>
        <w:t>s</w:t>
      </w:r>
      <w:r w:rsidR="00F13CB3" w:rsidRPr="00B124AB">
        <w:rPr>
          <w:rFonts w:ascii="Arial" w:hAnsi="Arial" w:cs="Arial"/>
        </w:rPr>
        <w:t xml:space="preserve"> developed with the Clarity Western ECL substrate kit (BioRad # 1705061) </w:t>
      </w:r>
      <w:proofErr w:type="gramStart"/>
      <w:r w:rsidR="00F13CB3" w:rsidRPr="00B124AB">
        <w:rPr>
          <w:rFonts w:ascii="Arial" w:hAnsi="Arial" w:cs="Arial"/>
        </w:rPr>
        <w:t>according</w:t>
      </w:r>
      <w:proofErr w:type="gramEnd"/>
      <w:r w:rsidR="00F13CB3" w:rsidRPr="00B124AB">
        <w:rPr>
          <w:rFonts w:ascii="Arial" w:hAnsi="Arial" w:cs="Arial"/>
        </w:rPr>
        <w:t xml:space="preserve"> manufacturer’s instructions. The blot and stained gel residuals were imaged with the ChemiDocTM imaging system. </w:t>
      </w:r>
    </w:p>
    <w:p w14:paraId="2DF1BB86" w14:textId="21788306" w:rsidR="00753DB5" w:rsidRDefault="00753DB5" w:rsidP="00F13CB3">
      <w:pPr>
        <w:jc w:val="both"/>
        <w:rPr>
          <w:rFonts w:ascii="Arial" w:hAnsi="Arial" w:cs="Arial"/>
        </w:rPr>
      </w:pPr>
    </w:p>
    <w:p w14:paraId="68B70367" w14:textId="2747457D" w:rsidR="00F13CB3" w:rsidRDefault="00E73BCF" w:rsidP="00F13CB3">
      <w:pPr>
        <w:keepNext/>
        <w:jc w:val="both"/>
      </w:pPr>
      <w:r>
        <w:rPr>
          <w:noProof/>
        </w:rPr>
        <w:drawing>
          <wp:inline distT="0" distB="0" distL="0" distR="0" wp14:anchorId="2E7174B9" wp14:editId="39401474">
            <wp:extent cx="5760720" cy="3146425"/>
            <wp:effectExtent l="0" t="0" r="0" b="0"/>
            <wp:docPr id="7" name="Grafik 7"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drinnen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146425"/>
                    </a:xfrm>
                    <a:prstGeom prst="rect">
                      <a:avLst/>
                    </a:prstGeom>
                  </pic:spPr>
                </pic:pic>
              </a:graphicData>
            </a:graphic>
          </wp:inline>
        </w:drawing>
      </w:r>
    </w:p>
    <w:p w14:paraId="500A6846" w14:textId="09C1A307" w:rsidR="00F13CB3" w:rsidRDefault="00F13CB3" w:rsidP="00F13CB3">
      <w:pPr>
        <w:pStyle w:val="Caption"/>
        <w:jc w:val="both"/>
        <w:rPr>
          <w:rFonts w:ascii="Arial" w:hAnsi="Arial" w:cs="Arial"/>
          <w:lang w:val="en-US"/>
        </w:rPr>
      </w:pPr>
      <w:r w:rsidRPr="00094A95">
        <w:rPr>
          <w:lang w:val="en-GB"/>
        </w:rPr>
        <w:t xml:space="preserve">Supplementary Figure </w:t>
      </w:r>
      <w:r>
        <w:fldChar w:fldCharType="begin"/>
      </w:r>
      <w:r w:rsidRPr="00094A95">
        <w:rPr>
          <w:lang w:val="en-GB"/>
        </w:rPr>
        <w:instrText xml:space="preserve"> SEQ Supplementary_Figure \* ARABIC </w:instrText>
      </w:r>
      <w:r>
        <w:fldChar w:fldCharType="separate"/>
      </w:r>
      <w:r w:rsidRPr="00094A95">
        <w:rPr>
          <w:noProof/>
          <w:lang w:val="en-GB"/>
        </w:rPr>
        <w:t>2</w:t>
      </w:r>
      <w:r>
        <w:rPr>
          <w:noProof/>
        </w:rPr>
        <w:fldChar w:fldCharType="end"/>
      </w:r>
      <w:r w:rsidRPr="00094A95">
        <w:rPr>
          <w:lang w:val="en-GB"/>
        </w:rPr>
        <w:t>: 10 peptide BSA conjugates were selected for Western Blot investigation of coupling confirmation. (A) shows the total protein staining of the membrane</w:t>
      </w:r>
      <w:r w:rsidR="00397C5F">
        <w:rPr>
          <w:lang w:val="en-GB"/>
        </w:rPr>
        <w:t xml:space="preserve"> after transfer</w:t>
      </w:r>
      <w:r w:rsidRPr="00094A95">
        <w:rPr>
          <w:lang w:val="en-GB"/>
        </w:rPr>
        <w:t>, (B) the anti-FLAG detection</w:t>
      </w:r>
      <w:r w:rsidR="00397C5F">
        <w:rPr>
          <w:lang w:val="en-GB"/>
        </w:rPr>
        <w:t xml:space="preserve"> using anti-FLAG HRP antibody.</w:t>
      </w:r>
    </w:p>
    <w:p w14:paraId="09823AE3" w14:textId="158B6AC8" w:rsidR="00BB1329" w:rsidRDefault="00BB1329" w:rsidP="00BB1329">
      <w:pPr>
        <w:pStyle w:val="Heading2"/>
        <w:jc w:val="both"/>
        <w:rPr>
          <w:rFonts w:ascii="Arial" w:hAnsi="Arial" w:cs="Arial"/>
          <w:b/>
          <w:bCs/>
          <w:i/>
          <w:iCs/>
          <w:color w:val="000000" w:themeColor="text1"/>
          <w:sz w:val="24"/>
          <w:szCs w:val="24"/>
          <w:lang w:val="en-US"/>
        </w:rPr>
      </w:pPr>
      <w:r>
        <w:rPr>
          <w:rFonts w:ascii="Arial" w:hAnsi="Arial" w:cs="Arial"/>
          <w:b/>
          <w:bCs/>
          <w:i/>
          <w:iCs/>
          <w:color w:val="000000" w:themeColor="text1"/>
          <w:sz w:val="24"/>
          <w:szCs w:val="24"/>
          <w:lang w:val="en-US"/>
        </w:rPr>
        <w:lastRenderedPageBreak/>
        <w:t>Incorporation of a blocking step</w:t>
      </w:r>
    </w:p>
    <w:p w14:paraId="2DB5B34D" w14:textId="241C6F0E" w:rsidR="00D45171" w:rsidRPr="009072F9" w:rsidRDefault="00BB1329" w:rsidP="00735A2A">
      <w:pPr>
        <w:jc w:val="both"/>
        <w:rPr>
          <w:rFonts w:ascii="Arial" w:hAnsi="Arial" w:cs="Arial"/>
        </w:rPr>
      </w:pPr>
      <w:r w:rsidRPr="00094A95">
        <w:rPr>
          <w:rFonts w:ascii="Arial" w:hAnsi="Arial" w:cs="Arial"/>
        </w:rPr>
        <w:t xml:space="preserve">The effect of a blocking step was investigated via immobilization of modified BSA (without peptide) and isolated IgG. The ELISA protocol was </w:t>
      </w:r>
      <w:r w:rsidR="00D45171" w:rsidRPr="00094A95">
        <w:rPr>
          <w:rFonts w:ascii="Arial" w:hAnsi="Arial" w:cs="Arial"/>
        </w:rPr>
        <w:t xml:space="preserve">therefore </w:t>
      </w:r>
      <w:r w:rsidRPr="00094A95">
        <w:rPr>
          <w:rFonts w:ascii="Arial" w:hAnsi="Arial" w:cs="Arial"/>
        </w:rPr>
        <w:t>tested with and without prior block</w:t>
      </w:r>
      <w:r w:rsidR="00D45171" w:rsidRPr="00094A95">
        <w:rPr>
          <w:rFonts w:ascii="Arial" w:hAnsi="Arial" w:cs="Arial"/>
        </w:rPr>
        <w:t xml:space="preserve">ing (PBST 1%BSA for 30min RT). </w:t>
      </w:r>
      <w:r w:rsidR="00D45171" w:rsidRPr="00D45171">
        <w:rPr>
          <w:rFonts w:ascii="Arial" w:hAnsi="Arial" w:cs="Arial"/>
        </w:rPr>
        <w:t>B</w:t>
      </w:r>
      <w:r w:rsidR="00D45171" w:rsidRPr="00094A95">
        <w:rPr>
          <w:rFonts w:ascii="Arial" w:hAnsi="Arial" w:cs="Arial"/>
        </w:rPr>
        <w:t>locked wells showed 1 to 6.55 fold increased signals (150 pmol/well) compared to unblocked wells, with increasing tendency upon increasing concentration (0.98 – 10.22 fold increased at 300 pmol/well and 1.01</w:t>
      </w:r>
      <w:r w:rsidR="00D45171" w:rsidRPr="00D45171">
        <w:rPr>
          <w:rFonts w:ascii="Arial" w:hAnsi="Arial" w:cs="Arial"/>
        </w:rPr>
        <w:t xml:space="preserve"> – 7.07 fold increased at 600 pmol/well, Figure 2b</w:t>
      </w:r>
      <w:proofErr w:type="gramStart"/>
      <w:r w:rsidR="00D45171" w:rsidRPr="00D45171">
        <w:rPr>
          <w:rFonts w:ascii="Arial" w:hAnsi="Arial" w:cs="Arial"/>
        </w:rPr>
        <w:t>).</w:t>
      </w:r>
      <w:r w:rsidR="00735A2A">
        <w:rPr>
          <w:rFonts w:ascii="Arial" w:hAnsi="Arial" w:cs="Arial"/>
        </w:rPr>
        <w:t>To</w:t>
      </w:r>
      <w:proofErr w:type="gramEnd"/>
      <w:r w:rsidR="00735A2A">
        <w:rPr>
          <w:rFonts w:ascii="Arial" w:hAnsi="Arial" w:cs="Arial"/>
        </w:rPr>
        <w:t xml:space="preserve"> elaborate</w:t>
      </w:r>
      <w:r w:rsidR="00D45171" w:rsidRPr="009072F9">
        <w:rPr>
          <w:rFonts w:ascii="Arial" w:hAnsi="Arial" w:cs="Arial"/>
        </w:rPr>
        <w:t>, we compared PBST with 1% BSA and PBST with 1% skimmed milk</w:t>
      </w:r>
      <w:r w:rsidR="00D45171">
        <w:rPr>
          <w:rFonts w:ascii="Arial" w:hAnsi="Arial" w:cs="Arial"/>
        </w:rPr>
        <w:t>-</w:t>
      </w:r>
      <w:r w:rsidR="00D45171" w:rsidRPr="009072F9">
        <w:rPr>
          <w:rFonts w:ascii="Arial" w:hAnsi="Arial" w:cs="Arial"/>
        </w:rPr>
        <w:t>powder</w:t>
      </w:r>
      <w:r w:rsidR="00D45171">
        <w:rPr>
          <w:rFonts w:ascii="Arial" w:hAnsi="Arial" w:cs="Arial"/>
        </w:rPr>
        <w:t xml:space="preserve"> (MP)</w:t>
      </w:r>
      <w:r w:rsidR="00D45171" w:rsidRPr="009072F9">
        <w:rPr>
          <w:rFonts w:ascii="Arial" w:hAnsi="Arial" w:cs="Arial"/>
        </w:rPr>
        <w:t xml:space="preserve"> to PBST without protein in (1) blocking, (2) sample solution and (3) detection solution. Results of this evaluation are shown as ratios of blocked versus unblocked signals (2 peptides were tested, </w:t>
      </w:r>
      <w:r w:rsidR="00D45171" w:rsidRPr="009072F9">
        <w:rPr>
          <w:rFonts w:ascii="Arial" w:hAnsi="Arial" w:cs="Arial"/>
        </w:rPr>
        <w:fldChar w:fldCharType="begin"/>
      </w:r>
      <w:r w:rsidR="00D45171" w:rsidRPr="009072F9">
        <w:rPr>
          <w:rFonts w:ascii="Arial" w:hAnsi="Arial" w:cs="Arial"/>
        </w:rPr>
        <w:instrText xml:space="preserve"> REF _Ref29546292 \h  \* MERGEFORMAT </w:instrText>
      </w:r>
      <w:r w:rsidR="00D45171" w:rsidRPr="009072F9">
        <w:rPr>
          <w:rFonts w:ascii="Arial" w:hAnsi="Arial" w:cs="Arial"/>
        </w:rPr>
      </w:r>
      <w:r w:rsidR="00D45171" w:rsidRPr="009072F9">
        <w:rPr>
          <w:rFonts w:ascii="Arial" w:hAnsi="Arial" w:cs="Arial"/>
        </w:rPr>
        <w:fldChar w:fldCharType="separate"/>
      </w:r>
      <w:r w:rsidR="00D45171" w:rsidRPr="000E1E27">
        <w:rPr>
          <w:rFonts w:ascii="Arial" w:hAnsi="Arial" w:cs="Arial"/>
          <w:lang w:val="en-GB"/>
        </w:rPr>
        <w:t xml:space="preserve">Table </w:t>
      </w:r>
      <w:r w:rsidR="00D45171" w:rsidRPr="000E1E27">
        <w:rPr>
          <w:rFonts w:ascii="Arial" w:hAnsi="Arial" w:cs="Arial"/>
          <w:noProof/>
          <w:lang w:val="en-GB"/>
        </w:rPr>
        <w:t>2</w:t>
      </w:r>
      <w:r w:rsidR="00D45171" w:rsidRPr="009072F9">
        <w:rPr>
          <w:rFonts w:ascii="Arial" w:hAnsi="Arial" w:cs="Arial"/>
        </w:rPr>
        <w:fldChar w:fldCharType="end"/>
      </w:r>
      <w:r w:rsidR="00D45171" w:rsidRPr="009072F9">
        <w:rPr>
          <w:rFonts w:ascii="Arial" w:hAnsi="Arial" w:cs="Arial"/>
        </w:rPr>
        <w:t xml:space="preserve">). </w:t>
      </w:r>
    </w:p>
    <w:p w14:paraId="2EAC6352" w14:textId="77777777" w:rsidR="00D45171" w:rsidRPr="009072F9" w:rsidRDefault="00D45171" w:rsidP="00D45171">
      <w:pPr>
        <w:keepNext/>
        <w:jc w:val="both"/>
        <w:rPr>
          <w:rFonts w:ascii="Arial" w:hAnsi="Arial" w:cs="Arial"/>
          <w:lang w:val="en-GB"/>
        </w:rPr>
      </w:pPr>
    </w:p>
    <w:p w14:paraId="6771986A" w14:textId="2BE10570" w:rsidR="002D5588" w:rsidRDefault="00BE2EF9" w:rsidP="002D5588">
      <w:pPr>
        <w:keepNext/>
        <w:jc w:val="both"/>
      </w:pPr>
      <w:r>
        <w:rPr>
          <w:noProof/>
        </w:rPr>
        <w:drawing>
          <wp:inline distT="0" distB="0" distL="0" distR="0" wp14:anchorId="729A76D2" wp14:editId="5ADB7DE6">
            <wp:extent cx="5760720" cy="30175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14:paraId="0BF10D74" w14:textId="523B7C71" w:rsidR="002D5588" w:rsidRPr="00094A95" w:rsidRDefault="002D5588" w:rsidP="00094A95">
      <w:pPr>
        <w:pStyle w:val="Caption"/>
        <w:jc w:val="both"/>
        <w:rPr>
          <w:lang w:val="en-GB"/>
        </w:rPr>
      </w:pPr>
      <w:r w:rsidRPr="00094A95">
        <w:rPr>
          <w:lang w:val="en-GB"/>
        </w:rPr>
        <w:t xml:space="preserve">Supplementary Figure </w:t>
      </w:r>
      <w:r>
        <w:fldChar w:fldCharType="begin"/>
      </w:r>
      <w:r w:rsidRPr="00094A95">
        <w:rPr>
          <w:lang w:val="en-GB"/>
        </w:rPr>
        <w:instrText xml:space="preserve"> SEQ Supplementary_Figure \* ARABIC </w:instrText>
      </w:r>
      <w:r>
        <w:fldChar w:fldCharType="separate"/>
      </w:r>
      <w:r w:rsidRPr="00094A95">
        <w:rPr>
          <w:noProof/>
          <w:lang w:val="en-GB"/>
        </w:rPr>
        <w:t>3</w:t>
      </w:r>
      <w:r>
        <w:fldChar w:fldCharType="end"/>
      </w:r>
      <w:r w:rsidRPr="00094A95">
        <w:rPr>
          <w:lang w:val="en-GB"/>
        </w:rPr>
        <w:t>: (a) dilution series of peptides plotted for blank-uncorrected absorption values at 450nm. Two peptides (EBV1, EBV2) on the three evaluated surfaces are shown. (b) absorbance values for blocked (1% BSA in PBST) and unblocked wells obtained for dilution series of unmodified, azide modified carrier molecule (BSA, azido BSA) and IgG incubated with 0.15 mg/mL IgG. Uncoated wells are shown as “buffer”, “blank” wells represent BSA (unmodified) coated wells incubated with 0.15 mg/mL IgG.</w:t>
      </w:r>
    </w:p>
    <w:tbl>
      <w:tblPr>
        <w:tblW w:w="0" w:type="auto"/>
        <w:tblCellMar>
          <w:left w:w="70" w:type="dxa"/>
          <w:right w:w="70" w:type="dxa"/>
        </w:tblCellMar>
        <w:tblLook w:val="04A0" w:firstRow="1" w:lastRow="0" w:firstColumn="1" w:lastColumn="0" w:noHBand="0" w:noVBand="1"/>
      </w:tblPr>
      <w:tblGrid>
        <w:gridCol w:w="1240"/>
        <w:gridCol w:w="445"/>
        <w:gridCol w:w="445"/>
        <w:gridCol w:w="446"/>
        <w:gridCol w:w="446"/>
        <w:gridCol w:w="1241"/>
        <w:gridCol w:w="446"/>
        <w:gridCol w:w="446"/>
        <w:gridCol w:w="446"/>
        <w:gridCol w:w="446"/>
        <w:gridCol w:w="1241"/>
        <w:gridCol w:w="446"/>
        <w:gridCol w:w="446"/>
        <w:gridCol w:w="446"/>
        <w:gridCol w:w="446"/>
      </w:tblGrid>
      <w:tr w:rsidR="00C55B12" w:rsidRPr="00542A90" w14:paraId="164A1C44" w14:textId="77777777" w:rsidTr="00C55B12">
        <w:trPr>
          <w:trHeight w:val="315"/>
        </w:trPr>
        <w:tc>
          <w:tcPr>
            <w:tcW w:w="0" w:type="auto"/>
            <w:gridSpan w:val="5"/>
            <w:tcBorders>
              <w:top w:val="single" w:sz="4" w:space="0" w:color="auto"/>
              <w:left w:val="nil"/>
              <w:bottom w:val="single" w:sz="8" w:space="0" w:color="auto"/>
              <w:right w:val="single" w:sz="4" w:space="0" w:color="000000"/>
            </w:tcBorders>
            <w:shd w:val="clear" w:color="000000" w:fill="EDEDED"/>
            <w:noWrap/>
            <w:vAlign w:val="bottom"/>
            <w:hideMark/>
          </w:tcPr>
          <w:p w14:paraId="3D85F73A"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EBV1_IgG in PBST, detAb in PBST</w:t>
            </w:r>
          </w:p>
        </w:tc>
        <w:tc>
          <w:tcPr>
            <w:tcW w:w="0" w:type="auto"/>
            <w:gridSpan w:val="5"/>
            <w:tcBorders>
              <w:top w:val="single" w:sz="4" w:space="0" w:color="auto"/>
              <w:left w:val="nil"/>
              <w:bottom w:val="single" w:sz="8" w:space="0" w:color="auto"/>
              <w:right w:val="single" w:sz="4" w:space="0" w:color="000000"/>
            </w:tcBorders>
            <w:shd w:val="clear" w:color="000000" w:fill="EDEDED"/>
            <w:noWrap/>
            <w:vAlign w:val="bottom"/>
            <w:hideMark/>
          </w:tcPr>
          <w:p w14:paraId="576A37E6"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EBV1_IgG in PBST, detAb in PBST+BSA</w:t>
            </w:r>
          </w:p>
        </w:tc>
        <w:tc>
          <w:tcPr>
            <w:tcW w:w="0" w:type="auto"/>
            <w:gridSpan w:val="5"/>
            <w:tcBorders>
              <w:top w:val="single" w:sz="4" w:space="0" w:color="auto"/>
              <w:left w:val="nil"/>
              <w:bottom w:val="single" w:sz="8" w:space="0" w:color="auto"/>
              <w:right w:val="nil"/>
            </w:tcBorders>
            <w:shd w:val="clear" w:color="000000" w:fill="EDEDED"/>
            <w:noWrap/>
            <w:vAlign w:val="bottom"/>
            <w:hideMark/>
          </w:tcPr>
          <w:p w14:paraId="20EF4581"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EBV1_IgG in PBST, detAb in PBST+MP</w:t>
            </w:r>
          </w:p>
        </w:tc>
      </w:tr>
      <w:tr w:rsidR="00C55B12" w:rsidRPr="00C55B12" w14:paraId="312F656F" w14:textId="77777777" w:rsidTr="00C55B12">
        <w:trPr>
          <w:trHeight w:val="300"/>
        </w:trPr>
        <w:tc>
          <w:tcPr>
            <w:tcW w:w="0" w:type="auto"/>
            <w:tcBorders>
              <w:top w:val="nil"/>
              <w:left w:val="nil"/>
              <w:bottom w:val="nil"/>
              <w:right w:val="nil"/>
            </w:tcBorders>
            <w:shd w:val="clear" w:color="auto" w:fill="auto"/>
            <w:noWrap/>
            <w:vAlign w:val="bottom"/>
            <w:hideMark/>
          </w:tcPr>
          <w:p w14:paraId="342B0B3C" w14:textId="77777777" w:rsidR="00C55B12" w:rsidRPr="00094A95" w:rsidRDefault="00C55B12" w:rsidP="00C55B12">
            <w:pPr>
              <w:spacing w:after="0" w:line="240" w:lineRule="auto"/>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pmol/well</w:t>
            </w:r>
          </w:p>
        </w:tc>
        <w:tc>
          <w:tcPr>
            <w:tcW w:w="0" w:type="auto"/>
            <w:tcBorders>
              <w:top w:val="nil"/>
              <w:left w:val="nil"/>
              <w:bottom w:val="nil"/>
              <w:right w:val="nil"/>
            </w:tcBorders>
            <w:shd w:val="clear" w:color="auto" w:fill="auto"/>
            <w:noWrap/>
            <w:vAlign w:val="center"/>
            <w:hideMark/>
          </w:tcPr>
          <w:p w14:paraId="725ACEEA"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300</w:t>
            </w:r>
          </w:p>
        </w:tc>
        <w:tc>
          <w:tcPr>
            <w:tcW w:w="0" w:type="auto"/>
            <w:tcBorders>
              <w:top w:val="nil"/>
              <w:left w:val="nil"/>
              <w:bottom w:val="nil"/>
              <w:right w:val="nil"/>
            </w:tcBorders>
            <w:shd w:val="clear" w:color="auto" w:fill="auto"/>
            <w:noWrap/>
            <w:vAlign w:val="center"/>
            <w:hideMark/>
          </w:tcPr>
          <w:p w14:paraId="20C0EA36"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150</w:t>
            </w:r>
          </w:p>
        </w:tc>
        <w:tc>
          <w:tcPr>
            <w:tcW w:w="0" w:type="auto"/>
            <w:tcBorders>
              <w:top w:val="nil"/>
              <w:left w:val="nil"/>
              <w:bottom w:val="nil"/>
              <w:right w:val="nil"/>
            </w:tcBorders>
            <w:shd w:val="clear" w:color="auto" w:fill="auto"/>
            <w:noWrap/>
            <w:vAlign w:val="center"/>
            <w:hideMark/>
          </w:tcPr>
          <w:p w14:paraId="23E5CF31"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60</w:t>
            </w:r>
          </w:p>
        </w:tc>
        <w:tc>
          <w:tcPr>
            <w:tcW w:w="0" w:type="auto"/>
            <w:tcBorders>
              <w:top w:val="nil"/>
              <w:left w:val="nil"/>
              <w:bottom w:val="nil"/>
              <w:right w:val="single" w:sz="4" w:space="0" w:color="auto"/>
            </w:tcBorders>
            <w:shd w:val="clear" w:color="auto" w:fill="auto"/>
            <w:noWrap/>
            <w:vAlign w:val="center"/>
            <w:hideMark/>
          </w:tcPr>
          <w:p w14:paraId="424A5FC5"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30</w:t>
            </w:r>
          </w:p>
        </w:tc>
        <w:tc>
          <w:tcPr>
            <w:tcW w:w="0" w:type="auto"/>
            <w:tcBorders>
              <w:top w:val="nil"/>
              <w:left w:val="nil"/>
              <w:bottom w:val="nil"/>
              <w:right w:val="nil"/>
            </w:tcBorders>
            <w:shd w:val="clear" w:color="auto" w:fill="auto"/>
            <w:noWrap/>
            <w:vAlign w:val="bottom"/>
            <w:hideMark/>
          </w:tcPr>
          <w:p w14:paraId="3A48E1A8" w14:textId="77777777" w:rsidR="00C55B12" w:rsidRPr="00094A95" w:rsidRDefault="00C55B12" w:rsidP="00C55B12">
            <w:pPr>
              <w:spacing w:after="0" w:line="240" w:lineRule="auto"/>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pmol/well</w:t>
            </w:r>
          </w:p>
        </w:tc>
        <w:tc>
          <w:tcPr>
            <w:tcW w:w="0" w:type="auto"/>
            <w:tcBorders>
              <w:top w:val="nil"/>
              <w:left w:val="nil"/>
              <w:bottom w:val="nil"/>
              <w:right w:val="nil"/>
            </w:tcBorders>
            <w:shd w:val="clear" w:color="auto" w:fill="auto"/>
            <w:noWrap/>
            <w:vAlign w:val="center"/>
            <w:hideMark/>
          </w:tcPr>
          <w:p w14:paraId="1905C2C0"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300</w:t>
            </w:r>
          </w:p>
        </w:tc>
        <w:tc>
          <w:tcPr>
            <w:tcW w:w="0" w:type="auto"/>
            <w:tcBorders>
              <w:top w:val="nil"/>
              <w:left w:val="nil"/>
              <w:bottom w:val="nil"/>
              <w:right w:val="nil"/>
            </w:tcBorders>
            <w:shd w:val="clear" w:color="auto" w:fill="auto"/>
            <w:noWrap/>
            <w:vAlign w:val="center"/>
            <w:hideMark/>
          </w:tcPr>
          <w:p w14:paraId="0D0CF5A0"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150</w:t>
            </w:r>
          </w:p>
        </w:tc>
        <w:tc>
          <w:tcPr>
            <w:tcW w:w="0" w:type="auto"/>
            <w:tcBorders>
              <w:top w:val="nil"/>
              <w:left w:val="nil"/>
              <w:bottom w:val="nil"/>
              <w:right w:val="nil"/>
            </w:tcBorders>
            <w:shd w:val="clear" w:color="auto" w:fill="auto"/>
            <w:noWrap/>
            <w:vAlign w:val="center"/>
            <w:hideMark/>
          </w:tcPr>
          <w:p w14:paraId="4537C59B"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60</w:t>
            </w:r>
          </w:p>
        </w:tc>
        <w:tc>
          <w:tcPr>
            <w:tcW w:w="0" w:type="auto"/>
            <w:tcBorders>
              <w:top w:val="nil"/>
              <w:left w:val="nil"/>
              <w:bottom w:val="nil"/>
              <w:right w:val="single" w:sz="4" w:space="0" w:color="auto"/>
            </w:tcBorders>
            <w:shd w:val="clear" w:color="auto" w:fill="auto"/>
            <w:noWrap/>
            <w:vAlign w:val="center"/>
            <w:hideMark/>
          </w:tcPr>
          <w:p w14:paraId="07A493EB"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30</w:t>
            </w:r>
          </w:p>
        </w:tc>
        <w:tc>
          <w:tcPr>
            <w:tcW w:w="0" w:type="auto"/>
            <w:tcBorders>
              <w:top w:val="nil"/>
              <w:left w:val="nil"/>
              <w:bottom w:val="nil"/>
              <w:right w:val="nil"/>
            </w:tcBorders>
            <w:shd w:val="clear" w:color="auto" w:fill="auto"/>
            <w:noWrap/>
            <w:vAlign w:val="bottom"/>
            <w:hideMark/>
          </w:tcPr>
          <w:p w14:paraId="4FCB5239" w14:textId="77777777" w:rsidR="00C55B12" w:rsidRPr="00094A95" w:rsidRDefault="00C55B12" w:rsidP="00C55B12">
            <w:pPr>
              <w:spacing w:after="0" w:line="240" w:lineRule="auto"/>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pmol/well</w:t>
            </w:r>
          </w:p>
        </w:tc>
        <w:tc>
          <w:tcPr>
            <w:tcW w:w="0" w:type="auto"/>
            <w:tcBorders>
              <w:top w:val="nil"/>
              <w:left w:val="nil"/>
              <w:bottom w:val="nil"/>
              <w:right w:val="nil"/>
            </w:tcBorders>
            <w:shd w:val="clear" w:color="auto" w:fill="auto"/>
            <w:noWrap/>
            <w:vAlign w:val="center"/>
            <w:hideMark/>
          </w:tcPr>
          <w:p w14:paraId="461E22DB"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300</w:t>
            </w:r>
          </w:p>
        </w:tc>
        <w:tc>
          <w:tcPr>
            <w:tcW w:w="0" w:type="auto"/>
            <w:tcBorders>
              <w:top w:val="nil"/>
              <w:left w:val="nil"/>
              <w:bottom w:val="nil"/>
              <w:right w:val="nil"/>
            </w:tcBorders>
            <w:shd w:val="clear" w:color="auto" w:fill="auto"/>
            <w:noWrap/>
            <w:vAlign w:val="center"/>
            <w:hideMark/>
          </w:tcPr>
          <w:p w14:paraId="0D2C16B6"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150</w:t>
            </w:r>
          </w:p>
        </w:tc>
        <w:tc>
          <w:tcPr>
            <w:tcW w:w="0" w:type="auto"/>
            <w:tcBorders>
              <w:top w:val="nil"/>
              <w:left w:val="nil"/>
              <w:bottom w:val="nil"/>
              <w:right w:val="nil"/>
            </w:tcBorders>
            <w:shd w:val="clear" w:color="auto" w:fill="auto"/>
            <w:noWrap/>
            <w:vAlign w:val="center"/>
            <w:hideMark/>
          </w:tcPr>
          <w:p w14:paraId="6F6FEDDA"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60</w:t>
            </w:r>
          </w:p>
        </w:tc>
        <w:tc>
          <w:tcPr>
            <w:tcW w:w="0" w:type="auto"/>
            <w:tcBorders>
              <w:top w:val="nil"/>
              <w:left w:val="nil"/>
              <w:bottom w:val="nil"/>
              <w:right w:val="nil"/>
            </w:tcBorders>
            <w:shd w:val="clear" w:color="auto" w:fill="auto"/>
            <w:noWrap/>
            <w:vAlign w:val="center"/>
            <w:hideMark/>
          </w:tcPr>
          <w:p w14:paraId="3404A4B4"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30</w:t>
            </w:r>
          </w:p>
        </w:tc>
      </w:tr>
      <w:tr w:rsidR="00C55B12" w:rsidRPr="00C55B12" w14:paraId="47243B8E" w14:textId="77777777" w:rsidTr="00C55B12">
        <w:trPr>
          <w:trHeight w:val="300"/>
        </w:trPr>
        <w:tc>
          <w:tcPr>
            <w:tcW w:w="0" w:type="auto"/>
            <w:tcBorders>
              <w:top w:val="nil"/>
              <w:left w:val="nil"/>
              <w:bottom w:val="nil"/>
              <w:right w:val="nil"/>
            </w:tcBorders>
            <w:shd w:val="clear" w:color="auto" w:fill="auto"/>
            <w:noWrap/>
            <w:vAlign w:val="bottom"/>
            <w:hideMark/>
          </w:tcPr>
          <w:p w14:paraId="02531737" w14:textId="77777777" w:rsidR="00C55B12" w:rsidRPr="00094A95" w:rsidRDefault="00C55B12" w:rsidP="00C55B12">
            <w:pPr>
              <w:spacing w:after="0" w:line="240" w:lineRule="auto"/>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BSA/unblocked</w:t>
            </w:r>
          </w:p>
        </w:tc>
        <w:tc>
          <w:tcPr>
            <w:tcW w:w="0" w:type="auto"/>
            <w:tcBorders>
              <w:top w:val="nil"/>
              <w:left w:val="nil"/>
              <w:bottom w:val="nil"/>
              <w:right w:val="nil"/>
            </w:tcBorders>
            <w:shd w:val="clear" w:color="auto" w:fill="auto"/>
            <w:noWrap/>
            <w:vAlign w:val="center"/>
            <w:hideMark/>
          </w:tcPr>
          <w:p w14:paraId="48AE3BD2"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0.87</w:t>
            </w:r>
          </w:p>
        </w:tc>
        <w:tc>
          <w:tcPr>
            <w:tcW w:w="0" w:type="auto"/>
            <w:tcBorders>
              <w:top w:val="nil"/>
              <w:left w:val="nil"/>
              <w:bottom w:val="nil"/>
              <w:right w:val="nil"/>
            </w:tcBorders>
            <w:shd w:val="clear" w:color="auto" w:fill="auto"/>
            <w:noWrap/>
            <w:vAlign w:val="center"/>
            <w:hideMark/>
          </w:tcPr>
          <w:p w14:paraId="5F39D2E3"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1.57</w:t>
            </w:r>
          </w:p>
        </w:tc>
        <w:tc>
          <w:tcPr>
            <w:tcW w:w="0" w:type="auto"/>
            <w:tcBorders>
              <w:top w:val="nil"/>
              <w:left w:val="nil"/>
              <w:bottom w:val="nil"/>
              <w:right w:val="nil"/>
            </w:tcBorders>
            <w:shd w:val="clear" w:color="auto" w:fill="auto"/>
            <w:noWrap/>
            <w:vAlign w:val="center"/>
            <w:hideMark/>
          </w:tcPr>
          <w:p w14:paraId="485C3903"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1.73</w:t>
            </w:r>
          </w:p>
        </w:tc>
        <w:tc>
          <w:tcPr>
            <w:tcW w:w="0" w:type="auto"/>
            <w:tcBorders>
              <w:top w:val="nil"/>
              <w:left w:val="nil"/>
              <w:bottom w:val="nil"/>
              <w:right w:val="single" w:sz="4" w:space="0" w:color="auto"/>
            </w:tcBorders>
            <w:shd w:val="clear" w:color="auto" w:fill="auto"/>
            <w:noWrap/>
            <w:vAlign w:val="center"/>
            <w:hideMark/>
          </w:tcPr>
          <w:p w14:paraId="15040D2C"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0.73</w:t>
            </w:r>
          </w:p>
        </w:tc>
        <w:tc>
          <w:tcPr>
            <w:tcW w:w="0" w:type="auto"/>
            <w:tcBorders>
              <w:top w:val="nil"/>
              <w:left w:val="nil"/>
              <w:bottom w:val="nil"/>
              <w:right w:val="nil"/>
            </w:tcBorders>
            <w:shd w:val="clear" w:color="auto" w:fill="auto"/>
            <w:noWrap/>
            <w:vAlign w:val="bottom"/>
            <w:hideMark/>
          </w:tcPr>
          <w:p w14:paraId="577A05BC" w14:textId="77777777" w:rsidR="00C55B12" w:rsidRPr="00094A95" w:rsidRDefault="00C55B12" w:rsidP="00C55B12">
            <w:pPr>
              <w:spacing w:after="0" w:line="240" w:lineRule="auto"/>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BSA/unblocked</w:t>
            </w:r>
          </w:p>
        </w:tc>
        <w:tc>
          <w:tcPr>
            <w:tcW w:w="0" w:type="auto"/>
            <w:tcBorders>
              <w:top w:val="nil"/>
              <w:left w:val="nil"/>
              <w:bottom w:val="nil"/>
              <w:right w:val="nil"/>
            </w:tcBorders>
            <w:shd w:val="clear" w:color="auto" w:fill="auto"/>
            <w:noWrap/>
            <w:vAlign w:val="center"/>
            <w:hideMark/>
          </w:tcPr>
          <w:p w14:paraId="7F3AD256"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1.21</w:t>
            </w:r>
          </w:p>
        </w:tc>
        <w:tc>
          <w:tcPr>
            <w:tcW w:w="0" w:type="auto"/>
            <w:tcBorders>
              <w:top w:val="nil"/>
              <w:left w:val="nil"/>
              <w:bottom w:val="nil"/>
              <w:right w:val="nil"/>
            </w:tcBorders>
            <w:shd w:val="clear" w:color="auto" w:fill="auto"/>
            <w:noWrap/>
            <w:vAlign w:val="center"/>
            <w:hideMark/>
          </w:tcPr>
          <w:p w14:paraId="0EA433AB"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1.93</w:t>
            </w:r>
          </w:p>
        </w:tc>
        <w:tc>
          <w:tcPr>
            <w:tcW w:w="0" w:type="auto"/>
            <w:tcBorders>
              <w:top w:val="nil"/>
              <w:left w:val="nil"/>
              <w:bottom w:val="nil"/>
              <w:right w:val="nil"/>
            </w:tcBorders>
            <w:shd w:val="clear" w:color="auto" w:fill="auto"/>
            <w:noWrap/>
            <w:vAlign w:val="center"/>
            <w:hideMark/>
          </w:tcPr>
          <w:p w14:paraId="4C5ED580"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0.85</w:t>
            </w:r>
          </w:p>
        </w:tc>
        <w:tc>
          <w:tcPr>
            <w:tcW w:w="0" w:type="auto"/>
            <w:tcBorders>
              <w:top w:val="nil"/>
              <w:left w:val="nil"/>
              <w:bottom w:val="nil"/>
              <w:right w:val="single" w:sz="4" w:space="0" w:color="auto"/>
            </w:tcBorders>
            <w:shd w:val="clear" w:color="auto" w:fill="auto"/>
            <w:noWrap/>
            <w:vAlign w:val="center"/>
            <w:hideMark/>
          </w:tcPr>
          <w:p w14:paraId="6D317A0C"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0.84</w:t>
            </w:r>
          </w:p>
        </w:tc>
        <w:tc>
          <w:tcPr>
            <w:tcW w:w="0" w:type="auto"/>
            <w:tcBorders>
              <w:top w:val="nil"/>
              <w:left w:val="nil"/>
              <w:bottom w:val="nil"/>
              <w:right w:val="nil"/>
            </w:tcBorders>
            <w:shd w:val="clear" w:color="auto" w:fill="auto"/>
            <w:noWrap/>
            <w:vAlign w:val="bottom"/>
            <w:hideMark/>
          </w:tcPr>
          <w:p w14:paraId="1E240371" w14:textId="77777777" w:rsidR="00C55B12" w:rsidRPr="00094A95" w:rsidRDefault="00C55B12" w:rsidP="00C55B12">
            <w:pPr>
              <w:spacing w:after="0" w:line="240" w:lineRule="auto"/>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BSA/unblocked</w:t>
            </w:r>
          </w:p>
        </w:tc>
        <w:tc>
          <w:tcPr>
            <w:tcW w:w="0" w:type="auto"/>
            <w:tcBorders>
              <w:top w:val="nil"/>
              <w:left w:val="nil"/>
              <w:bottom w:val="nil"/>
              <w:right w:val="nil"/>
            </w:tcBorders>
            <w:shd w:val="clear" w:color="auto" w:fill="auto"/>
            <w:noWrap/>
            <w:vAlign w:val="center"/>
            <w:hideMark/>
          </w:tcPr>
          <w:p w14:paraId="66A4BAE0"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0.81</w:t>
            </w:r>
          </w:p>
        </w:tc>
        <w:tc>
          <w:tcPr>
            <w:tcW w:w="0" w:type="auto"/>
            <w:tcBorders>
              <w:top w:val="nil"/>
              <w:left w:val="nil"/>
              <w:bottom w:val="nil"/>
              <w:right w:val="nil"/>
            </w:tcBorders>
            <w:shd w:val="clear" w:color="auto" w:fill="auto"/>
            <w:noWrap/>
            <w:vAlign w:val="center"/>
            <w:hideMark/>
          </w:tcPr>
          <w:p w14:paraId="58A1FF63"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0.80</w:t>
            </w:r>
          </w:p>
        </w:tc>
        <w:tc>
          <w:tcPr>
            <w:tcW w:w="0" w:type="auto"/>
            <w:tcBorders>
              <w:top w:val="nil"/>
              <w:left w:val="nil"/>
              <w:bottom w:val="nil"/>
              <w:right w:val="nil"/>
            </w:tcBorders>
            <w:shd w:val="clear" w:color="auto" w:fill="auto"/>
            <w:noWrap/>
            <w:vAlign w:val="center"/>
            <w:hideMark/>
          </w:tcPr>
          <w:p w14:paraId="59CF54E7"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0.82</w:t>
            </w:r>
          </w:p>
        </w:tc>
        <w:tc>
          <w:tcPr>
            <w:tcW w:w="0" w:type="auto"/>
            <w:tcBorders>
              <w:top w:val="nil"/>
              <w:left w:val="nil"/>
              <w:bottom w:val="nil"/>
              <w:right w:val="nil"/>
            </w:tcBorders>
            <w:shd w:val="clear" w:color="auto" w:fill="auto"/>
            <w:noWrap/>
            <w:vAlign w:val="center"/>
            <w:hideMark/>
          </w:tcPr>
          <w:p w14:paraId="01F8F6E4"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0.72</w:t>
            </w:r>
          </w:p>
        </w:tc>
      </w:tr>
      <w:tr w:rsidR="00C55B12" w:rsidRPr="00C55B12" w14:paraId="34E4D474" w14:textId="77777777" w:rsidTr="00C55B12">
        <w:trPr>
          <w:trHeight w:val="300"/>
        </w:trPr>
        <w:tc>
          <w:tcPr>
            <w:tcW w:w="0" w:type="auto"/>
            <w:tcBorders>
              <w:top w:val="nil"/>
              <w:left w:val="nil"/>
              <w:bottom w:val="nil"/>
              <w:right w:val="nil"/>
            </w:tcBorders>
            <w:shd w:val="clear" w:color="auto" w:fill="auto"/>
            <w:noWrap/>
            <w:vAlign w:val="bottom"/>
            <w:hideMark/>
          </w:tcPr>
          <w:p w14:paraId="540D8F4D" w14:textId="77777777" w:rsidR="00C55B12" w:rsidRPr="00094A95" w:rsidRDefault="00C55B12" w:rsidP="00C55B12">
            <w:pPr>
              <w:spacing w:after="0" w:line="240" w:lineRule="auto"/>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MP/unblocked</w:t>
            </w:r>
          </w:p>
        </w:tc>
        <w:tc>
          <w:tcPr>
            <w:tcW w:w="0" w:type="auto"/>
            <w:tcBorders>
              <w:top w:val="nil"/>
              <w:left w:val="nil"/>
              <w:bottom w:val="nil"/>
              <w:right w:val="nil"/>
            </w:tcBorders>
            <w:shd w:val="clear" w:color="auto" w:fill="auto"/>
            <w:noWrap/>
            <w:vAlign w:val="center"/>
            <w:hideMark/>
          </w:tcPr>
          <w:p w14:paraId="273F7037"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0.61</w:t>
            </w:r>
          </w:p>
        </w:tc>
        <w:tc>
          <w:tcPr>
            <w:tcW w:w="0" w:type="auto"/>
            <w:tcBorders>
              <w:top w:val="nil"/>
              <w:left w:val="nil"/>
              <w:bottom w:val="nil"/>
              <w:right w:val="nil"/>
            </w:tcBorders>
            <w:shd w:val="clear" w:color="auto" w:fill="auto"/>
            <w:noWrap/>
            <w:vAlign w:val="center"/>
            <w:hideMark/>
          </w:tcPr>
          <w:p w14:paraId="47C0AF65"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0.92</w:t>
            </w:r>
          </w:p>
        </w:tc>
        <w:tc>
          <w:tcPr>
            <w:tcW w:w="0" w:type="auto"/>
            <w:tcBorders>
              <w:top w:val="nil"/>
              <w:left w:val="nil"/>
              <w:bottom w:val="nil"/>
              <w:right w:val="nil"/>
            </w:tcBorders>
            <w:shd w:val="clear" w:color="auto" w:fill="auto"/>
            <w:noWrap/>
            <w:vAlign w:val="center"/>
            <w:hideMark/>
          </w:tcPr>
          <w:p w14:paraId="46157F1F"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0.85</w:t>
            </w:r>
          </w:p>
        </w:tc>
        <w:tc>
          <w:tcPr>
            <w:tcW w:w="0" w:type="auto"/>
            <w:tcBorders>
              <w:top w:val="nil"/>
              <w:left w:val="nil"/>
              <w:bottom w:val="nil"/>
              <w:right w:val="single" w:sz="4" w:space="0" w:color="auto"/>
            </w:tcBorders>
            <w:shd w:val="clear" w:color="auto" w:fill="auto"/>
            <w:noWrap/>
            <w:vAlign w:val="center"/>
            <w:hideMark/>
          </w:tcPr>
          <w:p w14:paraId="41BAA267"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0.40</w:t>
            </w:r>
          </w:p>
        </w:tc>
        <w:tc>
          <w:tcPr>
            <w:tcW w:w="0" w:type="auto"/>
            <w:tcBorders>
              <w:top w:val="nil"/>
              <w:left w:val="nil"/>
              <w:bottom w:val="nil"/>
              <w:right w:val="nil"/>
            </w:tcBorders>
            <w:shd w:val="clear" w:color="auto" w:fill="auto"/>
            <w:noWrap/>
            <w:vAlign w:val="bottom"/>
            <w:hideMark/>
          </w:tcPr>
          <w:p w14:paraId="2FF5109A" w14:textId="77777777" w:rsidR="00C55B12" w:rsidRPr="00094A95" w:rsidRDefault="00C55B12" w:rsidP="00C55B12">
            <w:pPr>
              <w:spacing w:after="0" w:line="240" w:lineRule="auto"/>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MP/unblocked</w:t>
            </w:r>
          </w:p>
        </w:tc>
        <w:tc>
          <w:tcPr>
            <w:tcW w:w="0" w:type="auto"/>
            <w:tcBorders>
              <w:top w:val="nil"/>
              <w:left w:val="nil"/>
              <w:bottom w:val="nil"/>
              <w:right w:val="nil"/>
            </w:tcBorders>
            <w:shd w:val="clear" w:color="auto" w:fill="auto"/>
            <w:noWrap/>
            <w:vAlign w:val="center"/>
            <w:hideMark/>
          </w:tcPr>
          <w:p w14:paraId="678AACD9"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0.66</w:t>
            </w:r>
          </w:p>
        </w:tc>
        <w:tc>
          <w:tcPr>
            <w:tcW w:w="0" w:type="auto"/>
            <w:tcBorders>
              <w:top w:val="nil"/>
              <w:left w:val="nil"/>
              <w:bottom w:val="nil"/>
              <w:right w:val="nil"/>
            </w:tcBorders>
            <w:shd w:val="clear" w:color="auto" w:fill="auto"/>
            <w:noWrap/>
            <w:vAlign w:val="center"/>
            <w:hideMark/>
          </w:tcPr>
          <w:p w14:paraId="4E15F6EB"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1.17</w:t>
            </w:r>
          </w:p>
        </w:tc>
        <w:tc>
          <w:tcPr>
            <w:tcW w:w="0" w:type="auto"/>
            <w:tcBorders>
              <w:top w:val="nil"/>
              <w:left w:val="nil"/>
              <w:bottom w:val="nil"/>
              <w:right w:val="nil"/>
            </w:tcBorders>
            <w:shd w:val="clear" w:color="auto" w:fill="auto"/>
            <w:noWrap/>
            <w:vAlign w:val="center"/>
            <w:hideMark/>
          </w:tcPr>
          <w:p w14:paraId="3BAE7967"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0.48</w:t>
            </w:r>
          </w:p>
        </w:tc>
        <w:tc>
          <w:tcPr>
            <w:tcW w:w="0" w:type="auto"/>
            <w:tcBorders>
              <w:top w:val="nil"/>
              <w:left w:val="nil"/>
              <w:bottom w:val="nil"/>
              <w:right w:val="single" w:sz="4" w:space="0" w:color="auto"/>
            </w:tcBorders>
            <w:shd w:val="clear" w:color="auto" w:fill="auto"/>
            <w:noWrap/>
            <w:vAlign w:val="center"/>
            <w:hideMark/>
          </w:tcPr>
          <w:p w14:paraId="2F742AB4"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0.44</w:t>
            </w:r>
          </w:p>
        </w:tc>
        <w:tc>
          <w:tcPr>
            <w:tcW w:w="0" w:type="auto"/>
            <w:tcBorders>
              <w:top w:val="nil"/>
              <w:left w:val="nil"/>
              <w:bottom w:val="nil"/>
              <w:right w:val="nil"/>
            </w:tcBorders>
            <w:shd w:val="clear" w:color="auto" w:fill="auto"/>
            <w:noWrap/>
            <w:vAlign w:val="bottom"/>
            <w:hideMark/>
          </w:tcPr>
          <w:p w14:paraId="1696FD68" w14:textId="77777777" w:rsidR="00C55B12" w:rsidRPr="00094A95" w:rsidRDefault="00C55B12" w:rsidP="00C55B12">
            <w:pPr>
              <w:spacing w:after="0" w:line="240" w:lineRule="auto"/>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MP/unblocked</w:t>
            </w:r>
          </w:p>
        </w:tc>
        <w:tc>
          <w:tcPr>
            <w:tcW w:w="0" w:type="auto"/>
            <w:tcBorders>
              <w:top w:val="nil"/>
              <w:left w:val="nil"/>
              <w:bottom w:val="nil"/>
              <w:right w:val="nil"/>
            </w:tcBorders>
            <w:shd w:val="clear" w:color="auto" w:fill="auto"/>
            <w:noWrap/>
            <w:vAlign w:val="center"/>
            <w:hideMark/>
          </w:tcPr>
          <w:p w14:paraId="3984333B"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0.56</w:t>
            </w:r>
          </w:p>
        </w:tc>
        <w:tc>
          <w:tcPr>
            <w:tcW w:w="0" w:type="auto"/>
            <w:tcBorders>
              <w:top w:val="nil"/>
              <w:left w:val="nil"/>
              <w:bottom w:val="nil"/>
              <w:right w:val="nil"/>
            </w:tcBorders>
            <w:shd w:val="clear" w:color="auto" w:fill="auto"/>
            <w:noWrap/>
            <w:vAlign w:val="center"/>
            <w:hideMark/>
          </w:tcPr>
          <w:p w14:paraId="1FAE3DF8"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0.53</w:t>
            </w:r>
          </w:p>
        </w:tc>
        <w:tc>
          <w:tcPr>
            <w:tcW w:w="0" w:type="auto"/>
            <w:tcBorders>
              <w:top w:val="nil"/>
              <w:left w:val="nil"/>
              <w:bottom w:val="nil"/>
              <w:right w:val="nil"/>
            </w:tcBorders>
            <w:shd w:val="clear" w:color="auto" w:fill="auto"/>
            <w:noWrap/>
            <w:vAlign w:val="center"/>
            <w:hideMark/>
          </w:tcPr>
          <w:p w14:paraId="7A8C1D45"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0.53</w:t>
            </w:r>
          </w:p>
        </w:tc>
        <w:tc>
          <w:tcPr>
            <w:tcW w:w="0" w:type="auto"/>
            <w:tcBorders>
              <w:top w:val="nil"/>
              <w:left w:val="nil"/>
              <w:bottom w:val="nil"/>
              <w:right w:val="nil"/>
            </w:tcBorders>
            <w:shd w:val="clear" w:color="auto" w:fill="auto"/>
            <w:noWrap/>
            <w:vAlign w:val="center"/>
            <w:hideMark/>
          </w:tcPr>
          <w:p w14:paraId="6C4BD986"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0.58</w:t>
            </w:r>
          </w:p>
        </w:tc>
      </w:tr>
      <w:tr w:rsidR="00C55B12" w:rsidRPr="00542A90" w14:paraId="622CE2E0" w14:textId="77777777" w:rsidTr="00C55B12">
        <w:trPr>
          <w:trHeight w:val="315"/>
        </w:trPr>
        <w:tc>
          <w:tcPr>
            <w:tcW w:w="0" w:type="auto"/>
            <w:gridSpan w:val="5"/>
            <w:tcBorders>
              <w:top w:val="single" w:sz="4" w:space="0" w:color="auto"/>
              <w:left w:val="nil"/>
              <w:bottom w:val="single" w:sz="8" w:space="0" w:color="auto"/>
              <w:right w:val="single" w:sz="4" w:space="0" w:color="000000"/>
            </w:tcBorders>
            <w:shd w:val="clear" w:color="000000" w:fill="EDEDED"/>
            <w:noWrap/>
            <w:vAlign w:val="bottom"/>
            <w:hideMark/>
          </w:tcPr>
          <w:p w14:paraId="49B739D6"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EBV2_IgG in PBST, detAb in PBST</w:t>
            </w:r>
          </w:p>
        </w:tc>
        <w:tc>
          <w:tcPr>
            <w:tcW w:w="0" w:type="auto"/>
            <w:gridSpan w:val="5"/>
            <w:tcBorders>
              <w:top w:val="single" w:sz="4" w:space="0" w:color="auto"/>
              <w:left w:val="nil"/>
              <w:bottom w:val="single" w:sz="8" w:space="0" w:color="auto"/>
              <w:right w:val="single" w:sz="4" w:space="0" w:color="000000"/>
            </w:tcBorders>
            <w:shd w:val="clear" w:color="000000" w:fill="EDEDED"/>
            <w:noWrap/>
            <w:vAlign w:val="bottom"/>
            <w:hideMark/>
          </w:tcPr>
          <w:p w14:paraId="15329C77"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EBV2_IgG in PBST, detAb in PBST+BSA</w:t>
            </w:r>
          </w:p>
        </w:tc>
        <w:tc>
          <w:tcPr>
            <w:tcW w:w="0" w:type="auto"/>
            <w:gridSpan w:val="5"/>
            <w:tcBorders>
              <w:top w:val="single" w:sz="4" w:space="0" w:color="auto"/>
              <w:left w:val="nil"/>
              <w:bottom w:val="single" w:sz="8" w:space="0" w:color="auto"/>
              <w:right w:val="nil"/>
            </w:tcBorders>
            <w:shd w:val="clear" w:color="000000" w:fill="EDEDED"/>
            <w:noWrap/>
            <w:vAlign w:val="bottom"/>
            <w:hideMark/>
          </w:tcPr>
          <w:p w14:paraId="51A92CEA"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EBV2_IgG in PBST, detAb in PBST+MP</w:t>
            </w:r>
          </w:p>
        </w:tc>
      </w:tr>
      <w:tr w:rsidR="00C55B12" w:rsidRPr="00C55B12" w14:paraId="40FCFFD8" w14:textId="77777777" w:rsidTr="00C55B12">
        <w:trPr>
          <w:trHeight w:val="300"/>
        </w:trPr>
        <w:tc>
          <w:tcPr>
            <w:tcW w:w="0" w:type="auto"/>
            <w:tcBorders>
              <w:top w:val="nil"/>
              <w:left w:val="nil"/>
              <w:bottom w:val="nil"/>
              <w:right w:val="nil"/>
            </w:tcBorders>
            <w:shd w:val="clear" w:color="auto" w:fill="auto"/>
            <w:noWrap/>
            <w:vAlign w:val="bottom"/>
            <w:hideMark/>
          </w:tcPr>
          <w:p w14:paraId="6F088B5B" w14:textId="77777777" w:rsidR="00C55B12" w:rsidRPr="00094A95" w:rsidRDefault="00C55B12" w:rsidP="00C55B12">
            <w:pPr>
              <w:spacing w:after="0" w:line="240" w:lineRule="auto"/>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pmol/well</w:t>
            </w:r>
          </w:p>
        </w:tc>
        <w:tc>
          <w:tcPr>
            <w:tcW w:w="0" w:type="auto"/>
            <w:tcBorders>
              <w:top w:val="nil"/>
              <w:left w:val="nil"/>
              <w:bottom w:val="nil"/>
              <w:right w:val="nil"/>
            </w:tcBorders>
            <w:shd w:val="clear" w:color="auto" w:fill="auto"/>
            <w:noWrap/>
            <w:vAlign w:val="center"/>
            <w:hideMark/>
          </w:tcPr>
          <w:p w14:paraId="35D7160C"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300</w:t>
            </w:r>
          </w:p>
        </w:tc>
        <w:tc>
          <w:tcPr>
            <w:tcW w:w="0" w:type="auto"/>
            <w:tcBorders>
              <w:top w:val="nil"/>
              <w:left w:val="nil"/>
              <w:bottom w:val="nil"/>
              <w:right w:val="nil"/>
            </w:tcBorders>
            <w:shd w:val="clear" w:color="auto" w:fill="auto"/>
            <w:noWrap/>
            <w:vAlign w:val="center"/>
            <w:hideMark/>
          </w:tcPr>
          <w:p w14:paraId="1775AB18"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150</w:t>
            </w:r>
          </w:p>
        </w:tc>
        <w:tc>
          <w:tcPr>
            <w:tcW w:w="0" w:type="auto"/>
            <w:tcBorders>
              <w:top w:val="nil"/>
              <w:left w:val="nil"/>
              <w:bottom w:val="nil"/>
              <w:right w:val="nil"/>
            </w:tcBorders>
            <w:shd w:val="clear" w:color="auto" w:fill="auto"/>
            <w:noWrap/>
            <w:vAlign w:val="center"/>
            <w:hideMark/>
          </w:tcPr>
          <w:p w14:paraId="18317E4E"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60</w:t>
            </w:r>
          </w:p>
        </w:tc>
        <w:tc>
          <w:tcPr>
            <w:tcW w:w="0" w:type="auto"/>
            <w:tcBorders>
              <w:top w:val="nil"/>
              <w:left w:val="nil"/>
              <w:bottom w:val="nil"/>
              <w:right w:val="single" w:sz="4" w:space="0" w:color="auto"/>
            </w:tcBorders>
            <w:shd w:val="clear" w:color="auto" w:fill="auto"/>
            <w:noWrap/>
            <w:vAlign w:val="center"/>
            <w:hideMark/>
          </w:tcPr>
          <w:p w14:paraId="3DC72DDC"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30</w:t>
            </w:r>
          </w:p>
        </w:tc>
        <w:tc>
          <w:tcPr>
            <w:tcW w:w="0" w:type="auto"/>
            <w:tcBorders>
              <w:top w:val="nil"/>
              <w:left w:val="nil"/>
              <w:bottom w:val="nil"/>
              <w:right w:val="nil"/>
            </w:tcBorders>
            <w:shd w:val="clear" w:color="auto" w:fill="auto"/>
            <w:noWrap/>
            <w:vAlign w:val="bottom"/>
            <w:hideMark/>
          </w:tcPr>
          <w:p w14:paraId="1D371B41" w14:textId="77777777" w:rsidR="00C55B12" w:rsidRPr="00094A95" w:rsidRDefault="00C55B12" w:rsidP="00C55B12">
            <w:pPr>
              <w:spacing w:after="0" w:line="240" w:lineRule="auto"/>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pmol/well</w:t>
            </w:r>
          </w:p>
        </w:tc>
        <w:tc>
          <w:tcPr>
            <w:tcW w:w="0" w:type="auto"/>
            <w:tcBorders>
              <w:top w:val="nil"/>
              <w:left w:val="nil"/>
              <w:bottom w:val="nil"/>
              <w:right w:val="nil"/>
            </w:tcBorders>
            <w:shd w:val="clear" w:color="auto" w:fill="auto"/>
            <w:noWrap/>
            <w:vAlign w:val="center"/>
            <w:hideMark/>
          </w:tcPr>
          <w:p w14:paraId="661D4748"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300</w:t>
            </w:r>
          </w:p>
        </w:tc>
        <w:tc>
          <w:tcPr>
            <w:tcW w:w="0" w:type="auto"/>
            <w:tcBorders>
              <w:top w:val="nil"/>
              <w:left w:val="nil"/>
              <w:bottom w:val="nil"/>
              <w:right w:val="nil"/>
            </w:tcBorders>
            <w:shd w:val="clear" w:color="auto" w:fill="auto"/>
            <w:noWrap/>
            <w:vAlign w:val="center"/>
            <w:hideMark/>
          </w:tcPr>
          <w:p w14:paraId="0C44779E"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150</w:t>
            </w:r>
          </w:p>
        </w:tc>
        <w:tc>
          <w:tcPr>
            <w:tcW w:w="0" w:type="auto"/>
            <w:tcBorders>
              <w:top w:val="nil"/>
              <w:left w:val="nil"/>
              <w:bottom w:val="nil"/>
              <w:right w:val="nil"/>
            </w:tcBorders>
            <w:shd w:val="clear" w:color="auto" w:fill="auto"/>
            <w:noWrap/>
            <w:vAlign w:val="center"/>
            <w:hideMark/>
          </w:tcPr>
          <w:p w14:paraId="39AD8F70"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60</w:t>
            </w:r>
          </w:p>
        </w:tc>
        <w:tc>
          <w:tcPr>
            <w:tcW w:w="0" w:type="auto"/>
            <w:tcBorders>
              <w:top w:val="nil"/>
              <w:left w:val="nil"/>
              <w:bottom w:val="nil"/>
              <w:right w:val="single" w:sz="4" w:space="0" w:color="auto"/>
            </w:tcBorders>
            <w:shd w:val="clear" w:color="auto" w:fill="auto"/>
            <w:noWrap/>
            <w:vAlign w:val="center"/>
            <w:hideMark/>
          </w:tcPr>
          <w:p w14:paraId="52648784"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30</w:t>
            </w:r>
          </w:p>
        </w:tc>
        <w:tc>
          <w:tcPr>
            <w:tcW w:w="0" w:type="auto"/>
            <w:tcBorders>
              <w:top w:val="nil"/>
              <w:left w:val="nil"/>
              <w:bottom w:val="nil"/>
              <w:right w:val="nil"/>
            </w:tcBorders>
            <w:shd w:val="clear" w:color="auto" w:fill="auto"/>
            <w:noWrap/>
            <w:vAlign w:val="bottom"/>
            <w:hideMark/>
          </w:tcPr>
          <w:p w14:paraId="75AFA5E5" w14:textId="77777777" w:rsidR="00C55B12" w:rsidRPr="00094A95" w:rsidRDefault="00C55B12" w:rsidP="00C55B12">
            <w:pPr>
              <w:spacing w:after="0" w:line="240" w:lineRule="auto"/>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pmol/well</w:t>
            </w:r>
          </w:p>
        </w:tc>
        <w:tc>
          <w:tcPr>
            <w:tcW w:w="0" w:type="auto"/>
            <w:tcBorders>
              <w:top w:val="nil"/>
              <w:left w:val="nil"/>
              <w:bottom w:val="nil"/>
              <w:right w:val="nil"/>
            </w:tcBorders>
            <w:shd w:val="clear" w:color="auto" w:fill="auto"/>
            <w:noWrap/>
            <w:vAlign w:val="center"/>
            <w:hideMark/>
          </w:tcPr>
          <w:p w14:paraId="6E7C4550"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300</w:t>
            </w:r>
          </w:p>
        </w:tc>
        <w:tc>
          <w:tcPr>
            <w:tcW w:w="0" w:type="auto"/>
            <w:tcBorders>
              <w:top w:val="nil"/>
              <w:left w:val="nil"/>
              <w:bottom w:val="nil"/>
              <w:right w:val="nil"/>
            </w:tcBorders>
            <w:shd w:val="clear" w:color="auto" w:fill="auto"/>
            <w:noWrap/>
            <w:vAlign w:val="center"/>
            <w:hideMark/>
          </w:tcPr>
          <w:p w14:paraId="307C0978"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150</w:t>
            </w:r>
          </w:p>
        </w:tc>
        <w:tc>
          <w:tcPr>
            <w:tcW w:w="0" w:type="auto"/>
            <w:tcBorders>
              <w:top w:val="nil"/>
              <w:left w:val="nil"/>
              <w:bottom w:val="nil"/>
              <w:right w:val="nil"/>
            </w:tcBorders>
            <w:shd w:val="clear" w:color="auto" w:fill="auto"/>
            <w:noWrap/>
            <w:vAlign w:val="center"/>
            <w:hideMark/>
          </w:tcPr>
          <w:p w14:paraId="218420BB"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60</w:t>
            </w:r>
          </w:p>
        </w:tc>
        <w:tc>
          <w:tcPr>
            <w:tcW w:w="0" w:type="auto"/>
            <w:tcBorders>
              <w:top w:val="nil"/>
              <w:left w:val="nil"/>
              <w:bottom w:val="nil"/>
              <w:right w:val="nil"/>
            </w:tcBorders>
            <w:shd w:val="clear" w:color="auto" w:fill="auto"/>
            <w:noWrap/>
            <w:vAlign w:val="center"/>
            <w:hideMark/>
          </w:tcPr>
          <w:p w14:paraId="64E85B21" w14:textId="77777777" w:rsidR="00C55B12" w:rsidRPr="00094A95" w:rsidRDefault="00C55B12" w:rsidP="00C55B12">
            <w:pPr>
              <w:spacing w:after="0" w:line="240" w:lineRule="auto"/>
              <w:jc w:val="center"/>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30</w:t>
            </w:r>
          </w:p>
        </w:tc>
      </w:tr>
      <w:tr w:rsidR="00C55B12" w:rsidRPr="00C55B12" w14:paraId="513E4238" w14:textId="77777777" w:rsidTr="00C55B12">
        <w:trPr>
          <w:trHeight w:val="300"/>
        </w:trPr>
        <w:tc>
          <w:tcPr>
            <w:tcW w:w="0" w:type="auto"/>
            <w:tcBorders>
              <w:top w:val="nil"/>
              <w:left w:val="nil"/>
              <w:bottom w:val="nil"/>
              <w:right w:val="nil"/>
            </w:tcBorders>
            <w:shd w:val="clear" w:color="auto" w:fill="auto"/>
            <w:noWrap/>
            <w:vAlign w:val="bottom"/>
            <w:hideMark/>
          </w:tcPr>
          <w:p w14:paraId="44EFC8CD" w14:textId="77777777" w:rsidR="00C55B12" w:rsidRPr="00094A95" w:rsidRDefault="00C55B12" w:rsidP="00C55B12">
            <w:pPr>
              <w:spacing w:after="0" w:line="240" w:lineRule="auto"/>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BSA/unblocked</w:t>
            </w:r>
          </w:p>
        </w:tc>
        <w:tc>
          <w:tcPr>
            <w:tcW w:w="0" w:type="auto"/>
            <w:tcBorders>
              <w:top w:val="nil"/>
              <w:left w:val="nil"/>
              <w:bottom w:val="nil"/>
              <w:right w:val="nil"/>
            </w:tcBorders>
            <w:shd w:val="clear" w:color="auto" w:fill="auto"/>
            <w:noWrap/>
            <w:vAlign w:val="center"/>
            <w:hideMark/>
          </w:tcPr>
          <w:p w14:paraId="3DF73751"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0.66</w:t>
            </w:r>
          </w:p>
        </w:tc>
        <w:tc>
          <w:tcPr>
            <w:tcW w:w="0" w:type="auto"/>
            <w:tcBorders>
              <w:top w:val="nil"/>
              <w:left w:val="nil"/>
              <w:bottom w:val="nil"/>
              <w:right w:val="nil"/>
            </w:tcBorders>
            <w:shd w:val="clear" w:color="auto" w:fill="auto"/>
            <w:noWrap/>
            <w:vAlign w:val="center"/>
            <w:hideMark/>
          </w:tcPr>
          <w:p w14:paraId="5011E5E8"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0.63</w:t>
            </w:r>
          </w:p>
        </w:tc>
        <w:tc>
          <w:tcPr>
            <w:tcW w:w="0" w:type="auto"/>
            <w:tcBorders>
              <w:top w:val="nil"/>
              <w:left w:val="nil"/>
              <w:bottom w:val="nil"/>
              <w:right w:val="nil"/>
            </w:tcBorders>
            <w:shd w:val="clear" w:color="auto" w:fill="auto"/>
            <w:noWrap/>
            <w:vAlign w:val="center"/>
            <w:hideMark/>
          </w:tcPr>
          <w:p w14:paraId="59ADDA0F"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0.69</w:t>
            </w:r>
          </w:p>
        </w:tc>
        <w:tc>
          <w:tcPr>
            <w:tcW w:w="0" w:type="auto"/>
            <w:tcBorders>
              <w:top w:val="nil"/>
              <w:left w:val="nil"/>
              <w:bottom w:val="nil"/>
              <w:right w:val="single" w:sz="4" w:space="0" w:color="auto"/>
            </w:tcBorders>
            <w:shd w:val="clear" w:color="auto" w:fill="auto"/>
            <w:noWrap/>
            <w:vAlign w:val="center"/>
            <w:hideMark/>
          </w:tcPr>
          <w:p w14:paraId="7D93570C"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0.44</w:t>
            </w:r>
          </w:p>
        </w:tc>
        <w:tc>
          <w:tcPr>
            <w:tcW w:w="0" w:type="auto"/>
            <w:tcBorders>
              <w:top w:val="nil"/>
              <w:left w:val="nil"/>
              <w:bottom w:val="nil"/>
              <w:right w:val="nil"/>
            </w:tcBorders>
            <w:shd w:val="clear" w:color="auto" w:fill="auto"/>
            <w:noWrap/>
            <w:vAlign w:val="bottom"/>
            <w:hideMark/>
          </w:tcPr>
          <w:p w14:paraId="187F7341" w14:textId="77777777" w:rsidR="00C55B12" w:rsidRPr="00094A95" w:rsidRDefault="00C55B12" w:rsidP="00C55B12">
            <w:pPr>
              <w:spacing w:after="0" w:line="240" w:lineRule="auto"/>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BSA/unblocked</w:t>
            </w:r>
          </w:p>
        </w:tc>
        <w:tc>
          <w:tcPr>
            <w:tcW w:w="0" w:type="auto"/>
            <w:tcBorders>
              <w:top w:val="nil"/>
              <w:left w:val="nil"/>
              <w:bottom w:val="nil"/>
              <w:right w:val="nil"/>
            </w:tcBorders>
            <w:shd w:val="clear" w:color="auto" w:fill="auto"/>
            <w:noWrap/>
            <w:vAlign w:val="center"/>
            <w:hideMark/>
          </w:tcPr>
          <w:p w14:paraId="6C753CE2"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0.75</w:t>
            </w:r>
          </w:p>
        </w:tc>
        <w:tc>
          <w:tcPr>
            <w:tcW w:w="0" w:type="auto"/>
            <w:tcBorders>
              <w:top w:val="nil"/>
              <w:left w:val="nil"/>
              <w:bottom w:val="nil"/>
              <w:right w:val="nil"/>
            </w:tcBorders>
            <w:shd w:val="clear" w:color="auto" w:fill="auto"/>
            <w:noWrap/>
            <w:vAlign w:val="center"/>
            <w:hideMark/>
          </w:tcPr>
          <w:p w14:paraId="68AD93C0"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0.68</w:t>
            </w:r>
          </w:p>
        </w:tc>
        <w:tc>
          <w:tcPr>
            <w:tcW w:w="0" w:type="auto"/>
            <w:tcBorders>
              <w:top w:val="nil"/>
              <w:left w:val="nil"/>
              <w:bottom w:val="nil"/>
              <w:right w:val="nil"/>
            </w:tcBorders>
            <w:shd w:val="clear" w:color="auto" w:fill="auto"/>
            <w:noWrap/>
            <w:vAlign w:val="center"/>
            <w:hideMark/>
          </w:tcPr>
          <w:p w14:paraId="660A0B15"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0.64</w:t>
            </w:r>
          </w:p>
        </w:tc>
        <w:tc>
          <w:tcPr>
            <w:tcW w:w="0" w:type="auto"/>
            <w:tcBorders>
              <w:top w:val="nil"/>
              <w:left w:val="nil"/>
              <w:bottom w:val="nil"/>
              <w:right w:val="single" w:sz="4" w:space="0" w:color="auto"/>
            </w:tcBorders>
            <w:shd w:val="clear" w:color="auto" w:fill="auto"/>
            <w:noWrap/>
            <w:vAlign w:val="center"/>
            <w:hideMark/>
          </w:tcPr>
          <w:p w14:paraId="2A5818C5"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0.57</w:t>
            </w:r>
          </w:p>
        </w:tc>
        <w:tc>
          <w:tcPr>
            <w:tcW w:w="0" w:type="auto"/>
            <w:tcBorders>
              <w:top w:val="nil"/>
              <w:left w:val="nil"/>
              <w:bottom w:val="nil"/>
              <w:right w:val="nil"/>
            </w:tcBorders>
            <w:shd w:val="clear" w:color="auto" w:fill="auto"/>
            <w:noWrap/>
            <w:vAlign w:val="bottom"/>
            <w:hideMark/>
          </w:tcPr>
          <w:p w14:paraId="10BB05E0" w14:textId="77777777" w:rsidR="00C55B12" w:rsidRPr="00094A95" w:rsidRDefault="00C55B12" w:rsidP="00C55B12">
            <w:pPr>
              <w:spacing w:after="0" w:line="240" w:lineRule="auto"/>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BSA/unblocked</w:t>
            </w:r>
          </w:p>
        </w:tc>
        <w:tc>
          <w:tcPr>
            <w:tcW w:w="0" w:type="auto"/>
            <w:tcBorders>
              <w:top w:val="nil"/>
              <w:left w:val="nil"/>
              <w:bottom w:val="nil"/>
              <w:right w:val="nil"/>
            </w:tcBorders>
            <w:shd w:val="clear" w:color="auto" w:fill="auto"/>
            <w:noWrap/>
            <w:vAlign w:val="center"/>
            <w:hideMark/>
          </w:tcPr>
          <w:p w14:paraId="71DD20B6"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0.59</w:t>
            </w:r>
          </w:p>
        </w:tc>
        <w:tc>
          <w:tcPr>
            <w:tcW w:w="0" w:type="auto"/>
            <w:tcBorders>
              <w:top w:val="nil"/>
              <w:left w:val="nil"/>
              <w:bottom w:val="nil"/>
              <w:right w:val="nil"/>
            </w:tcBorders>
            <w:shd w:val="clear" w:color="auto" w:fill="auto"/>
            <w:noWrap/>
            <w:vAlign w:val="center"/>
            <w:hideMark/>
          </w:tcPr>
          <w:p w14:paraId="4B3CEB1D"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0.65</w:t>
            </w:r>
          </w:p>
        </w:tc>
        <w:tc>
          <w:tcPr>
            <w:tcW w:w="0" w:type="auto"/>
            <w:tcBorders>
              <w:top w:val="nil"/>
              <w:left w:val="nil"/>
              <w:bottom w:val="nil"/>
              <w:right w:val="nil"/>
            </w:tcBorders>
            <w:shd w:val="clear" w:color="auto" w:fill="auto"/>
            <w:noWrap/>
            <w:vAlign w:val="center"/>
            <w:hideMark/>
          </w:tcPr>
          <w:p w14:paraId="7B14A141"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0.63</w:t>
            </w:r>
          </w:p>
        </w:tc>
        <w:tc>
          <w:tcPr>
            <w:tcW w:w="0" w:type="auto"/>
            <w:tcBorders>
              <w:top w:val="nil"/>
              <w:left w:val="nil"/>
              <w:bottom w:val="nil"/>
              <w:right w:val="nil"/>
            </w:tcBorders>
            <w:shd w:val="clear" w:color="auto" w:fill="auto"/>
            <w:noWrap/>
            <w:vAlign w:val="center"/>
            <w:hideMark/>
          </w:tcPr>
          <w:p w14:paraId="617B4621"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0.61</w:t>
            </w:r>
          </w:p>
        </w:tc>
      </w:tr>
      <w:tr w:rsidR="00C55B12" w:rsidRPr="00C55B12" w14:paraId="7A2E607E" w14:textId="77777777" w:rsidTr="00C55B12">
        <w:trPr>
          <w:trHeight w:val="300"/>
        </w:trPr>
        <w:tc>
          <w:tcPr>
            <w:tcW w:w="0" w:type="auto"/>
            <w:tcBorders>
              <w:top w:val="nil"/>
              <w:left w:val="nil"/>
              <w:bottom w:val="nil"/>
              <w:right w:val="nil"/>
            </w:tcBorders>
            <w:shd w:val="clear" w:color="auto" w:fill="auto"/>
            <w:noWrap/>
            <w:vAlign w:val="bottom"/>
            <w:hideMark/>
          </w:tcPr>
          <w:p w14:paraId="5C7F3D34" w14:textId="77777777" w:rsidR="00C55B12" w:rsidRPr="00094A95" w:rsidRDefault="00C55B12" w:rsidP="00C55B12">
            <w:pPr>
              <w:spacing w:after="0" w:line="240" w:lineRule="auto"/>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MP/unblocked</w:t>
            </w:r>
          </w:p>
        </w:tc>
        <w:tc>
          <w:tcPr>
            <w:tcW w:w="0" w:type="auto"/>
            <w:tcBorders>
              <w:top w:val="nil"/>
              <w:left w:val="nil"/>
              <w:bottom w:val="nil"/>
              <w:right w:val="nil"/>
            </w:tcBorders>
            <w:shd w:val="clear" w:color="auto" w:fill="auto"/>
            <w:noWrap/>
            <w:vAlign w:val="center"/>
            <w:hideMark/>
          </w:tcPr>
          <w:p w14:paraId="185BCC15"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0.41</w:t>
            </w:r>
          </w:p>
        </w:tc>
        <w:tc>
          <w:tcPr>
            <w:tcW w:w="0" w:type="auto"/>
            <w:tcBorders>
              <w:top w:val="nil"/>
              <w:left w:val="nil"/>
              <w:bottom w:val="nil"/>
              <w:right w:val="nil"/>
            </w:tcBorders>
            <w:shd w:val="clear" w:color="auto" w:fill="auto"/>
            <w:noWrap/>
            <w:vAlign w:val="center"/>
            <w:hideMark/>
          </w:tcPr>
          <w:p w14:paraId="14B11374"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0.32</w:t>
            </w:r>
          </w:p>
        </w:tc>
        <w:tc>
          <w:tcPr>
            <w:tcW w:w="0" w:type="auto"/>
            <w:tcBorders>
              <w:top w:val="nil"/>
              <w:left w:val="nil"/>
              <w:bottom w:val="nil"/>
              <w:right w:val="nil"/>
            </w:tcBorders>
            <w:shd w:val="clear" w:color="auto" w:fill="auto"/>
            <w:noWrap/>
            <w:vAlign w:val="center"/>
            <w:hideMark/>
          </w:tcPr>
          <w:p w14:paraId="68440A1A"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0.23</w:t>
            </w:r>
          </w:p>
        </w:tc>
        <w:tc>
          <w:tcPr>
            <w:tcW w:w="0" w:type="auto"/>
            <w:tcBorders>
              <w:top w:val="nil"/>
              <w:left w:val="nil"/>
              <w:bottom w:val="nil"/>
              <w:right w:val="single" w:sz="4" w:space="0" w:color="auto"/>
            </w:tcBorders>
            <w:shd w:val="clear" w:color="auto" w:fill="auto"/>
            <w:noWrap/>
            <w:vAlign w:val="center"/>
            <w:hideMark/>
          </w:tcPr>
          <w:p w14:paraId="154473CB"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0.20</w:t>
            </w:r>
          </w:p>
        </w:tc>
        <w:tc>
          <w:tcPr>
            <w:tcW w:w="0" w:type="auto"/>
            <w:tcBorders>
              <w:top w:val="nil"/>
              <w:left w:val="nil"/>
              <w:bottom w:val="nil"/>
              <w:right w:val="nil"/>
            </w:tcBorders>
            <w:shd w:val="clear" w:color="auto" w:fill="auto"/>
            <w:noWrap/>
            <w:vAlign w:val="bottom"/>
            <w:hideMark/>
          </w:tcPr>
          <w:p w14:paraId="7E1AFF3F" w14:textId="77777777" w:rsidR="00C55B12" w:rsidRPr="00094A95" w:rsidRDefault="00C55B12" w:rsidP="00C55B12">
            <w:pPr>
              <w:spacing w:after="0" w:line="240" w:lineRule="auto"/>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MP/unblocked</w:t>
            </w:r>
          </w:p>
        </w:tc>
        <w:tc>
          <w:tcPr>
            <w:tcW w:w="0" w:type="auto"/>
            <w:tcBorders>
              <w:top w:val="nil"/>
              <w:left w:val="nil"/>
              <w:bottom w:val="nil"/>
              <w:right w:val="nil"/>
            </w:tcBorders>
            <w:shd w:val="clear" w:color="auto" w:fill="auto"/>
            <w:noWrap/>
            <w:vAlign w:val="center"/>
            <w:hideMark/>
          </w:tcPr>
          <w:p w14:paraId="6CBEFF2E"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0.45</w:t>
            </w:r>
          </w:p>
        </w:tc>
        <w:tc>
          <w:tcPr>
            <w:tcW w:w="0" w:type="auto"/>
            <w:tcBorders>
              <w:top w:val="nil"/>
              <w:left w:val="nil"/>
              <w:bottom w:val="nil"/>
              <w:right w:val="nil"/>
            </w:tcBorders>
            <w:shd w:val="clear" w:color="auto" w:fill="auto"/>
            <w:noWrap/>
            <w:vAlign w:val="center"/>
            <w:hideMark/>
          </w:tcPr>
          <w:p w14:paraId="76508C1B"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0.37</w:t>
            </w:r>
          </w:p>
        </w:tc>
        <w:tc>
          <w:tcPr>
            <w:tcW w:w="0" w:type="auto"/>
            <w:tcBorders>
              <w:top w:val="nil"/>
              <w:left w:val="nil"/>
              <w:bottom w:val="nil"/>
              <w:right w:val="nil"/>
            </w:tcBorders>
            <w:shd w:val="clear" w:color="auto" w:fill="auto"/>
            <w:noWrap/>
            <w:vAlign w:val="center"/>
            <w:hideMark/>
          </w:tcPr>
          <w:p w14:paraId="0B1BE684"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0.34</w:t>
            </w:r>
          </w:p>
        </w:tc>
        <w:tc>
          <w:tcPr>
            <w:tcW w:w="0" w:type="auto"/>
            <w:tcBorders>
              <w:top w:val="nil"/>
              <w:left w:val="nil"/>
              <w:bottom w:val="nil"/>
              <w:right w:val="single" w:sz="4" w:space="0" w:color="auto"/>
            </w:tcBorders>
            <w:shd w:val="clear" w:color="auto" w:fill="auto"/>
            <w:noWrap/>
            <w:vAlign w:val="center"/>
            <w:hideMark/>
          </w:tcPr>
          <w:p w14:paraId="48670F6C"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0.32</w:t>
            </w:r>
          </w:p>
        </w:tc>
        <w:tc>
          <w:tcPr>
            <w:tcW w:w="0" w:type="auto"/>
            <w:tcBorders>
              <w:top w:val="nil"/>
              <w:left w:val="nil"/>
              <w:bottom w:val="nil"/>
              <w:right w:val="nil"/>
            </w:tcBorders>
            <w:shd w:val="clear" w:color="auto" w:fill="auto"/>
            <w:noWrap/>
            <w:vAlign w:val="bottom"/>
            <w:hideMark/>
          </w:tcPr>
          <w:p w14:paraId="34C7884A" w14:textId="77777777" w:rsidR="00C55B12" w:rsidRPr="00094A95" w:rsidRDefault="00C55B12" w:rsidP="00C55B12">
            <w:pPr>
              <w:spacing w:after="0" w:line="240" w:lineRule="auto"/>
              <w:rPr>
                <w:rFonts w:ascii="Calibri" w:eastAsia="Times New Roman" w:hAnsi="Calibri" w:cs="Calibri"/>
                <w:b/>
                <w:bCs/>
                <w:color w:val="000000"/>
                <w:sz w:val="18"/>
                <w:szCs w:val="18"/>
                <w:lang w:val="de-AT" w:eastAsia="de-AT"/>
              </w:rPr>
            </w:pPr>
            <w:r w:rsidRPr="00094A95">
              <w:rPr>
                <w:rFonts w:ascii="Calibri" w:eastAsia="Times New Roman" w:hAnsi="Calibri" w:cs="Calibri"/>
                <w:b/>
                <w:bCs/>
                <w:color w:val="000000"/>
                <w:sz w:val="18"/>
                <w:szCs w:val="18"/>
                <w:lang w:val="de-AT" w:eastAsia="de-AT"/>
              </w:rPr>
              <w:t>MP/unblocked</w:t>
            </w:r>
          </w:p>
        </w:tc>
        <w:tc>
          <w:tcPr>
            <w:tcW w:w="0" w:type="auto"/>
            <w:tcBorders>
              <w:top w:val="nil"/>
              <w:left w:val="nil"/>
              <w:bottom w:val="nil"/>
              <w:right w:val="nil"/>
            </w:tcBorders>
            <w:shd w:val="clear" w:color="auto" w:fill="auto"/>
            <w:noWrap/>
            <w:vAlign w:val="center"/>
            <w:hideMark/>
          </w:tcPr>
          <w:p w14:paraId="65C4417E"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0.39</w:t>
            </w:r>
          </w:p>
        </w:tc>
        <w:tc>
          <w:tcPr>
            <w:tcW w:w="0" w:type="auto"/>
            <w:tcBorders>
              <w:top w:val="nil"/>
              <w:left w:val="nil"/>
              <w:bottom w:val="nil"/>
              <w:right w:val="nil"/>
            </w:tcBorders>
            <w:shd w:val="clear" w:color="auto" w:fill="auto"/>
            <w:noWrap/>
            <w:vAlign w:val="center"/>
            <w:hideMark/>
          </w:tcPr>
          <w:p w14:paraId="35116AF9"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0.39</w:t>
            </w:r>
          </w:p>
        </w:tc>
        <w:tc>
          <w:tcPr>
            <w:tcW w:w="0" w:type="auto"/>
            <w:tcBorders>
              <w:top w:val="nil"/>
              <w:left w:val="nil"/>
              <w:bottom w:val="nil"/>
              <w:right w:val="nil"/>
            </w:tcBorders>
            <w:shd w:val="clear" w:color="auto" w:fill="auto"/>
            <w:noWrap/>
            <w:vAlign w:val="center"/>
            <w:hideMark/>
          </w:tcPr>
          <w:p w14:paraId="78419105"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0.38</w:t>
            </w:r>
          </w:p>
        </w:tc>
        <w:tc>
          <w:tcPr>
            <w:tcW w:w="0" w:type="auto"/>
            <w:tcBorders>
              <w:top w:val="nil"/>
              <w:left w:val="nil"/>
              <w:bottom w:val="nil"/>
              <w:right w:val="nil"/>
            </w:tcBorders>
            <w:shd w:val="clear" w:color="auto" w:fill="auto"/>
            <w:noWrap/>
            <w:vAlign w:val="center"/>
            <w:hideMark/>
          </w:tcPr>
          <w:p w14:paraId="0665605C" w14:textId="77777777" w:rsidR="00C55B12" w:rsidRPr="00094A95" w:rsidRDefault="00C55B12" w:rsidP="00C55B12">
            <w:pPr>
              <w:spacing w:after="0" w:line="240" w:lineRule="auto"/>
              <w:jc w:val="center"/>
              <w:rPr>
                <w:rFonts w:ascii="Calibri" w:eastAsia="Times New Roman" w:hAnsi="Calibri" w:cs="Calibri"/>
                <w:color w:val="000000"/>
                <w:sz w:val="18"/>
                <w:szCs w:val="18"/>
                <w:lang w:val="de-AT" w:eastAsia="de-AT"/>
              </w:rPr>
            </w:pPr>
            <w:r w:rsidRPr="00094A95">
              <w:rPr>
                <w:rFonts w:ascii="Calibri" w:eastAsia="Times New Roman" w:hAnsi="Calibri" w:cs="Calibri"/>
                <w:color w:val="000000"/>
                <w:sz w:val="18"/>
                <w:szCs w:val="18"/>
                <w:lang w:val="de-AT" w:eastAsia="de-AT"/>
              </w:rPr>
              <w:t>0.42</w:t>
            </w:r>
          </w:p>
        </w:tc>
      </w:tr>
    </w:tbl>
    <w:p w14:paraId="596174B9" w14:textId="6E3ACD70" w:rsidR="00C04C5E" w:rsidRDefault="00C04C5E" w:rsidP="00094A95">
      <w:pPr>
        <w:keepNext/>
        <w:jc w:val="both"/>
      </w:pPr>
    </w:p>
    <w:p w14:paraId="3A4F27D0" w14:textId="20F7C0F2" w:rsidR="00F13CB3" w:rsidRPr="00094A95" w:rsidRDefault="00C04C5E" w:rsidP="00C04C5E">
      <w:pPr>
        <w:pStyle w:val="Caption"/>
        <w:jc w:val="both"/>
        <w:rPr>
          <w:lang w:val="en-GB"/>
        </w:rPr>
      </w:pPr>
      <w:r w:rsidRPr="00094A95">
        <w:rPr>
          <w:lang w:val="en-GB"/>
        </w:rPr>
        <w:t xml:space="preserve">Supplementary Table </w:t>
      </w:r>
      <w:r>
        <w:fldChar w:fldCharType="begin"/>
      </w:r>
      <w:r w:rsidRPr="00094A95">
        <w:rPr>
          <w:lang w:val="en-GB"/>
        </w:rPr>
        <w:instrText xml:space="preserve"> SEQ Supplementary_Table \* ARABIC </w:instrText>
      </w:r>
      <w:r>
        <w:fldChar w:fldCharType="separate"/>
      </w:r>
      <w:r w:rsidR="007B0AAE">
        <w:rPr>
          <w:noProof/>
          <w:lang w:val="en-GB"/>
        </w:rPr>
        <w:t>1</w:t>
      </w:r>
      <w:r>
        <w:fldChar w:fldCharType="end"/>
      </w:r>
      <w:r w:rsidRPr="00094A95">
        <w:rPr>
          <w:lang w:val="en-GB"/>
        </w:rPr>
        <w:t>: ratio of absorbance values for blocked versus unblocked wells for 2 peptides (EBV1, EBV2) in four dilutions steps (30, 60, 150 and 300 pmol per well) and different blocking agents (none, BSA and MP) for detection antibody (detAb) solution.</w:t>
      </w:r>
    </w:p>
    <w:p w14:paraId="7E503061" w14:textId="5EC45E34" w:rsidR="008D3834" w:rsidRPr="009072F9" w:rsidRDefault="008D3834" w:rsidP="008D3834">
      <w:pPr>
        <w:pStyle w:val="Caption"/>
        <w:keepNext/>
        <w:jc w:val="both"/>
        <w:rPr>
          <w:rFonts w:ascii="Arial" w:hAnsi="Arial" w:cs="Arial"/>
          <w:b/>
          <w:bCs/>
          <w:i w:val="0"/>
          <w:iCs w:val="0"/>
          <w:color w:val="000000" w:themeColor="text1"/>
          <w:lang w:val="en-GB"/>
        </w:rPr>
      </w:pPr>
    </w:p>
    <w:tbl>
      <w:tblPr>
        <w:tblW w:w="4960" w:type="dxa"/>
        <w:tblCellMar>
          <w:left w:w="70" w:type="dxa"/>
          <w:right w:w="70" w:type="dxa"/>
        </w:tblCellMar>
        <w:tblLook w:val="04A0" w:firstRow="1" w:lastRow="0" w:firstColumn="1" w:lastColumn="0" w:noHBand="0" w:noVBand="1"/>
      </w:tblPr>
      <w:tblGrid>
        <w:gridCol w:w="1880"/>
        <w:gridCol w:w="1514"/>
        <w:gridCol w:w="1620"/>
      </w:tblGrid>
      <w:tr w:rsidR="00F50132" w:rsidRPr="00F50132" w14:paraId="6FBF84E8" w14:textId="77777777" w:rsidTr="00F50132">
        <w:trPr>
          <w:trHeight w:val="1200"/>
        </w:trPr>
        <w:tc>
          <w:tcPr>
            <w:tcW w:w="1880"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1B76069C" w14:textId="77777777" w:rsidR="00F50132" w:rsidRPr="00F50132" w:rsidRDefault="00F50132" w:rsidP="00F50132">
            <w:pPr>
              <w:spacing w:after="0" w:line="240" w:lineRule="auto"/>
              <w:jc w:val="center"/>
              <w:rPr>
                <w:rFonts w:ascii="Calibri" w:eastAsia="Times New Roman" w:hAnsi="Calibri" w:cs="Calibri"/>
                <w:b/>
                <w:bCs/>
                <w:color w:val="000000"/>
                <w:lang w:val="de-AT" w:eastAsia="de-AT"/>
              </w:rPr>
            </w:pPr>
            <w:r w:rsidRPr="00F50132">
              <w:rPr>
                <w:rFonts w:ascii="Calibri" w:eastAsia="Times New Roman" w:hAnsi="Calibri" w:cs="Calibri"/>
                <w:b/>
                <w:bCs/>
                <w:color w:val="000000"/>
                <w:lang w:val="de-AT" w:eastAsia="de-AT"/>
              </w:rPr>
              <w:t>pmol peptide/well</w:t>
            </w:r>
          </w:p>
        </w:tc>
        <w:tc>
          <w:tcPr>
            <w:tcW w:w="1460" w:type="dxa"/>
            <w:tcBorders>
              <w:top w:val="single" w:sz="4" w:space="0" w:color="auto"/>
              <w:left w:val="nil"/>
              <w:bottom w:val="single" w:sz="4" w:space="0" w:color="auto"/>
              <w:right w:val="single" w:sz="4" w:space="0" w:color="auto"/>
            </w:tcBorders>
            <w:shd w:val="clear" w:color="000000" w:fill="EDEDED"/>
            <w:vAlign w:val="center"/>
            <w:hideMark/>
          </w:tcPr>
          <w:p w14:paraId="19E83C88" w14:textId="77777777" w:rsidR="00F50132" w:rsidRPr="00F50132" w:rsidRDefault="00F50132" w:rsidP="00F50132">
            <w:pPr>
              <w:spacing w:after="0" w:line="240" w:lineRule="auto"/>
              <w:jc w:val="center"/>
              <w:rPr>
                <w:rFonts w:ascii="Calibri" w:eastAsia="Times New Roman" w:hAnsi="Calibri" w:cs="Calibri"/>
                <w:b/>
                <w:bCs/>
                <w:color w:val="000000"/>
                <w:lang w:val="de-AT" w:eastAsia="de-AT"/>
              </w:rPr>
            </w:pPr>
            <w:r w:rsidRPr="00F50132">
              <w:rPr>
                <w:rFonts w:ascii="Calibri" w:eastAsia="Times New Roman" w:hAnsi="Calibri" w:cs="Calibri"/>
                <w:b/>
                <w:bCs/>
                <w:color w:val="000000"/>
                <w:lang w:val="de-AT" w:eastAsia="de-AT"/>
              </w:rPr>
              <w:t>HighBind N- vs C-terminal immobilization</w:t>
            </w:r>
          </w:p>
        </w:tc>
        <w:tc>
          <w:tcPr>
            <w:tcW w:w="1620" w:type="dxa"/>
            <w:tcBorders>
              <w:top w:val="single" w:sz="4" w:space="0" w:color="auto"/>
              <w:left w:val="nil"/>
              <w:bottom w:val="single" w:sz="4" w:space="0" w:color="auto"/>
              <w:right w:val="single" w:sz="4" w:space="0" w:color="auto"/>
            </w:tcBorders>
            <w:shd w:val="clear" w:color="000000" w:fill="EDEDED"/>
            <w:vAlign w:val="center"/>
            <w:hideMark/>
          </w:tcPr>
          <w:p w14:paraId="7D66E72C" w14:textId="77777777" w:rsidR="00F50132" w:rsidRPr="00F50132" w:rsidRDefault="00F50132" w:rsidP="00F50132">
            <w:pPr>
              <w:spacing w:after="0" w:line="240" w:lineRule="auto"/>
              <w:jc w:val="center"/>
              <w:rPr>
                <w:rFonts w:ascii="Calibri" w:eastAsia="Times New Roman" w:hAnsi="Calibri" w:cs="Calibri"/>
                <w:b/>
                <w:bCs/>
                <w:color w:val="000000"/>
                <w:lang w:val="de-AT" w:eastAsia="de-AT"/>
              </w:rPr>
            </w:pPr>
            <w:r w:rsidRPr="00F50132">
              <w:rPr>
                <w:rFonts w:ascii="Calibri" w:eastAsia="Times New Roman" w:hAnsi="Calibri" w:cs="Calibri"/>
                <w:b/>
                <w:bCs/>
                <w:color w:val="000000"/>
                <w:lang w:val="de-AT" w:eastAsia="de-AT"/>
              </w:rPr>
              <w:t>Maleimide N- vs C-terminal immobilization</w:t>
            </w:r>
          </w:p>
        </w:tc>
      </w:tr>
      <w:tr w:rsidR="00F50132" w:rsidRPr="00F50132" w14:paraId="74C91CAA" w14:textId="77777777" w:rsidTr="00F50132">
        <w:trPr>
          <w:trHeight w:val="300"/>
        </w:trPr>
        <w:tc>
          <w:tcPr>
            <w:tcW w:w="1880" w:type="dxa"/>
            <w:tcBorders>
              <w:top w:val="nil"/>
              <w:left w:val="single" w:sz="4" w:space="0" w:color="auto"/>
              <w:bottom w:val="nil"/>
              <w:right w:val="single" w:sz="4" w:space="0" w:color="auto"/>
            </w:tcBorders>
            <w:shd w:val="clear" w:color="auto" w:fill="auto"/>
            <w:noWrap/>
            <w:vAlign w:val="center"/>
            <w:hideMark/>
          </w:tcPr>
          <w:p w14:paraId="215AB749" w14:textId="77777777" w:rsidR="00F50132" w:rsidRPr="00F50132" w:rsidRDefault="00F50132" w:rsidP="00F50132">
            <w:pPr>
              <w:spacing w:after="0" w:line="240" w:lineRule="auto"/>
              <w:jc w:val="center"/>
              <w:rPr>
                <w:rFonts w:ascii="Calibri" w:eastAsia="Times New Roman" w:hAnsi="Calibri" w:cs="Calibri"/>
                <w:b/>
                <w:bCs/>
                <w:color w:val="000000"/>
                <w:lang w:val="de-AT" w:eastAsia="de-AT"/>
              </w:rPr>
            </w:pPr>
            <w:r w:rsidRPr="00F50132">
              <w:rPr>
                <w:rFonts w:ascii="Calibri" w:eastAsia="Times New Roman" w:hAnsi="Calibri" w:cs="Calibri"/>
                <w:b/>
                <w:bCs/>
                <w:color w:val="000000"/>
                <w:lang w:val="de-AT" w:eastAsia="de-AT"/>
              </w:rPr>
              <w:t>600</w:t>
            </w:r>
          </w:p>
        </w:tc>
        <w:tc>
          <w:tcPr>
            <w:tcW w:w="1460" w:type="dxa"/>
            <w:tcBorders>
              <w:top w:val="nil"/>
              <w:left w:val="nil"/>
              <w:bottom w:val="nil"/>
              <w:right w:val="nil"/>
            </w:tcBorders>
            <w:shd w:val="clear" w:color="auto" w:fill="auto"/>
            <w:noWrap/>
            <w:vAlign w:val="center"/>
            <w:hideMark/>
          </w:tcPr>
          <w:p w14:paraId="303640DD" w14:textId="77777777" w:rsidR="00F50132" w:rsidRPr="00F50132" w:rsidRDefault="00F50132" w:rsidP="00F50132">
            <w:pPr>
              <w:spacing w:after="0" w:line="240" w:lineRule="auto"/>
              <w:jc w:val="center"/>
              <w:rPr>
                <w:rFonts w:ascii="Calibri" w:eastAsia="Times New Roman" w:hAnsi="Calibri" w:cs="Calibri"/>
                <w:color w:val="000000"/>
                <w:lang w:val="de-AT" w:eastAsia="de-AT"/>
              </w:rPr>
            </w:pPr>
            <w:r w:rsidRPr="00F50132">
              <w:rPr>
                <w:rFonts w:ascii="Calibri" w:eastAsia="Times New Roman" w:hAnsi="Calibri" w:cs="Calibri"/>
                <w:color w:val="000000"/>
                <w:lang w:val="de-AT" w:eastAsia="de-AT"/>
              </w:rPr>
              <w:t>0.6791</w:t>
            </w:r>
          </w:p>
        </w:tc>
        <w:tc>
          <w:tcPr>
            <w:tcW w:w="1620" w:type="dxa"/>
            <w:tcBorders>
              <w:top w:val="nil"/>
              <w:left w:val="nil"/>
              <w:bottom w:val="nil"/>
              <w:right w:val="single" w:sz="4" w:space="0" w:color="auto"/>
            </w:tcBorders>
            <w:shd w:val="clear" w:color="auto" w:fill="auto"/>
            <w:noWrap/>
            <w:vAlign w:val="center"/>
            <w:hideMark/>
          </w:tcPr>
          <w:p w14:paraId="2C6333DB" w14:textId="77777777" w:rsidR="00F50132" w:rsidRPr="00F50132" w:rsidRDefault="00F50132" w:rsidP="00F50132">
            <w:pPr>
              <w:spacing w:after="0" w:line="240" w:lineRule="auto"/>
              <w:jc w:val="center"/>
              <w:rPr>
                <w:rFonts w:ascii="Calibri" w:eastAsia="Times New Roman" w:hAnsi="Calibri" w:cs="Calibri"/>
                <w:color w:val="000000"/>
                <w:lang w:val="de-AT" w:eastAsia="de-AT"/>
              </w:rPr>
            </w:pPr>
            <w:r w:rsidRPr="00F50132">
              <w:rPr>
                <w:rFonts w:ascii="Calibri" w:eastAsia="Times New Roman" w:hAnsi="Calibri" w:cs="Calibri"/>
                <w:color w:val="000000"/>
                <w:lang w:val="de-AT" w:eastAsia="de-AT"/>
              </w:rPr>
              <w:t>0.5836</w:t>
            </w:r>
          </w:p>
        </w:tc>
      </w:tr>
      <w:tr w:rsidR="00F50132" w:rsidRPr="00F50132" w14:paraId="796984F6" w14:textId="77777777" w:rsidTr="00F50132">
        <w:trPr>
          <w:trHeight w:val="300"/>
        </w:trPr>
        <w:tc>
          <w:tcPr>
            <w:tcW w:w="1880" w:type="dxa"/>
            <w:tcBorders>
              <w:top w:val="nil"/>
              <w:left w:val="single" w:sz="4" w:space="0" w:color="auto"/>
              <w:bottom w:val="nil"/>
              <w:right w:val="single" w:sz="4" w:space="0" w:color="auto"/>
            </w:tcBorders>
            <w:shd w:val="clear" w:color="auto" w:fill="auto"/>
            <w:noWrap/>
            <w:vAlign w:val="center"/>
            <w:hideMark/>
          </w:tcPr>
          <w:p w14:paraId="625DAA3B" w14:textId="77777777" w:rsidR="00F50132" w:rsidRPr="00F50132" w:rsidRDefault="00F50132" w:rsidP="00F50132">
            <w:pPr>
              <w:spacing w:after="0" w:line="240" w:lineRule="auto"/>
              <w:jc w:val="center"/>
              <w:rPr>
                <w:rFonts w:ascii="Calibri" w:eastAsia="Times New Roman" w:hAnsi="Calibri" w:cs="Calibri"/>
                <w:b/>
                <w:bCs/>
                <w:color w:val="000000"/>
                <w:lang w:val="de-AT" w:eastAsia="de-AT"/>
              </w:rPr>
            </w:pPr>
            <w:r w:rsidRPr="00F50132">
              <w:rPr>
                <w:rFonts w:ascii="Calibri" w:eastAsia="Times New Roman" w:hAnsi="Calibri" w:cs="Calibri"/>
                <w:b/>
                <w:bCs/>
                <w:color w:val="000000"/>
                <w:lang w:val="de-AT" w:eastAsia="de-AT"/>
              </w:rPr>
              <w:t>300</w:t>
            </w:r>
          </w:p>
        </w:tc>
        <w:tc>
          <w:tcPr>
            <w:tcW w:w="1460" w:type="dxa"/>
            <w:tcBorders>
              <w:top w:val="nil"/>
              <w:left w:val="nil"/>
              <w:bottom w:val="nil"/>
              <w:right w:val="nil"/>
            </w:tcBorders>
            <w:shd w:val="clear" w:color="auto" w:fill="auto"/>
            <w:noWrap/>
            <w:vAlign w:val="center"/>
            <w:hideMark/>
          </w:tcPr>
          <w:p w14:paraId="3E5878AB" w14:textId="77777777" w:rsidR="00F50132" w:rsidRPr="00F50132" w:rsidRDefault="00F50132" w:rsidP="00F50132">
            <w:pPr>
              <w:spacing w:after="0" w:line="240" w:lineRule="auto"/>
              <w:jc w:val="center"/>
              <w:rPr>
                <w:rFonts w:ascii="Calibri" w:eastAsia="Times New Roman" w:hAnsi="Calibri" w:cs="Calibri"/>
                <w:color w:val="000000"/>
                <w:lang w:val="de-AT" w:eastAsia="de-AT"/>
              </w:rPr>
            </w:pPr>
            <w:r w:rsidRPr="00F50132">
              <w:rPr>
                <w:rFonts w:ascii="Calibri" w:eastAsia="Times New Roman" w:hAnsi="Calibri" w:cs="Calibri"/>
                <w:color w:val="000000"/>
                <w:lang w:val="de-AT" w:eastAsia="de-AT"/>
              </w:rPr>
              <w:t>0.7502</w:t>
            </w:r>
          </w:p>
        </w:tc>
        <w:tc>
          <w:tcPr>
            <w:tcW w:w="1620" w:type="dxa"/>
            <w:tcBorders>
              <w:top w:val="nil"/>
              <w:left w:val="nil"/>
              <w:bottom w:val="nil"/>
              <w:right w:val="single" w:sz="4" w:space="0" w:color="auto"/>
            </w:tcBorders>
            <w:shd w:val="clear" w:color="auto" w:fill="auto"/>
            <w:noWrap/>
            <w:vAlign w:val="center"/>
            <w:hideMark/>
          </w:tcPr>
          <w:p w14:paraId="631A0CCA" w14:textId="77777777" w:rsidR="00F50132" w:rsidRPr="00F50132" w:rsidRDefault="00F50132" w:rsidP="00F50132">
            <w:pPr>
              <w:spacing w:after="0" w:line="240" w:lineRule="auto"/>
              <w:jc w:val="center"/>
              <w:rPr>
                <w:rFonts w:ascii="Calibri" w:eastAsia="Times New Roman" w:hAnsi="Calibri" w:cs="Calibri"/>
                <w:color w:val="000000"/>
                <w:lang w:val="de-AT" w:eastAsia="de-AT"/>
              </w:rPr>
            </w:pPr>
            <w:r w:rsidRPr="00F50132">
              <w:rPr>
                <w:rFonts w:ascii="Calibri" w:eastAsia="Times New Roman" w:hAnsi="Calibri" w:cs="Calibri"/>
                <w:color w:val="000000"/>
                <w:lang w:val="de-AT" w:eastAsia="de-AT"/>
              </w:rPr>
              <w:t>0.4014</w:t>
            </w:r>
          </w:p>
        </w:tc>
      </w:tr>
      <w:tr w:rsidR="00F50132" w:rsidRPr="00F50132" w14:paraId="69533533" w14:textId="77777777" w:rsidTr="00F50132">
        <w:trPr>
          <w:trHeight w:val="300"/>
        </w:trPr>
        <w:tc>
          <w:tcPr>
            <w:tcW w:w="1880" w:type="dxa"/>
            <w:tcBorders>
              <w:top w:val="nil"/>
              <w:left w:val="single" w:sz="4" w:space="0" w:color="auto"/>
              <w:bottom w:val="nil"/>
              <w:right w:val="single" w:sz="4" w:space="0" w:color="auto"/>
            </w:tcBorders>
            <w:shd w:val="clear" w:color="auto" w:fill="auto"/>
            <w:noWrap/>
            <w:vAlign w:val="center"/>
            <w:hideMark/>
          </w:tcPr>
          <w:p w14:paraId="601EBA91" w14:textId="77777777" w:rsidR="00F50132" w:rsidRPr="00F50132" w:rsidRDefault="00F50132" w:rsidP="00F50132">
            <w:pPr>
              <w:spacing w:after="0" w:line="240" w:lineRule="auto"/>
              <w:jc w:val="center"/>
              <w:rPr>
                <w:rFonts w:ascii="Calibri" w:eastAsia="Times New Roman" w:hAnsi="Calibri" w:cs="Calibri"/>
                <w:b/>
                <w:bCs/>
                <w:color w:val="000000"/>
                <w:lang w:val="de-AT" w:eastAsia="de-AT"/>
              </w:rPr>
            </w:pPr>
            <w:r w:rsidRPr="00F50132">
              <w:rPr>
                <w:rFonts w:ascii="Calibri" w:eastAsia="Times New Roman" w:hAnsi="Calibri" w:cs="Calibri"/>
                <w:b/>
                <w:bCs/>
                <w:color w:val="000000"/>
                <w:lang w:val="de-AT" w:eastAsia="de-AT"/>
              </w:rPr>
              <w:t>150</w:t>
            </w:r>
          </w:p>
        </w:tc>
        <w:tc>
          <w:tcPr>
            <w:tcW w:w="1460" w:type="dxa"/>
            <w:tcBorders>
              <w:top w:val="nil"/>
              <w:left w:val="nil"/>
              <w:bottom w:val="nil"/>
              <w:right w:val="nil"/>
            </w:tcBorders>
            <w:shd w:val="clear" w:color="auto" w:fill="auto"/>
            <w:noWrap/>
            <w:vAlign w:val="center"/>
            <w:hideMark/>
          </w:tcPr>
          <w:p w14:paraId="15E8276B" w14:textId="77777777" w:rsidR="00F50132" w:rsidRPr="00F50132" w:rsidRDefault="00F50132" w:rsidP="00F50132">
            <w:pPr>
              <w:spacing w:after="0" w:line="240" w:lineRule="auto"/>
              <w:jc w:val="center"/>
              <w:rPr>
                <w:rFonts w:ascii="Calibri" w:eastAsia="Times New Roman" w:hAnsi="Calibri" w:cs="Calibri"/>
                <w:color w:val="000000"/>
                <w:lang w:val="de-AT" w:eastAsia="de-AT"/>
              </w:rPr>
            </w:pPr>
            <w:r w:rsidRPr="00F50132">
              <w:rPr>
                <w:rFonts w:ascii="Calibri" w:eastAsia="Times New Roman" w:hAnsi="Calibri" w:cs="Calibri"/>
                <w:color w:val="000000"/>
                <w:lang w:val="de-AT" w:eastAsia="de-AT"/>
              </w:rPr>
              <w:t>0.9806</w:t>
            </w:r>
          </w:p>
        </w:tc>
        <w:tc>
          <w:tcPr>
            <w:tcW w:w="1620" w:type="dxa"/>
            <w:tcBorders>
              <w:top w:val="nil"/>
              <w:left w:val="nil"/>
              <w:bottom w:val="nil"/>
              <w:right w:val="single" w:sz="4" w:space="0" w:color="auto"/>
            </w:tcBorders>
            <w:shd w:val="clear" w:color="auto" w:fill="auto"/>
            <w:noWrap/>
            <w:vAlign w:val="center"/>
            <w:hideMark/>
          </w:tcPr>
          <w:p w14:paraId="063CE614" w14:textId="77777777" w:rsidR="00F50132" w:rsidRPr="00F50132" w:rsidRDefault="00F50132" w:rsidP="00F50132">
            <w:pPr>
              <w:spacing w:after="0" w:line="240" w:lineRule="auto"/>
              <w:jc w:val="center"/>
              <w:rPr>
                <w:rFonts w:ascii="Calibri" w:eastAsia="Times New Roman" w:hAnsi="Calibri" w:cs="Calibri"/>
                <w:color w:val="000000"/>
                <w:lang w:val="de-AT" w:eastAsia="de-AT"/>
              </w:rPr>
            </w:pPr>
            <w:r w:rsidRPr="00F50132">
              <w:rPr>
                <w:rFonts w:ascii="Calibri" w:eastAsia="Times New Roman" w:hAnsi="Calibri" w:cs="Calibri"/>
                <w:color w:val="000000"/>
                <w:lang w:val="de-AT" w:eastAsia="de-AT"/>
              </w:rPr>
              <w:t>0.1358</w:t>
            </w:r>
          </w:p>
        </w:tc>
      </w:tr>
      <w:tr w:rsidR="00F50132" w:rsidRPr="00F50132" w14:paraId="66570CFD" w14:textId="77777777" w:rsidTr="00F50132">
        <w:trPr>
          <w:trHeight w:val="300"/>
        </w:trPr>
        <w:tc>
          <w:tcPr>
            <w:tcW w:w="1880" w:type="dxa"/>
            <w:tcBorders>
              <w:top w:val="nil"/>
              <w:left w:val="single" w:sz="4" w:space="0" w:color="auto"/>
              <w:bottom w:val="nil"/>
              <w:right w:val="single" w:sz="4" w:space="0" w:color="auto"/>
            </w:tcBorders>
            <w:shd w:val="clear" w:color="auto" w:fill="auto"/>
            <w:noWrap/>
            <w:vAlign w:val="center"/>
            <w:hideMark/>
          </w:tcPr>
          <w:p w14:paraId="382CDE9D" w14:textId="77777777" w:rsidR="00F50132" w:rsidRPr="00F50132" w:rsidRDefault="00F50132" w:rsidP="00F50132">
            <w:pPr>
              <w:spacing w:after="0" w:line="240" w:lineRule="auto"/>
              <w:jc w:val="center"/>
              <w:rPr>
                <w:rFonts w:ascii="Calibri" w:eastAsia="Times New Roman" w:hAnsi="Calibri" w:cs="Calibri"/>
                <w:b/>
                <w:bCs/>
                <w:color w:val="000000"/>
                <w:lang w:val="de-AT" w:eastAsia="de-AT"/>
              </w:rPr>
            </w:pPr>
            <w:r w:rsidRPr="00F50132">
              <w:rPr>
                <w:rFonts w:ascii="Calibri" w:eastAsia="Times New Roman" w:hAnsi="Calibri" w:cs="Calibri"/>
                <w:b/>
                <w:bCs/>
                <w:color w:val="000000"/>
                <w:lang w:val="de-AT" w:eastAsia="de-AT"/>
              </w:rPr>
              <w:t>60</w:t>
            </w:r>
          </w:p>
        </w:tc>
        <w:tc>
          <w:tcPr>
            <w:tcW w:w="1460" w:type="dxa"/>
            <w:tcBorders>
              <w:top w:val="nil"/>
              <w:left w:val="nil"/>
              <w:bottom w:val="nil"/>
              <w:right w:val="nil"/>
            </w:tcBorders>
            <w:shd w:val="clear" w:color="auto" w:fill="auto"/>
            <w:noWrap/>
            <w:vAlign w:val="center"/>
            <w:hideMark/>
          </w:tcPr>
          <w:p w14:paraId="2C64F4E5" w14:textId="77777777" w:rsidR="00F50132" w:rsidRPr="00F50132" w:rsidRDefault="00F50132" w:rsidP="00F50132">
            <w:pPr>
              <w:spacing w:after="0" w:line="240" w:lineRule="auto"/>
              <w:jc w:val="center"/>
              <w:rPr>
                <w:rFonts w:ascii="Calibri" w:eastAsia="Times New Roman" w:hAnsi="Calibri" w:cs="Calibri"/>
                <w:color w:val="000000"/>
                <w:lang w:val="de-AT" w:eastAsia="de-AT"/>
              </w:rPr>
            </w:pPr>
            <w:r w:rsidRPr="00F50132">
              <w:rPr>
                <w:rFonts w:ascii="Calibri" w:eastAsia="Times New Roman" w:hAnsi="Calibri" w:cs="Calibri"/>
                <w:color w:val="000000"/>
                <w:lang w:val="de-AT" w:eastAsia="de-AT"/>
              </w:rPr>
              <w:t>0.0162</w:t>
            </w:r>
          </w:p>
        </w:tc>
        <w:tc>
          <w:tcPr>
            <w:tcW w:w="1620" w:type="dxa"/>
            <w:tcBorders>
              <w:top w:val="nil"/>
              <w:left w:val="nil"/>
              <w:bottom w:val="nil"/>
              <w:right w:val="single" w:sz="4" w:space="0" w:color="auto"/>
            </w:tcBorders>
            <w:shd w:val="clear" w:color="auto" w:fill="auto"/>
            <w:noWrap/>
            <w:vAlign w:val="center"/>
            <w:hideMark/>
          </w:tcPr>
          <w:p w14:paraId="3813B016" w14:textId="77777777" w:rsidR="00F50132" w:rsidRPr="00F50132" w:rsidRDefault="00F50132" w:rsidP="00F50132">
            <w:pPr>
              <w:spacing w:after="0" w:line="240" w:lineRule="auto"/>
              <w:jc w:val="center"/>
              <w:rPr>
                <w:rFonts w:ascii="Calibri" w:eastAsia="Times New Roman" w:hAnsi="Calibri" w:cs="Calibri"/>
                <w:color w:val="000000"/>
                <w:lang w:val="de-AT" w:eastAsia="de-AT"/>
              </w:rPr>
            </w:pPr>
            <w:r w:rsidRPr="00F50132">
              <w:rPr>
                <w:rFonts w:ascii="Calibri" w:eastAsia="Times New Roman" w:hAnsi="Calibri" w:cs="Calibri"/>
                <w:color w:val="000000"/>
                <w:lang w:val="de-AT" w:eastAsia="de-AT"/>
              </w:rPr>
              <w:t>0.4136</w:t>
            </w:r>
          </w:p>
        </w:tc>
      </w:tr>
      <w:tr w:rsidR="00F50132" w:rsidRPr="00F50132" w14:paraId="46328F0D" w14:textId="77777777" w:rsidTr="00F50132">
        <w:trPr>
          <w:trHeight w:val="300"/>
        </w:trPr>
        <w:tc>
          <w:tcPr>
            <w:tcW w:w="1880" w:type="dxa"/>
            <w:tcBorders>
              <w:top w:val="nil"/>
              <w:left w:val="single" w:sz="4" w:space="0" w:color="auto"/>
              <w:bottom w:val="nil"/>
              <w:right w:val="single" w:sz="4" w:space="0" w:color="auto"/>
            </w:tcBorders>
            <w:shd w:val="clear" w:color="auto" w:fill="auto"/>
            <w:noWrap/>
            <w:vAlign w:val="center"/>
            <w:hideMark/>
          </w:tcPr>
          <w:p w14:paraId="349A2D50" w14:textId="77777777" w:rsidR="00F50132" w:rsidRPr="00F50132" w:rsidRDefault="00F50132" w:rsidP="00F50132">
            <w:pPr>
              <w:spacing w:after="0" w:line="240" w:lineRule="auto"/>
              <w:jc w:val="center"/>
              <w:rPr>
                <w:rFonts w:ascii="Calibri" w:eastAsia="Times New Roman" w:hAnsi="Calibri" w:cs="Calibri"/>
                <w:b/>
                <w:bCs/>
                <w:color w:val="000000"/>
                <w:lang w:val="de-AT" w:eastAsia="de-AT"/>
              </w:rPr>
            </w:pPr>
            <w:r w:rsidRPr="00F50132">
              <w:rPr>
                <w:rFonts w:ascii="Calibri" w:eastAsia="Times New Roman" w:hAnsi="Calibri" w:cs="Calibri"/>
                <w:b/>
                <w:bCs/>
                <w:color w:val="000000"/>
                <w:lang w:val="de-AT" w:eastAsia="de-AT"/>
              </w:rPr>
              <w:t>30</w:t>
            </w:r>
          </w:p>
        </w:tc>
        <w:tc>
          <w:tcPr>
            <w:tcW w:w="1460" w:type="dxa"/>
            <w:tcBorders>
              <w:top w:val="nil"/>
              <w:left w:val="nil"/>
              <w:bottom w:val="nil"/>
              <w:right w:val="nil"/>
            </w:tcBorders>
            <w:shd w:val="clear" w:color="auto" w:fill="auto"/>
            <w:noWrap/>
            <w:vAlign w:val="center"/>
            <w:hideMark/>
          </w:tcPr>
          <w:p w14:paraId="19C92304" w14:textId="77777777" w:rsidR="00F50132" w:rsidRPr="00F50132" w:rsidRDefault="00F50132" w:rsidP="00F50132">
            <w:pPr>
              <w:spacing w:after="0" w:line="240" w:lineRule="auto"/>
              <w:jc w:val="center"/>
              <w:rPr>
                <w:rFonts w:ascii="Calibri" w:eastAsia="Times New Roman" w:hAnsi="Calibri" w:cs="Calibri"/>
                <w:color w:val="000000"/>
                <w:lang w:val="de-AT" w:eastAsia="de-AT"/>
              </w:rPr>
            </w:pPr>
            <w:r w:rsidRPr="00F50132">
              <w:rPr>
                <w:rFonts w:ascii="Calibri" w:eastAsia="Times New Roman" w:hAnsi="Calibri" w:cs="Calibri"/>
                <w:color w:val="000000"/>
                <w:lang w:val="de-AT" w:eastAsia="de-AT"/>
              </w:rPr>
              <w:t>0.0468</w:t>
            </w:r>
          </w:p>
        </w:tc>
        <w:tc>
          <w:tcPr>
            <w:tcW w:w="1620" w:type="dxa"/>
            <w:tcBorders>
              <w:top w:val="nil"/>
              <w:left w:val="nil"/>
              <w:bottom w:val="nil"/>
              <w:right w:val="single" w:sz="4" w:space="0" w:color="auto"/>
            </w:tcBorders>
            <w:shd w:val="clear" w:color="auto" w:fill="auto"/>
            <w:noWrap/>
            <w:vAlign w:val="center"/>
            <w:hideMark/>
          </w:tcPr>
          <w:p w14:paraId="545118D5" w14:textId="77777777" w:rsidR="00F50132" w:rsidRPr="00F50132" w:rsidRDefault="00F50132" w:rsidP="00F50132">
            <w:pPr>
              <w:spacing w:after="0" w:line="240" w:lineRule="auto"/>
              <w:jc w:val="center"/>
              <w:rPr>
                <w:rFonts w:ascii="Calibri" w:eastAsia="Times New Roman" w:hAnsi="Calibri" w:cs="Calibri"/>
                <w:color w:val="000000"/>
                <w:lang w:val="de-AT" w:eastAsia="de-AT"/>
              </w:rPr>
            </w:pPr>
            <w:r w:rsidRPr="00F50132">
              <w:rPr>
                <w:rFonts w:ascii="Calibri" w:eastAsia="Times New Roman" w:hAnsi="Calibri" w:cs="Calibri"/>
                <w:color w:val="000000"/>
                <w:lang w:val="de-AT" w:eastAsia="de-AT"/>
              </w:rPr>
              <w:t>0.3119</w:t>
            </w:r>
          </w:p>
        </w:tc>
      </w:tr>
      <w:tr w:rsidR="00F50132" w:rsidRPr="00F50132" w14:paraId="6C764B3C" w14:textId="77777777" w:rsidTr="00F50132">
        <w:trPr>
          <w:trHeight w:val="30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1CA6C03D" w14:textId="77777777" w:rsidR="00F50132" w:rsidRPr="00F50132" w:rsidRDefault="00F50132" w:rsidP="00F50132">
            <w:pPr>
              <w:spacing w:after="0" w:line="240" w:lineRule="auto"/>
              <w:jc w:val="center"/>
              <w:rPr>
                <w:rFonts w:ascii="Calibri" w:eastAsia="Times New Roman" w:hAnsi="Calibri" w:cs="Calibri"/>
                <w:b/>
                <w:bCs/>
                <w:color w:val="000000"/>
                <w:lang w:val="de-AT" w:eastAsia="de-AT"/>
              </w:rPr>
            </w:pPr>
            <w:r w:rsidRPr="00F50132">
              <w:rPr>
                <w:rFonts w:ascii="Calibri" w:eastAsia="Times New Roman" w:hAnsi="Calibri" w:cs="Calibri"/>
                <w:b/>
                <w:bCs/>
                <w:color w:val="000000"/>
                <w:lang w:val="de-AT" w:eastAsia="de-AT"/>
              </w:rPr>
              <w:t>15</w:t>
            </w:r>
          </w:p>
        </w:tc>
        <w:tc>
          <w:tcPr>
            <w:tcW w:w="1460" w:type="dxa"/>
            <w:tcBorders>
              <w:top w:val="nil"/>
              <w:left w:val="nil"/>
              <w:bottom w:val="single" w:sz="4" w:space="0" w:color="auto"/>
              <w:right w:val="nil"/>
            </w:tcBorders>
            <w:shd w:val="clear" w:color="auto" w:fill="auto"/>
            <w:noWrap/>
            <w:vAlign w:val="center"/>
            <w:hideMark/>
          </w:tcPr>
          <w:p w14:paraId="4429A7D2" w14:textId="77777777" w:rsidR="00F50132" w:rsidRPr="00F50132" w:rsidRDefault="00F50132" w:rsidP="00F50132">
            <w:pPr>
              <w:spacing w:after="0" w:line="240" w:lineRule="auto"/>
              <w:jc w:val="center"/>
              <w:rPr>
                <w:rFonts w:ascii="Calibri" w:eastAsia="Times New Roman" w:hAnsi="Calibri" w:cs="Calibri"/>
                <w:color w:val="000000"/>
                <w:lang w:val="de-AT" w:eastAsia="de-AT"/>
              </w:rPr>
            </w:pPr>
            <w:r w:rsidRPr="00F50132">
              <w:rPr>
                <w:rFonts w:ascii="Calibri" w:eastAsia="Times New Roman" w:hAnsi="Calibri" w:cs="Calibri"/>
                <w:color w:val="000000"/>
                <w:lang w:val="de-AT" w:eastAsia="de-AT"/>
              </w:rPr>
              <w:t>0.0659</w:t>
            </w:r>
          </w:p>
        </w:tc>
        <w:tc>
          <w:tcPr>
            <w:tcW w:w="1620" w:type="dxa"/>
            <w:tcBorders>
              <w:top w:val="nil"/>
              <w:left w:val="nil"/>
              <w:bottom w:val="single" w:sz="4" w:space="0" w:color="auto"/>
              <w:right w:val="single" w:sz="4" w:space="0" w:color="auto"/>
            </w:tcBorders>
            <w:shd w:val="clear" w:color="auto" w:fill="auto"/>
            <w:noWrap/>
            <w:vAlign w:val="center"/>
            <w:hideMark/>
          </w:tcPr>
          <w:p w14:paraId="0D17FDF5" w14:textId="77777777" w:rsidR="00F50132" w:rsidRPr="00F50132" w:rsidRDefault="00F50132" w:rsidP="00094A95">
            <w:pPr>
              <w:keepNext/>
              <w:spacing w:after="0" w:line="240" w:lineRule="auto"/>
              <w:jc w:val="center"/>
              <w:rPr>
                <w:rFonts w:ascii="Calibri" w:eastAsia="Times New Roman" w:hAnsi="Calibri" w:cs="Calibri"/>
                <w:color w:val="000000"/>
                <w:lang w:val="de-AT" w:eastAsia="de-AT"/>
              </w:rPr>
            </w:pPr>
            <w:r w:rsidRPr="00F50132">
              <w:rPr>
                <w:rFonts w:ascii="Calibri" w:eastAsia="Times New Roman" w:hAnsi="Calibri" w:cs="Calibri"/>
                <w:color w:val="000000"/>
                <w:lang w:val="de-AT" w:eastAsia="de-AT"/>
              </w:rPr>
              <w:t>0.4725</w:t>
            </w:r>
          </w:p>
        </w:tc>
      </w:tr>
    </w:tbl>
    <w:p w14:paraId="655CF7DD" w14:textId="5DD10C19" w:rsidR="008D3834" w:rsidRPr="00094A95" w:rsidRDefault="007B0AAE" w:rsidP="00094A95">
      <w:pPr>
        <w:pStyle w:val="Caption"/>
        <w:rPr>
          <w:rFonts w:ascii="Arial" w:hAnsi="Arial" w:cs="Arial"/>
          <w:lang w:val="en-GB"/>
        </w:rPr>
      </w:pPr>
      <w:r w:rsidRPr="00094A95">
        <w:rPr>
          <w:lang w:val="en-GB"/>
        </w:rPr>
        <w:t xml:space="preserve">Supplementary Table </w:t>
      </w:r>
      <w:r>
        <w:fldChar w:fldCharType="begin"/>
      </w:r>
      <w:r w:rsidRPr="00094A95">
        <w:rPr>
          <w:lang w:val="en-GB"/>
        </w:rPr>
        <w:instrText xml:space="preserve"> SEQ Supplementary_Table \* ARABIC </w:instrText>
      </w:r>
      <w:r>
        <w:fldChar w:fldCharType="separate"/>
      </w:r>
      <w:r w:rsidRPr="00094A95">
        <w:rPr>
          <w:noProof/>
          <w:lang w:val="en-GB"/>
        </w:rPr>
        <w:t>2</w:t>
      </w:r>
      <w:r>
        <w:fldChar w:fldCharType="end"/>
      </w:r>
      <w:r w:rsidRPr="00094A95">
        <w:rPr>
          <w:lang w:val="en-GB"/>
        </w:rPr>
        <w:t xml:space="preserve">: </w:t>
      </w:r>
      <w:r w:rsidRPr="009072F9">
        <w:rPr>
          <w:rFonts w:ascii="Arial" w:hAnsi="Arial" w:cs="Arial"/>
          <w:b/>
          <w:bCs/>
          <w:i w:val="0"/>
          <w:iCs w:val="0"/>
          <w:color w:val="000000" w:themeColor="text1"/>
          <w:lang w:val="en-GB"/>
        </w:rPr>
        <w:t>t-statistics of the comparison of absorbance values for N- &amp; C-terminal orientation of the peptides</w:t>
      </w:r>
      <w:r>
        <w:rPr>
          <w:rFonts w:ascii="Arial" w:hAnsi="Arial" w:cs="Arial"/>
          <w:b/>
          <w:bCs/>
          <w:i w:val="0"/>
          <w:iCs w:val="0"/>
          <w:color w:val="000000" w:themeColor="text1"/>
          <w:lang w:val="en-GB"/>
        </w:rPr>
        <w:t xml:space="preserve"> immobilized as BSA-conjugates in HighBind plates and Maleimide coated plates</w:t>
      </w:r>
    </w:p>
    <w:p w14:paraId="375C7DA9" w14:textId="77777777" w:rsidR="008D3834" w:rsidRPr="00094A95" w:rsidRDefault="008D3834" w:rsidP="00094A95">
      <w:pPr>
        <w:rPr>
          <w:lang w:val="en-GB"/>
        </w:rPr>
      </w:pPr>
    </w:p>
    <w:p w14:paraId="7D8F8FFB" w14:textId="77777777" w:rsidR="0015046B" w:rsidRDefault="00094A95"/>
    <w:sectPr w:rsidR="0015046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CB3"/>
    <w:rsid w:val="00093A9A"/>
    <w:rsid w:val="00094A95"/>
    <w:rsid w:val="000C7B42"/>
    <w:rsid w:val="000F6A8D"/>
    <w:rsid w:val="001728B0"/>
    <w:rsid w:val="002D5588"/>
    <w:rsid w:val="00354D47"/>
    <w:rsid w:val="00397C5F"/>
    <w:rsid w:val="004059F4"/>
    <w:rsid w:val="004966AF"/>
    <w:rsid w:val="00542A90"/>
    <w:rsid w:val="00620563"/>
    <w:rsid w:val="00635BBD"/>
    <w:rsid w:val="00672C41"/>
    <w:rsid w:val="006C55C8"/>
    <w:rsid w:val="006F2F3E"/>
    <w:rsid w:val="006F484D"/>
    <w:rsid w:val="00735A2A"/>
    <w:rsid w:val="00753DB5"/>
    <w:rsid w:val="007B0AAE"/>
    <w:rsid w:val="007B2E04"/>
    <w:rsid w:val="007F2490"/>
    <w:rsid w:val="008A21FC"/>
    <w:rsid w:val="008B59D2"/>
    <w:rsid w:val="008D3834"/>
    <w:rsid w:val="00916C66"/>
    <w:rsid w:val="00967520"/>
    <w:rsid w:val="00A7240F"/>
    <w:rsid w:val="00A84E59"/>
    <w:rsid w:val="00AA662F"/>
    <w:rsid w:val="00AC4384"/>
    <w:rsid w:val="00AC5902"/>
    <w:rsid w:val="00AF75F3"/>
    <w:rsid w:val="00B101A1"/>
    <w:rsid w:val="00B24FA7"/>
    <w:rsid w:val="00B37F7F"/>
    <w:rsid w:val="00B639E1"/>
    <w:rsid w:val="00BB1329"/>
    <w:rsid w:val="00BE2EF9"/>
    <w:rsid w:val="00BF4A5E"/>
    <w:rsid w:val="00C04C5E"/>
    <w:rsid w:val="00C236BA"/>
    <w:rsid w:val="00C55B12"/>
    <w:rsid w:val="00C74E46"/>
    <w:rsid w:val="00C76293"/>
    <w:rsid w:val="00D45171"/>
    <w:rsid w:val="00DB26F7"/>
    <w:rsid w:val="00E00285"/>
    <w:rsid w:val="00E73BCF"/>
    <w:rsid w:val="00EC2CD3"/>
    <w:rsid w:val="00EE57B8"/>
    <w:rsid w:val="00F13CB3"/>
    <w:rsid w:val="00F5013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34A98"/>
  <w15:chartTrackingRefBased/>
  <w15:docId w15:val="{42E74F6E-BAD9-43F3-A71B-0F51FD909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CB3"/>
    <w:pPr>
      <w:spacing w:after="200" w:line="276" w:lineRule="auto"/>
    </w:pPr>
    <w:rPr>
      <w:lang w:val="en-US"/>
    </w:rPr>
  </w:style>
  <w:style w:type="paragraph" w:styleId="Heading1">
    <w:name w:val="heading 1"/>
    <w:aliases w:val="Überschrift 1-thesis"/>
    <w:basedOn w:val="Normal"/>
    <w:next w:val="Normal"/>
    <w:link w:val="Heading1Char"/>
    <w:uiPriority w:val="9"/>
    <w:qFormat/>
    <w:rsid w:val="00B639E1"/>
    <w:pPr>
      <w:keepNext/>
      <w:keepLines/>
      <w:spacing w:before="240" w:after="0" w:line="259" w:lineRule="auto"/>
      <w:outlineLvl w:val="0"/>
    </w:pPr>
    <w:rPr>
      <w:rFonts w:ascii="Arial" w:eastAsiaTheme="majorEastAsia" w:hAnsi="Arial" w:cstheme="majorBidi"/>
      <w:b/>
      <w:color w:val="000000" w:themeColor="text1"/>
      <w:sz w:val="28"/>
      <w:szCs w:val="32"/>
      <w:lang w:val="de-AT"/>
    </w:rPr>
  </w:style>
  <w:style w:type="paragraph" w:styleId="Heading2">
    <w:name w:val="heading 2"/>
    <w:basedOn w:val="Normal"/>
    <w:next w:val="Normal"/>
    <w:link w:val="Heading2Char"/>
    <w:uiPriority w:val="9"/>
    <w:unhideWhenUsed/>
    <w:qFormat/>
    <w:rsid w:val="00F13CB3"/>
    <w:pPr>
      <w:keepNext/>
      <w:keepLines/>
      <w:spacing w:before="40" w:after="0" w:line="259" w:lineRule="auto"/>
      <w:outlineLvl w:val="1"/>
    </w:pPr>
    <w:rPr>
      <w:rFonts w:asciiTheme="majorHAnsi" w:eastAsiaTheme="majorEastAsia" w:hAnsiTheme="majorHAnsi" w:cstheme="majorBidi"/>
      <w:color w:val="2F5496" w:themeColor="accent1" w:themeShade="BF"/>
      <w:sz w:val="26"/>
      <w:szCs w:val="26"/>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Überschrift 1-thesis Char"/>
    <w:basedOn w:val="DefaultParagraphFont"/>
    <w:link w:val="Heading1"/>
    <w:uiPriority w:val="9"/>
    <w:rsid w:val="00B639E1"/>
    <w:rPr>
      <w:rFonts w:ascii="Arial" w:eastAsiaTheme="majorEastAsia" w:hAnsi="Arial" w:cstheme="majorBidi"/>
      <w:b/>
      <w:color w:val="000000" w:themeColor="text1"/>
      <w:sz w:val="28"/>
      <w:szCs w:val="32"/>
    </w:rPr>
  </w:style>
  <w:style w:type="character" w:customStyle="1" w:styleId="Heading2Char">
    <w:name w:val="Heading 2 Char"/>
    <w:basedOn w:val="DefaultParagraphFont"/>
    <w:link w:val="Heading2"/>
    <w:uiPriority w:val="9"/>
    <w:rsid w:val="00F13CB3"/>
    <w:rPr>
      <w:rFonts w:asciiTheme="majorHAnsi" w:eastAsiaTheme="majorEastAsia" w:hAnsiTheme="majorHAnsi" w:cstheme="majorBidi"/>
      <w:color w:val="2F5496" w:themeColor="accent1" w:themeShade="BF"/>
      <w:sz w:val="26"/>
      <w:szCs w:val="26"/>
      <w:lang w:val="de-DE"/>
    </w:rPr>
  </w:style>
  <w:style w:type="paragraph" w:styleId="Caption">
    <w:name w:val="caption"/>
    <w:basedOn w:val="Normal"/>
    <w:next w:val="Normal"/>
    <w:uiPriority w:val="35"/>
    <w:unhideWhenUsed/>
    <w:qFormat/>
    <w:rsid w:val="00F13CB3"/>
    <w:pPr>
      <w:spacing w:line="240" w:lineRule="auto"/>
    </w:pPr>
    <w:rPr>
      <w:i/>
      <w:iCs/>
      <w:color w:val="44546A" w:themeColor="text2"/>
      <w:sz w:val="18"/>
      <w:szCs w:val="18"/>
      <w:lang w:val="de-DE"/>
    </w:rPr>
  </w:style>
  <w:style w:type="paragraph" w:styleId="Revision">
    <w:name w:val="Revision"/>
    <w:hidden/>
    <w:uiPriority w:val="99"/>
    <w:semiHidden/>
    <w:rsid w:val="00BF4A5E"/>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464332">
      <w:bodyDiv w:val="1"/>
      <w:marLeft w:val="0"/>
      <w:marRight w:val="0"/>
      <w:marTop w:val="0"/>
      <w:marBottom w:val="0"/>
      <w:divBdr>
        <w:top w:val="none" w:sz="0" w:space="0" w:color="auto"/>
        <w:left w:val="none" w:sz="0" w:space="0" w:color="auto"/>
        <w:bottom w:val="none" w:sz="0" w:space="0" w:color="auto"/>
        <w:right w:val="none" w:sz="0" w:space="0" w:color="auto"/>
      </w:divBdr>
    </w:div>
    <w:div w:id="1390181544">
      <w:bodyDiv w:val="1"/>
      <w:marLeft w:val="0"/>
      <w:marRight w:val="0"/>
      <w:marTop w:val="0"/>
      <w:marBottom w:val="0"/>
      <w:divBdr>
        <w:top w:val="none" w:sz="0" w:space="0" w:color="auto"/>
        <w:left w:val="none" w:sz="0" w:space="0" w:color="auto"/>
        <w:bottom w:val="none" w:sz="0" w:space="0" w:color="auto"/>
        <w:right w:val="none" w:sz="0" w:space="0" w:color="auto"/>
      </w:divBdr>
    </w:div>
    <w:div w:id="145386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1064</Words>
  <Characters>6071</Characters>
  <Application>Microsoft Office Word</Application>
  <DocSecurity>4</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Milchram</dc:creator>
  <cp:keywords/>
  <dc:description/>
  <cp:lastModifiedBy>Zara Robinson</cp:lastModifiedBy>
  <cp:revision>2</cp:revision>
  <dcterms:created xsi:type="dcterms:W3CDTF">2022-03-02T13:50:00Z</dcterms:created>
  <dcterms:modified xsi:type="dcterms:W3CDTF">2022-03-02T13:50:00Z</dcterms:modified>
</cp:coreProperties>
</file>