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61" w:tblpY="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850"/>
        <w:gridCol w:w="1219"/>
        <w:gridCol w:w="851"/>
        <w:gridCol w:w="417"/>
        <w:gridCol w:w="850"/>
        <w:gridCol w:w="12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833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tbl>
            <w:tblPr>
              <w:tblStyle w:val="3"/>
              <w:tblpPr w:leftFromText="180" w:rightFromText="180" w:vertAnchor="text" w:horzAnchor="page" w:tblpX="1761" w:tblpY="3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5"/>
              <w:gridCol w:w="827"/>
              <w:gridCol w:w="1205"/>
              <w:gridCol w:w="829"/>
              <w:gridCol w:w="398"/>
              <w:gridCol w:w="827"/>
              <w:gridCol w:w="1263"/>
              <w:gridCol w:w="8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8330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tabs>
                      <w:tab w:val="left" w:pos="612"/>
                    </w:tabs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eastAsia" w:ascii="Helvetica" w:hAnsi="Helvetica" w:cs="Times New Roman"/>
                      <w:b/>
                      <w:sz w:val="16"/>
                      <w:szCs w:val="16"/>
                      <w:lang w:val="en-US" w:eastAsia="zh-CN"/>
                    </w:rPr>
                    <w:t>Supplementary Table 1</w:t>
                  </w: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Risk factors for AKI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vMerge w:val="restart"/>
                  <w:tcBorders>
                    <w:top w:val="single" w:color="auto" w:sz="4" w:space="0"/>
                    <w:left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AKI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Univariate analysis</w:t>
                  </w:r>
                </w:p>
              </w:tc>
              <w:tc>
                <w:tcPr>
                  <w:tcW w:w="417" w:type="dxa"/>
                  <w:vMerge w:val="restart"/>
                  <w:tcBorders>
                    <w:top w:val="single" w:color="auto" w:sz="4" w:space="0"/>
                    <w:left w:val="nil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tabs>
                      <w:tab w:val="left" w:pos="612"/>
                    </w:tabs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Multivariate analysis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vMerge w:val="continue"/>
                  <w:tcBorders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Odd ratio</w:t>
                  </w:r>
                </w:p>
              </w:tc>
              <w:tc>
                <w:tcPr>
                  <w:tcW w:w="12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95% CI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P value</w:t>
                  </w:r>
                </w:p>
              </w:tc>
              <w:tc>
                <w:tcPr>
                  <w:tcW w:w="417" w:type="dxa"/>
                  <w:vMerge w:val="continue"/>
                  <w:tcBorders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Odd ratio</w:t>
                  </w:r>
                </w:p>
              </w:tc>
              <w:tc>
                <w:tcPr>
                  <w:tcW w:w="1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95% CI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jc w:val="left"/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P value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exact"/>
              </w:trPr>
              <w:tc>
                <w:tcPr>
                  <w:tcW w:w="2008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1.022</w:t>
                  </w:r>
                </w:p>
              </w:tc>
              <w:tc>
                <w:tcPr>
                  <w:tcW w:w="1219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0.997-1.047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0.088</w:t>
                  </w:r>
                </w:p>
              </w:tc>
              <w:tc>
                <w:tcPr>
                  <w:tcW w:w="417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1.015</w:t>
                  </w:r>
                </w:p>
              </w:tc>
              <w:tc>
                <w:tcPr>
                  <w:tcW w:w="1284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0.987-1.043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0.304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0.909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0.522-1.582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0.735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0.845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0.47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</w:t>
                  </w: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-1.517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0.573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Baseline eGFR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0.991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0.982-1.000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0.044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0.993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0.984-1.001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eastAsia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0.10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Hypertension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1.641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0.972-2.773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0.064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1.2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18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0.67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</w:t>
                  </w: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-2.2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0.518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NSAIDs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2.703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1.457-5.015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2.8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eastAsia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487</w:t>
                  </w: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-5.27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0.001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eastAsia="宋体" w:cs="Times New Roman"/>
                      <w:sz w:val="16"/>
                      <w:szCs w:val="16"/>
                      <w:lang w:bidi="ar"/>
                    </w:rPr>
                    <w:t>RAASis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2.300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1.276-4.144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eastAsia" w:ascii="Helvetica" w:hAnsi="Helvetica" w:cs="Times New Roman" w:eastAsiaTheme="minorEastAsia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1.80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eastAsia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0.93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1</w:t>
                  </w: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-3.50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0.0</w:t>
                  </w: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exact"/>
              </w:trPr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PPIs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1.518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0.630-3.659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 w:ascii="Helvetica" w:hAnsi="Helvetica" w:cs="Times New Roman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Helvetica" w:hAnsi="Helvetica" w:cs="Times New Roman"/>
                      <w:sz w:val="16"/>
                      <w:szCs w:val="16"/>
                      <w:lang w:val="en-US" w:eastAsia="zh-CN"/>
                    </w:rPr>
                    <w:t>0.352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7" w:hRule="exact"/>
              </w:trPr>
              <w:tc>
                <w:tcPr>
                  <w:tcW w:w="8330" w:type="dxa"/>
                  <w:gridSpan w:val="8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Times New Roman"/>
                      <w:sz w:val="16"/>
                      <w:szCs w:val="16"/>
                    </w:rPr>
                    <w:t>AKI, acute kidney injury; eGFR, estimated glomerular filtration rate; irAEs, immune-related adverse events; NSAIDs, nonsteroidal anti-inflammatory drugs; RAASis, renin-angiotensin-aldosterone system inhibitors.</w:t>
                  </w:r>
                </w:p>
                <w:p>
                  <w:pPr>
                    <w:rPr>
                      <w:rFonts w:ascii="Helvetica" w:hAnsi="Helvetica" w:cs="Times New Roman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tabs>
                <w:tab w:val="left" w:pos="612"/>
              </w:tabs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Helvetica" w:hAnsi="Helvetica" w:cs="Times New Roman"/>
                <w:sz w:val="16"/>
                <w:szCs w:val="16"/>
              </w:rPr>
              <w:t>Risk factors for AKI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AKI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Univariate analysis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612"/>
              </w:tabs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ab/>
            </w:r>
            <w:r>
              <w:rPr>
                <w:rFonts w:ascii="Helvetica" w:hAnsi="Helvetica" w:cs="Times New Roman"/>
                <w:b/>
                <w:sz w:val="16"/>
                <w:szCs w:val="16"/>
              </w:rPr>
              <w:t>Multivariate analysis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Odd ratio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17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Odd ratio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20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Age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1.022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0.997-1.047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0.088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1.015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0.987-1.043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0.522-1.582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0.735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0.845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0.47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</w:t>
            </w:r>
            <w:r>
              <w:rPr>
                <w:rFonts w:ascii="Helvetica" w:hAnsi="Helvetica" w:cs="Times New Roman"/>
                <w:sz w:val="16"/>
                <w:szCs w:val="16"/>
              </w:rPr>
              <w:t>-1.517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Baseline eGFR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0.982-1.000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0.044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0.993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0.984-1.001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0.10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Hypertension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1.641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0.972-2.773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0.064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1.2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0.67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</w:t>
            </w:r>
            <w:r>
              <w:rPr>
                <w:rFonts w:ascii="Helvetica" w:hAnsi="Helvetica" w:cs="Times New Roman"/>
                <w:sz w:val="16"/>
                <w:szCs w:val="16"/>
              </w:rPr>
              <w:t>-2.2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NSAIDs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2.703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1.457-5.015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0.002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2.8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487</w:t>
            </w:r>
            <w:r>
              <w:rPr>
                <w:rFonts w:ascii="Helvetica" w:hAnsi="Helvetica" w:cs="Times New Roman"/>
                <w:sz w:val="16"/>
                <w:szCs w:val="16"/>
              </w:rPr>
              <w:t>-5.27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eastAsia="宋体" w:cs="Times New Roman"/>
                <w:sz w:val="16"/>
                <w:szCs w:val="16"/>
                <w:lang w:bidi="ar"/>
              </w:rPr>
              <w:t>RAASis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1.276-4.144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0.006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Helvetica" w:hAnsi="Helvetica" w:cs="Times New Roman" w:eastAsiaTheme="minorEastAsia"/>
                <w:sz w:val="16"/>
                <w:szCs w:val="16"/>
                <w:lang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1.80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0.93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</w:t>
            </w:r>
            <w:r>
              <w:rPr>
                <w:rFonts w:ascii="Helvetica" w:hAnsi="Helvetica" w:cs="Times New Roman"/>
                <w:sz w:val="16"/>
                <w:szCs w:val="16"/>
              </w:rPr>
              <w:t>-3.50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0.0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PPIs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1.518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0.630-3.659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0.352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1.072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0.425-2.701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Helvetica" w:hAnsi="Helvetica" w:cs="Times New Roman" w:eastAsiaTheme="minorEastAsia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="Helvetica" w:hAnsi="Helvetica" w:cs="Times New Roman"/>
                <w:b w:val="0"/>
                <w:bCs/>
                <w:sz w:val="16"/>
                <w:szCs w:val="16"/>
                <w:lang w:val="en-US" w:eastAsia="zh-CN"/>
              </w:rPr>
              <w:t>0.883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Extra-renal irAEs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2.128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1.184-3.825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0.012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2.028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Helvetica" w:hAnsi="Helvetica" w:cs="Times New Roman" w:eastAsiaTheme="minorEastAsia"/>
                <w:sz w:val="16"/>
                <w:szCs w:val="16"/>
                <w:lang w:val="en-US" w:eastAsia="zh-CN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1.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099</w:t>
            </w:r>
            <w:r>
              <w:rPr>
                <w:rFonts w:ascii="Helvetica" w:hAnsi="Helvetica" w:cs="Times New Roman"/>
                <w:sz w:val="16"/>
                <w:szCs w:val="16"/>
              </w:rPr>
              <w:t>-3.74</w:t>
            </w:r>
            <w:r>
              <w:rPr>
                <w:rFonts w:hint="eastAsia" w:ascii="Helvetica" w:hAnsi="Helvetic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33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AKI, acute kidney injury; eGFR, estimated glomerular filtration rate; irAEs, immune-related adverse events; NSAIDs, nonsteroidal anti-inflammatory drugs; RAASis, renin-angiotensin-aldosterone system inhibitors.</w:t>
            </w:r>
          </w:p>
          <w:p>
            <w:pPr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507AC"/>
    <w:rsid w:val="21F8730E"/>
    <w:rsid w:val="2E2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2021-12-11T15:23:38Z</dcterms:created>
  <dc:creator>KK</dc:creator>
  <cp:lastModifiedBy>KK</cp:lastModifiedBy>
  <dcterms:modified xsi:type="dcterms:W3CDTF">2021-12-11T15:35:14Z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6BA14700BD9A47DA9FBA91A2F244FD1E</vt:lpwstr>
  </property>
</Properties>
</file>