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19A1" w:rsidR="00111B55" w:rsidP="0241B7D6" w:rsidRDefault="00111B55" w14:paraId="6074B255" w14:textId="60430BEA">
      <w:pPr>
        <w:pStyle w:val="Normal"/>
        <w:keepNext/>
        <w:spacing w:after="200" w:line="240" w:lineRule="auto"/>
        <w:jc w:val="center"/>
        <w:rPr>
          <w:rFonts w:ascii="Times New Roman" w:hAnsi="Times New Roman" w:eastAsia="Calibri" w:cs="Times New Roman"/>
          <w:color w:val="000000"/>
          <w:sz w:val="24"/>
          <w:szCs w:val="24"/>
        </w:rPr>
      </w:pPr>
      <w:r w:rsidRPr="0241B7D6" w:rsidR="06B8149A">
        <w:rPr>
          <w:rFonts w:ascii="Times New Roman" w:hAnsi="Times New Roman" w:eastAsia="Times New Roman" w:cs="Times New Roman"/>
          <w:b w:val="1"/>
          <w:bCs w:val="1"/>
          <w:noProof w:val="0"/>
          <w:color w:val="000000" w:themeColor="text1" w:themeTint="FF" w:themeShade="FF"/>
          <w:sz w:val="24"/>
          <w:szCs w:val="24"/>
          <w:lang w:val="en-US"/>
        </w:rPr>
        <w:t xml:space="preserve">Supplementary </w:t>
      </w:r>
      <w:r w:rsidRPr="0241B7D6" w:rsidR="00111B55">
        <w:rPr>
          <w:rFonts w:ascii="Times New Roman" w:hAnsi="Times New Roman" w:eastAsia="Calibri" w:cs="Times New Roman"/>
          <w:b w:val="1"/>
          <w:bCs w:val="1"/>
          <w:color w:val="000000" w:themeColor="text1" w:themeTint="FF" w:themeShade="FF"/>
          <w:sz w:val="24"/>
          <w:szCs w:val="24"/>
        </w:rPr>
        <w:t>Table 6:</w:t>
      </w:r>
      <w:r w:rsidRPr="0241B7D6" w:rsidR="00111B55">
        <w:rPr>
          <w:rFonts w:ascii="Times New Roman" w:hAnsi="Times New Roman" w:eastAsia="Calibri" w:cs="Times New Roman"/>
          <w:color w:val="000000" w:themeColor="text1" w:themeTint="FF" w:themeShade="FF"/>
          <w:sz w:val="24"/>
          <w:szCs w:val="24"/>
        </w:rPr>
        <w:t xml:space="preserve"> Vitamins and amino acid supplements against COVID-19</w:t>
      </w:r>
    </w:p>
    <w:tbl>
      <w:tblPr>
        <w:tblStyle w:val="TableGrid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8"/>
        <w:gridCol w:w="2005"/>
        <w:gridCol w:w="2296"/>
        <w:gridCol w:w="1716"/>
        <w:gridCol w:w="1361"/>
      </w:tblGrid>
      <w:tr w:rsidRPr="008919A1" w:rsidR="00111B55" w:rsidTr="000D0059" w14:paraId="644EA103" w14:textId="77777777">
        <w:trPr>
          <w:trHeight w:val="516"/>
          <w:jc w:val="center"/>
        </w:trPr>
        <w:tc>
          <w:tcPr>
            <w:tcW w:w="927" w:type="pct"/>
            <w:vAlign w:val="center"/>
            <w:hideMark/>
          </w:tcPr>
          <w:p w:rsidRPr="008919A1" w:rsidR="00111B55" w:rsidP="000D0059" w:rsidRDefault="00111B55" w14:paraId="77EA3E04" w14:textId="77777777">
            <w:pPr>
              <w:jc w:val="center"/>
              <w:rPr>
                <w:rFonts w:ascii="Times New Roman" w:hAnsi="Times New Roman" w:cs="Times New Roman"/>
                <w:b/>
                <w:sz w:val="24"/>
                <w:szCs w:val="24"/>
              </w:rPr>
            </w:pPr>
            <w:r w:rsidRPr="008919A1">
              <w:rPr>
                <w:rFonts w:ascii="Times New Roman" w:hAnsi="Times New Roman" w:cs="Times New Roman"/>
                <w:b/>
                <w:sz w:val="24"/>
                <w:szCs w:val="24"/>
              </w:rPr>
              <w:t>Supplements</w:t>
            </w:r>
          </w:p>
        </w:tc>
        <w:tc>
          <w:tcPr>
            <w:tcW w:w="1130" w:type="pct"/>
            <w:vAlign w:val="center"/>
            <w:hideMark/>
          </w:tcPr>
          <w:p w:rsidRPr="008919A1" w:rsidR="00111B55" w:rsidP="000D0059" w:rsidRDefault="00111B55" w14:paraId="705A292B" w14:textId="77777777">
            <w:pPr>
              <w:jc w:val="center"/>
              <w:rPr>
                <w:rFonts w:ascii="Times New Roman" w:hAnsi="Times New Roman" w:cs="Times New Roman"/>
                <w:b/>
                <w:sz w:val="24"/>
                <w:szCs w:val="24"/>
              </w:rPr>
            </w:pPr>
            <w:r w:rsidRPr="008919A1">
              <w:rPr>
                <w:rFonts w:ascii="Times New Roman" w:hAnsi="Times New Roman" w:cs="Times New Roman"/>
                <w:b/>
                <w:sz w:val="24"/>
                <w:szCs w:val="24"/>
              </w:rPr>
              <w:t>Sources</w:t>
            </w:r>
          </w:p>
        </w:tc>
        <w:tc>
          <w:tcPr>
            <w:tcW w:w="1242" w:type="pct"/>
            <w:vAlign w:val="center"/>
            <w:hideMark/>
          </w:tcPr>
          <w:p w:rsidRPr="008919A1" w:rsidR="00111B55" w:rsidP="000D0059" w:rsidRDefault="00111B55" w14:paraId="4DEA516E" w14:textId="77777777">
            <w:pPr>
              <w:jc w:val="center"/>
              <w:rPr>
                <w:rFonts w:ascii="Times New Roman" w:hAnsi="Times New Roman" w:cs="Times New Roman"/>
                <w:b/>
                <w:sz w:val="24"/>
                <w:szCs w:val="24"/>
              </w:rPr>
            </w:pPr>
            <w:r w:rsidRPr="008919A1">
              <w:rPr>
                <w:rFonts w:ascii="Times New Roman" w:hAnsi="Times New Roman" w:cs="Times New Roman"/>
                <w:b/>
                <w:sz w:val="24"/>
                <w:szCs w:val="24"/>
              </w:rPr>
              <w:t>Active constituents</w:t>
            </w:r>
          </w:p>
        </w:tc>
        <w:tc>
          <w:tcPr>
            <w:tcW w:w="928" w:type="pct"/>
            <w:vAlign w:val="center"/>
          </w:tcPr>
          <w:p w:rsidRPr="008919A1" w:rsidR="00111B55" w:rsidP="000D0059" w:rsidRDefault="00111B55" w14:paraId="3142B7B6" w14:textId="77777777">
            <w:pPr>
              <w:jc w:val="center"/>
              <w:rPr>
                <w:rFonts w:ascii="Times New Roman" w:hAnsi="Times New Roman" w:cs="Times New Roman"/>
                <w:b/>
                <w:sz w:val="24"/>
                <w:szCs w:val="24"/>
              </w:rPr>
            </w:pPr>
            <w:r w:rsidRPr="008919A1">
              <w:rPr>
                <w:rFonts w:ascii="Times New Roman" w:hAnsi="Times New Roman" w:cs="Times New Roman"/>
                <w:b/>
                <w:sz w:val="24"/>
                <w:szCs w:val="24"/>
              </w:rPr>
              <w:t>Clinical Trials</w:t>
            </w:r>
          </w:p>
        </w:tc>
        <w:tc>
          <w:tcPr>
            <w:tcW w:w="773" w:type="pct"/>
            <w:vAlign w:val="center"/>
            <w:hideMark/>
          </w:tcPr>
          <w:p w:rsidRPr="008919A1" w:rsidR="00111B55" w:rsidP="000D0059" w:rsidRDefault="00111B55" w14:paraId="678E9748" w14:textId="77777777">
            <w:pPr>
              <w:jc w:val="center"/>
              <w:rPr>
                <w:rFonts w:ascii="Times New Roman" w:hAnsi="Times New Roman" w:cs="Times New Roman"/>
                <w:b/>
                <w:sz w:val="24"/>
                <w:szCs w:val="24"/>
              </w:rPr>
            </w:pPr>
            <w:r w:rsidRPr="008919A1">
              <w:rPr>
                <w:rFonts w:ascii="Times New Roman" w:hAnsi="Times New Roman" w:cs="Times New Roman"/>
                <w:b/>
                <w:sz w:val="24"/>
                <w:szCs w:val="24"/>
              </w:rPr>
              <w:t>References</w:t>
            </w:r>
          </w:p>
        </w:tc>
      </w:tr>
      <w:tr w:rsidRPr="008919A1" w:rsidR="00111B55" w:rsidTr="000D0059" w14:paraId="56DB5F06" w14:textId="77777777">
        <w:trPr>
          <w:trHeight w:val="886"/>
          <w:jc w:val="center"/>
        </w:trPr>
        <w:tc>
          <w:tcPr>
            <w:tcW w:w="927" w:type="pct"/>
          </w:tcPr>
          <w:p w:rsidRPr="008919A1" w:rsidR="00111B55" w:rsidP="000D0059" w:rsidRDefault="00111B55" w14:paraId="3783D398" w14:textId="77777777">
            <w:pPr>
              <w:jc w:val="both"/>
              <w:rPr>
                <w:rFonts w:ascii="Times New Roman" w:hAnsi="Times New Roman" w:cs="Times New Roman"/>
                <w:sz w:val="24"/>
                <w:szCs w:val="24"/>
              </w:rPr>
            </w:pPr>
            <w:r w:rsidRPr="008919A1">
              <w:rPr>
                <w:rFonts w:ascii="Times New Roman" w:hAnsi="Times New Roman" w:cs="Times New Roman"/>
                <w:sz w:val="24"/>
                <w:szCs w:val="24"/>
              </w:rPr>
              <w:t>N-acetyl cysteine</w:t>
            </w:r>
          </w:p>
          <w:p w:rsidRPr="008919A1" w:rsidR="00111B55" w:rsidP="000D0059" w:rsidRDefault="00111B55" w14:paraId="57595073" w14:textId="77777777">
            <w:pPr>
              <w:jc w:val="both"/>
              <w:rPr>
                <w:rFonts w:ascii="Times New Roman" w:hAnsi="Times New Roman" w:cs="Times New Roman"/>
                <w:sz w:val="24"/>
                <w:szCs w:val="24"/>
              </w:rPr>
            </w:pPr>
          </w:p>
          <w:p w:rsidRPr="008919A1" w:rsidR="00111B55" w:rsidP="000D0059" w:rsidRDefault="00111B55" w14:paraId="18702AA4" w14:textId="77777777">
            <w:pPr>
              <w:jc w:val="both"/>
              <w:rPr>
                <w:rFonts w:ascii="Times New Roman" w:hAnsi="Times New Roman" w:cs="Times New Roman"/>
                <w:sz w:val="24"/>
                <w:szCs w:val="24"/>
              </w:rPr>
            </w:pPr>
          </w:p>
        </w:tc>
        <w:tc>
          <w:tcPr>
            <w:tcW w:w="1130" w:type="pct"/>
            <w:hideMark/>
          </w:tcPr>
          <w:p w:rsidRPr="008919A1" w:rsidR="00111B55" w:rsidP="000D0059" w:rsidRDefault="00111B55" w14:paraId="22208768" w14:textId="77777777">
            <w:pPr>
              <w:jc w:val="both"/>
              <w:rPr>
                <w:rFonts w:ascii="Times New Roman" w:hAnsi="Times New Roman" w:cs="Times New Roman"/>
                <w:sz w:val="24"/>
                <w:szCs w:val="24"/>
              </w:rPr>
            </w:pPr>
            <w:r w:rsidRPr="008919A1">
              <w:rPr>
                <w:rFonts w:ascii="Times New Roman" w:hAnsi="Times New Roman" w:cs="Times New Roman"/>
                <w:sz w:val="24"/>
                <w:szCs w:val="24"/>
              </w:rPr>
              <w:t xml:space="preserve">A derivative of the cysteine amino acid. </w:t>
            </w:r>
          </w:p>
        </w:tc>
        <w:tc>
          <w:tcPr>
            <w:tcW w:w="1242" w:type="pct"/>
            <w:hideMark/>
          </w:tcPr>
          <w:p w:rsidRPr="008919A1" w:rsidR="00111B55" w:rsidP="000D0059" w:rsidRDefault="00111B55" w14:paraId="54F7729A" w14:textId="77777777">
            <w:pPr>
              <w:jc w:val="both"/>
              <w:rPr>
                <w:rFonts w:ascii="Times New Roman" w:hAnsi="Times New Roman" w:cs="Times New Roman"/>
                <w:sz w:val="24"/>
                <w:szCs w:val="24"/>
              </w:rPr>
            </w:pPr>
            <w:r w:rsidRPr="008919A1">
              <w:rPr>
                <w:rFonts w:ascii="Times New Roman" w:hAnsi="Times New Roman" w:cs="Times New Roman"/>
                <w:sz w:val="24"/>
                <w:szCs w:val="24"/>
              </w:rPr>
              <w:t>N-acetyl cysteine</w:t>
            </w:r>
          </w:p>
          <w:p w:rsidRPr="008919A1" w:rsidR="00111B55" w:rsidP="000D0059" w:rsidRDefault="00111B55" w14:paraId="33F46546" w14:textId="77777777">
            <w:pPr>
              <w:jc w:val="both"/>
              <w:rPr>
                <w:rFonts w:ascii="Times New Roman" w:hAnsi="Times New Roman" w:cs="Times New Roman"/>
                <w:sz w:val="24"/>
                <w:szCs w:val="24"/>
              </w:rPr>
            </w:pPr>
          </w:p>
        </w:tc>
        <w:tc>
          <w:tcPr>
            <w:tcW w:w="928" w:type="pct"/>
          </w:tcPr>
          <w:p w:rsidRPr="008919A1" w:rsidR="00111B55" w:rsidP="000D0059" w:rsidRDefault="00111B55" w14:paraId="41DDF46A" w14:textId="77777777">
            <w:pPr>
              <w:jc w:val="both"/>
              <w:rPr>
                <w:rFonts w:ascii="Times New Roman" w:hAnsi="Times New Roman" w:cs="Times New Roman"/>
                <w:sz w:val="24"/>
                <w:szCs w:val="24"/>
              </w:rPr>
            </w:pPr>
            <w:r w:rsidRPr="008919A1">
              <w:rPr>
                <w:rFonts w:ascii="Times New Roman" w:hAnsi="Times New Roman" w:cs="Times New Roman"/>
                <w:sz w:val="24"/>
                <w:szCs w:val="24"/>
              </w:rPr>
              <w:t>NCT04419025</w:t>
            </w:r>
          </w:p>
        </w:tc>
        <w:tc>
          <w:tcPr>
            <w:tcW w:w="773" w:type="pct"/>
            <w:hideMark/>
          </w:tcPr>
          <w:p w:rsidRPr="008919A1" w:rsidR="00111B55" w:rsidP="000D0059" w:rsidRDefault="00111B55" w14:paraId="7AF65302" w14:textId="77777777">
            <w:pPr>
              <w:jc w:val="both"/>
              <w:rPr>
                <w:rFonts w:ascii="Times New Roman" w:hAnsi="Times New Roman" w:cs="Times New Roman"/>
                <w:sz w:val="24"/>
                <w:szCs w:val="24"/>
              </w:rPr>
            </w:pPr>
            <w:r w:rsidRPr="008919A1">
              <w:rPr>
                <w:rFonts w:ascii="Times New Roman" w:hAnsi="Times New Roman" w:cs="Times New Roman"/>
                <w:sz w:val="24"/>
                <w:szCs w:val="24"/>
              </w:rPr>
              <w:fldChar w:fldCharType="begin" w:fldLock="1"/>
            </w:r>
            <w:r w:rsidRPr="008919A1">
              <w:rPr>
                <w:rFonts w:ascii="Times New Roman" w:hAnsi="Times New Roman" w:cs="Times New Roman"/>
                <w:sz w:val="24"/>
                <w:szCs w:val="24"/>
              </w:rPr>
              <w:instrText>ADDIN CSL_CITATION {"citationItems":[{"id":"ITEM-1","itemData":{"DOI":"10.3949/ccjm.87a.ccc046","ISSN":"1939-2869 (Electronic)","PMID":"32513807","abstract":"Several agents intended to supplement dietary intake or endogenous molecules may  have a theoretical role in preventing or treating COVID-19. Because of their potential to influence immune response, ascorbic acid (vitamin C), zinc, vitamin D, and N-acetylcysteine have been hypothesized to be useful for prevention or treatment of COVID-19. The authors outline the biologic plausibility, applicable clinical data, and potential role of each of these agents.","author":[{"dropping-particle":"","family":"Bauer","given":"Seth R","non-dropping-particle":"","parse-names":false,"suffix":""},{"dropping-particle":"","family":"Kapoor","given":"Aanchal","non-dropping-particle":"","parse-names":false,"suffix":""},{"dropping-particle":"","family":"Rath","given":"Mary","non-dropping-particle":"","parse-names":false,"suffix":""},{"dropping-particle":"","family":"Thomas","given":"Suma A","non-dropping-particle":"","parse-names":false,"suffix":""}],"container-title":"Cleveland Clinic journal of medicine","id":"ITEM-1","issued":{"date-parts":[["2020","6"]]},"language":"eng","publisher-place":"United States","title":"What is the role of supplementation with ascorbic acid, zinc, vitamin D, or  N-acetylcysteine for prevention or treatment of COVID-19?","type":"article-journal"},"uris":["http://www.mendeley.com/documents/?uuid=d5fe855b-df4c-49d8-bb38-89a02699dd1a"]},{"id":"ITEM-2","itemData":{"DOI":"https://doi.org/10.1002/advs.202101222","ISSN":"2198-3844","abstract":"Abstract COVID-19 is associated with mitochondrial dysfunction and metabolic abnormalities, including the deficiencies in nicotinamide adenine dinucleotide (NAD+) and glutathione metabolism. Here it is investigated if administration of a mixture of combined metabolic activators (CMAs) consisting of glutathione and NAD+ precursors can restore metabolic function and thus aid the recovery of COVID-19 patients. CMAs include l-serine, N-acetyl-l-cysteine, nicotinamide riboside, and l-carnitine tartrate, salt form of l-carnitine. Placebo-controlled, open-label phase 2 study and double-blinded phase 3 clinical trials are conducted to investigate the time of symptom-free recovery on ambulatory patients using CMAs. The results of both studies show that the time to complete recovery is significantly shorter in the CMA group (6.6 vs 9.3 d) in phase 2 and (5.7 vs 9.2 d) in phase 3 trials compared to placebo group. A comprehensive analysis of the plasma metabolome and proteome reveals major metabolic changes. Plasma levels of proteins and metabolites associated with inflammation and antioxidant metabolism are significantly improved in patients treated with CMAs as compared to placebo. The results show that treating patients infected with COVID-19 with CMAs lead to a more rapid symptom-free recovery, suggesting a role for such a therapeutic regime in the treatment of infections leading to respiratory problems.","author":[{"dropping-particle":"","family":"Altay","given":"Ozlem","non-dropping-particle":"","parse-names":false,"suffix":""},{"dropping-particle":"","family":"Arif","given":"Muhammad","non-dropping-particle":"","parse-names":false,"suffix":""},{"dropping-particle":"","family":"Li","given":"Xiangyu","non-dropping-particle":"","parse-names":false,"suffix":""},{"dropping-particle":"","family":"Yang","given":"Hong","non-dropping-particle":"","parse-names":false,"suffix":""},{"dropping-particle":"","family":"Aydın","given":"Mehtap","non-dropping-particle":"","parse-names":false,"suffix":""},{"dropping-particle":"","family":"Alkurt","given":"Gizem","non-dropping-particle":"","parse-names":false,"suffix":""},{"dropping-particle":"","family":"Kim","given":"Woonghee","non-dropping-particle":"","parse-names":false,"suffix":""},{"dropping-particle":"","family":"Akyol","given":"Dogukan","non-dropping-particle":"","parse-names":false,"suffix":""},{"dropping-particle":"","family":"Zhang","given":"Cheng","non-dropping-particle":"","parse-names":false,"suffix":""},{"dropping-particle":"","family":"Dinler-Doganay","given":"Gizem","non-dropping-particle":"","parse-names":false,"suffix":""},{"dropping-particle":"","family":"Turkez","given":"Hasan","non-dropping-particle":"","parse-names":false,"suffix":""},{"dropping-particle":"","family":"Shoaie","given":"Saeed","non-dropping-particle":"","parse-names":false,"suffix":""},{"dropping-particle":"","family":"Nielsen","given":"Jens","non-dropping-particle":"","parse-names":false,"suffix":""},{"dropping-particle":"","family":"Borén","given":"Jan","non-dropping-particle":"","parse-names":false,"suffix":""},{"dropping-particle":"","family":"Olmuscelik","given":"Oktay","non-dropping-particle":"","parse-names":false,"suffix":""},{"dropping-particle":"","family":"Doganay","given":"Levent","non-dropping-particle":"","parse-names":false,"suffix":""},{"dropping-particle":"","family":"Uhlén","given":"Mathias","non-dropping-particle":"","parse-names":false,"suffix":""},{"dropping-particle":"","family":"Mardinoglu","given":"Adil","non-dropping-particle":"","parse-names":false,"suffix":""}],"container-title":"Advanced Science","id":"ITEM-2","issue":"17","issued":{"date-parts":[["2021","9","1"]]},"note":"https://doi.org/10.1002/advs.202101222","page":"2101222","publisher":"John Wiley &amp; Sons, Ltd","title":"Combined Metabolic Activators Accelerates Recovery in Mild-to-Moderate COVID-19","type":"article-journal","volume":"8"},"uris":["http://www.mendeley.com/documents/?uuid=a526af31-7205-4c95-9fcc-e6365b972da6"]}],"mendeley":{"formattedCitation":"[190,191]","plainTextFormattedCitation":"[190,191]","previouslyFormattedCitation":"[187,188]"},"properties":{"noteIndex":0},"schema":"https://github.com/citation-style-language/schema/raw/master/csl-citation.json"}</w:instrText>
            </w:r>
            <w:r w:rsidRPr="008919A1">
              <w:rPr>
                <w:rFonts w:ascii="Times New Roman" w:hAnsi="Times New Roman" w:cs="Times New Roman"/>
                <w:sz w:val="24"/>
                <w:szCs w:val="24"/>
              </w:rPr>
              <w:fldChar w:fldCharType="separate"/>
            </w:r>
            <w:r w:rsidRPr="008919A1">
              <w:rPr>
                <w:rFonts w:ascii="Times New Roman" w:hAnsi="Times New Roman" w:cs="Times New Roman"/>
                <w:sz w:val="24"/>
                <w:szCs w:val="24"/>
              </w:rPr>
              <w:t>[190,191]</w:t>
            </w:r>
            <w:r w:rsidRPr="008919A1">
              <w:rPr>
                <w:rFonts w:ascii="Times New Roman" w:hAnsi="Times New Roman" w:cs="Times New Roman"/>
                <w:sz w:val="24"/>
                <w:szCs w:val="24"/>
              </w:rPr>
              <w:fldChar w:fldCharType="end"/>
            </w:r>
          </w:p>
        </w:tc>
      </w:tr>
      <w:tr w:rsidRPr="008919A1" w:rsidR="00111B55" w:rsidTr="000D0059" w14:paraId="37EDC7B1" w14:textId="77777777">
        <w:trPr>
          <w:trHeight w:val="886"/>
          <w:jc w:val="center"/>
        </w:trPr>
        <w:tc>
          <w:tcPr>
            <w:tcW w:w="927" w:type="pct"/>
          </w:tcPr>
          <w:p w:rsidRPr="008919A1" w:rsidR="00111B55" w:rsidP="000D0059" w:rsidRDefault="00111B55" w14:paraId="38D94737" w14:textId="77777777">
            <w:pPr>
              <w:jc w:val="both"/>
              <w:rPr>
                <w:rFonts w:ascii="Times New Roman" w:hAnsi="Times New Roman" w:cs="Times New Roman"/>
                <w:sz w:val="24"/>
                <w:szCs w:val="24"/>
              </w:rPr>
            </w:pPr>
            <w:r w:rsidRPr="008919A1">
              <w:rPr>
                <w:rFonts w:ascii="Times New Roman" w:hAnsi="Times New Roman" w:cs="Times New Roman"/>
                <w:sz w:val="24"/>
                <w:szCs w:val="24"/>
              </w:rPr>
              <w:t>L-Glutamine</w:t>
            </w:r>
          </w:p>
        </w:tc>
        <w:tc>
          <w:tcPr>
            <w:tcW w:w="1130" w:type="pct"/>
          </w:tcPr>
          <w:p w:rsidRPr="008919A1" w:rsidR="00111B55" w:rsidP="000D0059" w:rsidRDefault="00111B55" w14:paraId="028DE140" w14:textId="77777777">
            <w:pPr>
              <w:jc w:val="both"/>
              <w:rPr>
                <w:rFonts w:ascii="Times New Roman" w:hAnsi="Times New Roman" w:cs="Times New Roman"/>
                <w:sz w:val="24"/>
                <w:szCs w:val="24"/>
              </w:rPr>
            </w:pPr>
            <w:r w:rsidRPr="008919A1">
              <w:rPr>
                <w:rFonts w:ascii="Times New Roman" w:hAnsi="Times New Roman" w:cs="Times New Roman"/>
                <w:sz w:val="24"/>
                <w:szCs w:val="24"/>
              </w:rPr>
              <w:t>Cruciferous vegetables, or the sulfur-rich foods, like garlic or onion.</w:t>
            </w:r>
          </w:p>
        </w:tc>
        <w:tc>
          <w:tcPr>
            <w:tcW w:w="1242" w:type="pct"/>
          </w:tcPr>
          <w:p w:rsidRPr="008919A1" w:rsidR="00111B55" w:rsidP="000D0059" w:rsidRDefault="00111B55" w14:paraId="180706AE" w14:textId="77777777">
            <w:pPr>
              <w:jc w:val="both"/>
              <w:rPr>
                <w:rFonts w:ascii="Times New Roman" w:hAnsi="Times New Roman" w:cs="Times New Roman"/>
                <w:sz w:val="24"/>
                <w:szCs w:val="24"/>
              </w:rPr>
            </w:pPr>
            <w:r w:rsidRPr="008919A1">
              <w:rPr>
                <w:rFonts w:ascii="Times New Roman" w:hAnsi="Times New Roman" w:cs="Times New Roman"/>
                <w:sz w:val="24"/>
                <w:szCs w:val="24"/>
              </w:rPr>
              <w:t>L-Glutamine</w:t>
            </w:r>
          </w:p>
        </w:tc>
        <w:tc>
          <w:tcPr>
            <w:tcW w:w="928" w:type="pct"/>
          </w:tcPr>
          <w:p w:rsidRPr="008919A1" w:rsidR="00111B55" w:rsidP="000D0059" w:rsidRDefault="00111B55" w14:paraId="6097FE0E" w14:textId="77777777">
            <w:pPr>
              <w:jc w:val="both"/>
              <w:rPr>
                <w:rFonts w:ascii="Times New Roman" w:hAnsi="Times New Roman" w:cs="Times New Roman"/>
                <w:sz w:val="24"/>
                <w:szCs w:val="24"/>
              </w:rPr>
            </w:pPr>
            <w:r w:rsidRPr="008919A1">
              <w:rPr>
                <w:rFonts w:ascii="Times New Roman" w:hAnsi="Times New Roman" w:cs="Times New Roman"/>
                <w:sz w:val="24"/>
                <w:szCs w:val="24"/>
              </w:rPr>
              <w:t>NCT04909905</w:t>
            </w:r>
          </w:p>
        </w:tc>
        <w:tc>
          <w:tcPr>
            <w:tcW w:w="773" w:type="pct"/>
          </w:tcPr>
          <w:p w:rsidRPr="008919A1" w:rsidR="00111B55" w:rsidP="000D0059" w:rsidRDefault="00111B55" w14:paraId="41FA3C72" w14:textId="77777777">
            <w:pPr>
              <w:jc w:val="both"/>
              <w:rPr>
                <w:rFonts w:ascii="Times New Roman" w:hAnsi="Times New Roman" w:cs="Times New Roman"/>
                <w:sz w:val="24"/>
                <w:szCs w:val="24"/>
              </w:rPr>
            </w:pPr>
            <w:r w:rsidRPr="008919A1">
              <w:rPr>
                <w:rFonts w:ascii="Times New Roman" w:hAnsi="Times New Roman" w:cs="Times New Roman"/>
                <w:sz w:val="24"/>
                <w:szCs w:val="24"/>
              </w:rPr>
              <w:fldChar w:fldCharType="begin" w:fldLock="1"/>
            </w:r>
            <w:r w:rsidRPr="008919A1">
              <w:rPr>
                <w:rFonts w:ascii="Times New Roman" w:hAnsi="Times New Roman" w:cs="Times New Roman"/>
                <w:sz w:val="24"/>
                <w:szCs w:val="24"/>
              </w:rPr>
              <w:instrText>ADDIN CSL_CITATION {"citationItems":[{"id":"ITEM-1","itemData":{"DOI":"Doi.org/10.23937/2474-3658/1510187,","author":[{"dropping-particle":"","family":"Obayan AE","given":"","non-dropping-particle":"","parse-names":false,"suffix":""}],"container-title":"J Infect Dis Epidemiol","id":"ITEM-1","issued":{"date-parts":[["2021"]]},"title":"Overview of the Rationale for L-Glutamine Treatment in Moderate-Severe COVID-19","type":"article-journal"},"uris":["http://www.mendeley.com/documents/?uuid=b927104c-35e6-47ad-8d53-6d0ce5a3d1ff"]}],"mendeley":{"formattedCitation":"[192]","plainTextFormattedCitation":"[192]","previouslyFormattedCitation":"[189]"},"properties":{"noteIndex":0},"schema":"https://github.com/citation-style-language/schema/raw/master/csl-citation.json"}</w:instrText>
            </w:r>
            <w:r w:rsidRPr="008919A1">
              <w:rPr>
                <w:rFonts w:ascii="Times New Roman" w:hAnsi="Times New Roman" w:cs="Times New Roman"/>
                <w:sz w:val="24"/>
                <w:szCs w:val="24"/>
              </w:rPr>
              <w:fldChar w:fldCharType="separate"/>
            </w:r>
            <w:r w:rsidRPr="008919A1">
              <w:rPr>
                <w:rFonts w:ascii="Times New Roman" w:hAnsi="Times New Roman" w:cs="Times New Roman"/>
                <w:sz w:val="24"/>
                <w:szCs w:val="24"/>
              </w:rPr>
              <w:t>[192]</w:t>
            </w:r>
            <w:r w:rsidRPr="008919A1">
              <w:rPr>
                <w:rFonts w:ascii="Times New Roman" w:hAnsi="Times New Roman" w:cs="Times New Roman"/>
                <w:sz w:val="24"/>
                <w:szCs w:val="24"/>
              </w:rPr>
              <w:fldChar w:fldCharType="end"/>
            </w:r>
          </w:p>
        </w:tc>
      </w:tr>
      <w:tr w:rsidRPr="008919A1" w:rsidR="00111B55" w:rsidTr="000D0059" w14:paraId="2E68BB3C" w14:textId="77777777">
        <w:trPr>
          <w:trHeight w:val="886"/>
          <w:jc w:val="center"/>
        </w:trPr>
        <w:tc>
          <w:tcPr>
            <w:tcW w:w="927" w:type="pct"/>
          </w:tcPr>
          <w:p w:rsidRPr="008919A1" w:rsidR="00111B55" w:rsidP="000D0059" w:rsidRDefault="00111B55" w14:paraId="3812A8D1" w14:textId="77777777">
            <w:pPr>
              <w:jc w:val="both"/>
              <w:rPr>
                <w:rFonts w:ascii="Times New Roman" w:hAnsi="Times New Roman" w:cs="Times New Roman"/>
                <w:sz w:val="24"/>
                <w:szCs w:val="24"/>
              </w:rPr>
            </w:pPr>
            <w:r w:rsidRPr="008919A1">
              <w:rPr>
                <w:rFonts w:ascii="Times New Roman" w:hAnsi="Times New Roman" w:cs="Times New Roman"/>
                <w:sz w:val="24"/>
                <w:szCs w:val="24"/>
              </w:rPr>
              <w:t>Combined metabolic activators (CMAs)</w:t>
            </w:r>
          </w:p>
        </w:tc>
        <w:tc>
          <w:tcPr>
            <w:tcW w:w="1130" w:type="pct"/>
          </w:tcPr>
          <w:p w:rsidRPr="008919A1" w:rsidR="00111B55" w:rsidP="000D0059" w:rsidRDefault="00111B55" w14:paraId="3EE339C2" w14:textId="77777777">
            <w:pPr>
              <w:jc w:val="both"/>
              <w:rPr>
                <w:rFonts w:ascii="Times New Roman" w:hAnsi="Times New Roman" w:cs="Times New Roman"/>
                <w:sz w:val="24"/>
                <w:szCs w:val="24"/>
              </w:rPr>
            </w:pPr>
            <w:r w:rsidRPr="008919A1">
              <w:rPr>
                <w:rFonts w:ascii="Times New Roman" w:hAnsi="Times New Roman" w:cs="Times New Roman"/>
                <w:sz w:val="24"/>
                <w:szCs w:val="24"/>
              </w:rPr>
              <w:t>Glutathione and NAD+ precursors</w:t>
            </w:r>
          </w:p>
        </w:tc>
        <w:tc>
          <w:tcPr>
            <w:tcW w:w="1242" w:type="pct"/>
          </w:tcPr>
          <w:p w:rsidRPr="008919A1" w:rsidR="00111B55" w:rsidP="000D0059" w:rsidRDefault="00111B55" w14:paraId="2E2BAD88" w14:textId="77777777">
            <w:pPr>
              <w:jc w:val="both"/>
              <w:rPr>
                <w:rFonts w:ascii="Times New Roman" w:hAnsi="Times New Roman" w:cs="Times New Roman"/>
                <w:sz w:val="24"/>
                <w:szCs w:val="24"/>
              </w:rPr>
            </w:pPr>
            <w:r w:rsidRPr="008919A1">
              <w:rPr>
                <w:rFonts w:ascii="Times New Roman" w:hAnsi="Times New Roman" w:cs="Times New Roman"/>
                <w:sz w:val="24"/>
                <w:szCs w:val="24"/>
              </w:rPr>
              <w:t>L-serine, N-acetyl-l-cysteine, nicotinamide riboside, and l-carnitine tartrate, salt form of l-carnitine</w:t>
            </w:r>
          </w:p>
        </w:tc>
        <w:tc>
          <w:tcPr>
            <w:tcW w:w="928" w:type="pct"/>
          </w:tcPr>
          <w:p w:rsidRPr="008919A1" w:rsidR="00111B55" w:rsidP="000D0059" w:rsidRDefault="00111B55" w14:paraId="5CACFD04" w14:textId="77777777">
            <w:pPr>
              <w:jc w:val="both"/>
              <w:rPr>
                <w:rFonts w:ascii="Times New Roman" w:hAnsi="Times New Roman" w:cs="Times New Roman"/>
                <w:sz w:val="24"/>
                <w:szCs w:val="24"/>
              </w:rPr>
            </w:pPr>
            <w:r w:rsidRPr="008919A1">
              <w:rPr>
                <w:rFonts w:ascii="Times New Roman" w:hAnsi="Times New Roman" w:cs="Times New Roman"/>
                <w:sz w:val="24"/>
                <w:szCs w:val="24"/>
              </w:rPr>
              <w:t>Open‐label phase‐2 and double‐blinded phase‐3 clinical trials</w:t>
            </w:r>
          </w:p>
        </w:tc>
        <w:tc>
          <w:tcPr>
            <w:tcW w:w="773" w:type="pct"/>
          </w:tcPr>
          <w:p w:rsidRPr="008919A1" w:rsidR="00111B55" w:rsidP="000D0059" w:rsidRDefault="00111B55" w14:paraId="73736EA6" w14:textId="77777777">
            <w:pPr>
              <w:jc w:val="both"/>
              <w:rPr>
                <w:rFonts w:ascii="Times New Roman" w:hAnsi="Times New Roman" w:cs="Times New Roman"/>
                <w:sz w:val="24"/>
                <w:szCs w:val="24"/>
              </w:rPr>
            </w:pPr>
            <w:r w:rsidRPr="008919A1">
              <w:rPr>
                <w:rFonts w:ascii="Times New Roman" w:hAnsi="Times New Roman" w:cs="Times New Roman"/>
                <w:sz w:val="24"/>
                <w:szCs w:val="24"/>
              </w:rPr>
              <w:fldChar w:fldCharType="begin" w:fldLock="1"/>
            </w:r>
            <w:r w:rsidRPr="008919A1">
              <w:rPr>
                <w:rFonts w:ascii="Times New Roman" w:hAnsi="Times New Roman" w:cs="Times New Roman"/>
                <w:sz w:val="24"/>
                <w:szCs w:val="24"/>
              </w:rPr>
              <w:instrText>ADDIN CSL_CITATION {"citationItems":[{"id":"ITEM-1","itemData":{"DOI":"https://doi.org/10.1002/advs.202101222","ISSN":"2198-3844","abstract":"Abstract COVID-19 is associated with mitochondrial dysfunction and metabolic abnormalities, including the deficiencies in nicotinamide adenine dinucleotide (NAD+) and glutathione metabolism. Here it is investigated if administration of a mixture of combined metabolic activators (CMAs) consisting of glutathione and NAD+ precursors can restore metabolic function and thus aid the recovery of COVID-19 patients. CMAs include l-serine, N-acetyl-l-cysteine, nicotinamide riboside, and l-carnitine tartrate, salt form of l-carnitine. Placebo-controlled, open-label phase 2 study and double-blinded phase 3 clinical trials are conducted to investigate the time of symptom-free recovery on ambulatory patients using CMAs. The results of both studies show that the time to complete recovery is significantly shorter in the CMA group (6.6 vs 9.3 d) in phase 2 and (5.7 vs 9.2 d) in phase 3 trials compared to placebo group. A comprehensive analysis of the plasma metabolome and proteome reveals major metabolic changes. Plasma levels of proteins and metabolites associated with inflammation and antioxidant metabolism are significantly improved in patients treated with CMAs as compared to placebo. The results show that treating patients infected with COVID-19 with CMAs lead to a more rapid symptom-free recovery, suggesting a role for such a therapeutic regime in the treatment of infections leading to respiratory problems.","author":[{"dropping-particle":"","family":"Altay","given":"Ozlem","non-dropping-particle":"","parse-names":false,"suffix":""},{"dropping-particle":"","family":"Arif","given":"Muhammad","non-dropping-particle":"","parse-names":false,"suffix":""},{"dropping-particle":"","family":"Li","given":"Xiangyu","non-dropping-particle":"","parse-names":false,"suffix":""},{"dropping-particle":"","family":"Yang","given":"Hong","non-dropping-particle":"","parse-names":false,"suffix":""},{"dropping-particle":"","family":"Aydın","given":"Mehtap","non-dropping-particle":"","parse-names":false,"suffix":""},{"dropping-particle":"","family":"Alkurt","given":"Gizem","non-dropping-particle":"","parse-names":false,"suffix":""},{"dropping-particle":"","family":"Kim","given":"Woonghee","non-dropping-particle":"","parse-names":false,"suffix":""},{"dropping-particle":"","family":"Akyol","given":"Dogukan","non-dropping-particle":"","parse-names":false,"suffix":""},{"dropping-particle":"","family":"Zhang","given":"Cheng","non-dropping-particle":"","parse-names":false,"suffix":""},{"dropping-particle":"","family":"Dinler-Doganay","given":"Gizem","non-dropping-particle":"","parse-names":false,"suffix":""},{"dropping-particle":"","family":"Turkez","given":"Hasan","non-dropping-particle":"","parse-names":false,"suffix":""},{"dropping-particle":"","family":"Shoaie","given":"Saeed","non-dropping-particle":"","parse-names":false,"suffix":""},{"dropping-particle":"","family":"Nielsen","given":"Jens","non-dropping-particle":"","parse-names":false,"suffix":""},{"dropping-particle":"","family":"Borén","given":"Jan","non-dropping-particle":"","parse-names":false,"suffix":""},{"dropping-particle":"","family":"Olmuscelik","given":"Oktay","non-dropping-particle":"","parse-names":false,"suffix":""},{"dropping-particle":"","family":"Doganay","given":"Levent","non-dropping-particle":"","parse-names":false,"suffix":""},{"dropping-particle":"","family":"Uhlén","given":"Mathias","non-dropping-particle":"","parse-names":false,"suffix":""},{"dropping-particle":"","family":"Mardinoglu","given":"Adil","non-dropping-particle":"","parse-names":false,"suffix":""}],"container-title":"Advanced Science","id":"ITEM-1","issue":"17","issued":{"date-parts":[["2021","9","1"]]},"note":"https://doi.org/10.1002/advs.202101222","page":"2101222","publisher":"John Wiley &amp; Sons, Ltd","title":"Combined Metabolic Activators Accelerates Recovery in Mild-to-Moderate COVID-19","type":"article-journal","volume":"8"},"uris":["http://www.mendeley.com/documents/?uuid=a526af31-7205-4c95-9fcc-e6365b972da6"]}],"mendeley":{"formattedCitation":"[191]","plainTextFormattedCitation":"[191]","previouslyFormattedCitation":"[188]"},"properties":{"noteIndex":0},"schema":"https://github.com/citation-style-language/schema/raw/master/csl-citation.json"}</w:instrText>
            </w:r>
            <w:r w:rsidRPr="008919A1">
              <w:rPr>
                <w:rFonts w:ascii="Times New Roman" w:hAnsi="Times New Roman" w:cs="Times New Roman"/>
                <w:sz w:val="24"/>
                <w:szCs w:val="24"/>
              </w:rPr>
              <w:fldChar w:fldCharType="separate"/>
            </w:r>
            <w:r w:rsidRPr="008919A1">
              <w:rPr>
                <w:rFonts w:ascii="Times New Roman" w:hAnsi="Times New Roman" w:cs="Times New Roman"/>
                <w:sz w:val="24"/>
                <w:szCs w:val="24"/>
              </w:rPr>
              <w:t>[191]</w:t>
            </w:r>
            <w:r w:rsidRPr="008919A1">
              <w:rPr>
                <w:rFonts w:ascii="Times New Roman" w:hAnsi="Times New Roman" w:cs="Times New Roman"/>
                <w:sz w:val="24"/>
                <w:szCs w:val="24"/>
              </w:rPr>
              <w:fldChar w:fldCharType="end"/>
            </w:r>
          </w:p>
        </w:tc>
      </w:tr>
      <w:tr w:rsidRPr="008919A1" w:rsidR="00111B55" w:rsidTr="000D0059" w14:paraId="352C59F7" w14:textId="77777777">
        <w:trPr>
          <w:trHeight w:val="886"/>
          <w:jc w:val="center"/>
        </w:trPr>
        <w:tc>
          <w:tcPr>
            <w:tcW w:w="927" w:type="pct"/>
          </w:tcPr>
          <w:p w:rsidRPr="008919A1" w:rsidR="00111B55" w:rsidP="000D0059" w:rsidRDefault="00111B55" w14:paraId="02E3BA0D" w14:textId="77777777">
            <w:pPr>
              <w:jc w:val="both"/>
              <w:rPr>
                <w:rFonts w:ascii="Times New Roman" w:hAnsi="Times New Roman" w:cs="Times New Roman"/>
                <w:sz w:val="24"/>
                <w:szCs w:val="24"/>
              </w:rPr>
            </w:pPr>
            <w:r w:rsidRPr="008919A1">
              <w:rPr>
                <w:rFonts w:ascii="Times New Roman" w:hAnsi="Times New Roman" w:cs="Times New Roman"/>
                <w:sz w:val="24"/>
                <w:szCs w:val="24"/>
              </w:rPr>
              <w:t>Vitamin C</w:t>
            </w:r>
          </w:p>
          <w:p w:rsidRPr="008919A1" w:rsidR="00111B55" w:rsidP="000D0059" w:rsidRDefault="00111B55" w14:paraId="7565429C" w14:textId="77777777">
            <w:pPr>
              <w:jc w:val="both"/>
              <w:rPr>
                <w:rFonts w:ascii="Times New Roman" w:hAnsi="Times New Roman" w:cs="Times New Roman"/>
                <w:sz w:val="24"/>
                <w:szCs w:val="24"/>
              </w:rPr>
            </w:pPr>
          </w:p>
        </w:tc>
        <w:tc>
          <w:tcPr>
            <w:tcW w:w="1130" w:type="pct"/>
            <w:hideMark/>
          </w:tcPr>
          <w:p w:rsidRPr="008919A1" w:rsidR="00111B55" w:rsidP="000D0059" w:rsidRDefault="00111B55" w14:paraId="48B95C3A" w14:textId="77777777">
            <w:pPr>
              <w:rPr>
                <w:rFonts w:ascii="Times New Roman" w:hAnsi="Times New Roman" w:cs="Times New Roman"/>
                <w:sz w:val="24"/>
                <w:szCs w:val="24"/>
              </w:rPr>
            </w:pPr>
            <w:r w:rsidRPr="008919A1">
              <w:rPr>
                <w:rFonts w:ascii="Times New Roman" w:hAnsi="Times New Roman" w:cs="Times New Roman"/>
                <w:sz w:val="24"/>
                <w:szCs w:val="24"/>
              </w:rPr>
              <w:t>Derived from fruits and vegetables of the citrus family, and includes tomatoes, potatoes, peppers, kiwifruit, broccoli, strawberries, and cantaloupe.</w:t>
            </w:r>
          </w:p>
        </w:tc>
        <w:tc>
          <w:tcPr>
            <w:tcW w:w="1242" w:type="pct"/>
            <w:hideMark/>
          </w:tcPr>
          <w:p w:rsidRPr="008919A1" w:rsidR="00111B55" w:rsidP="000D0059" w:rsidRDefault="00111B55" w14:paraId="0A13E9BA" w14:textId="77777777">
            <w:pPr>
              <w:jc w:val="both"/>
              <w:rPr>
                <w:rFonts w:ascii="Times New Roman" w:hAnsi="Times New Roman" w:cs="Times New Roman"/>
                <w:sz w:val="24"/>
                <w:szCs w:val="24"/>
              </w:rPr>
            </w:pPr>
            <w:r w:rsidRPr="008919A1">
              <w:rPr>
                <w:rFonts w:ascii="Times New Roman" w:hAnsi="Times New Roman" w:cs="Times New Roman"/>
                <w:sz w:val="24"/>
                <w:szCs w:val="24"/>
              </w:rPr>
              <w:t xml:space="preserve">Ascorbic acid </w:t>
            </w:r>
          </w:p>
          <w:p w:rsidRPr="008919A1" w:rsidR="00111B55" w:rsidP="000D0059" w:rsidRDefault="00111B55" w14:paraId="38FA3114" w14:textId="77777777">
            <w:pPr>
              <w:jc w:val="both"/>
              <w:rPr>
                <w:rFonts w:ascii="Times New Roman" w:hAnsi="Times New Roman" w:cs="Times New Roman"/>
                <w:sz w:val="24"/>
                <w:szCs w:val="24"/>
              </w:rPr>
            </w:pPr>
            <w:r w:rsidRPr="008919A1">
              <w:rPr>
                <w:rFonts w:ascii="Times New Roman" w:hAnsi="Times New Roman" w:cs="Times New Roman"/>
                <w:sz w:val="24"/>
                <w:szCs w:val="24"/>
              </w:rPr>
              <w:t>Citric acid</w:t>
            </w:r>
          </w:p>
        </w:tc>
        <w:tc>
          <w:tcPr>
            <w:tcW w:w="928" w:type="pct"/>
          </w:tcPr>
          <w:p w:rsidRPr="008919A1" w:rsidR="00111B55" w:rsidP="000D0059" w:rsidRDefault="00111B55" w14:paraId="7139A20E" w14:textId="77777777">
            <w:pPr>
              <w:jc w:val="both"/>
              <w:rPr>
                <w:rFonts w:ascii="Times New Roman" w:hAnsi="Times New Roman" w:cs="Times New Roman"/>
                <w:sz w:val="24"/>
                <w:szCs w:val="24"/>
              </w:rPr>
            </w:pPr>
            <w:r w:rsidRPr="008919A1">
              <w:rPr>
                <w:rFonts w:ascii="Times New Roman" w:hAnsi="Times New Roman" w:cs="Times New Roman"/>
                <w:sz w:val="24"/>
                <w:szCs w:val="24"/>
              </w:rPr>
              <w:t>NCT04530539,</w:t>
            </w:r>
          </w:p>
          <w:p w:rsidRPr="008919A1" w:rsidR="00111B55" w:rsidP="000D0059" w:rsidRDefault="00111B55" w14:paraId="4B0AF277" w14:textId="77777777">
            <w:pPr>
              <w:jc w:val="both"/>
              <w:rPr>
                <w:rFonts w:ascii="Times New Roman" w:hAnsi="Times New Roman" w:cs="Times New Roman"/>
                <w:sz w:val="24"/>
                <w:szCs w:val="24"/>
              </w:rPr>
            </w:pPr>
            <w:r w:rsidRPr="008919A1">
              <w:rPr>
                <w:rFonts w:ascii="Times New Roman" w:hAnsi="Times New Roman" w:cs="Times New Roman"/>
                <w:sz w:val="24"/>
                <w:szCs w:val="24"/>
              </w:rPr>
              <w:t>NCT04357782,</w:t>
            </w:r>
          </w:p>
          <w:p w:rsidRPr="008919A1" w:rsidR="00111B55" w:rsidP="000D0059" w:rsidRDefault="00111B55" w14:paraId="7E0490F9" w14:textId="77777777">
            <w:pPr>
              <w:jc w:val="both"/>
              <w:rPr>
                <w:rFonts w:ascii="Times New Roman" w:hAnsi="Times New Roman" w:cs="Times New Roman"/>
                <w:sz w:val="24"/>
                <w:szCs w:val="24"/>
              </w:rPr>
            </w:pPr>
            <w:r w:rsidRPr="008919A1">
              <w:rPr>
                <w:rFonts w:ascii="Times New Roman" w:hAnsi="Times New Roman" w:cs="Times New Roman"/>
                <w:sz w:val="24"/>
                <w:szCs w:val="24"/>
              </w:rPr>
              <w:t>NCT04664010</w:t>
            </w:r>
          </w:p>
        </w:tc>
        <w:tc>
          <w:tcPr>
            <w:tcW w:w="773" w:type="pct"/>
            <w:hideMark/>
          </w:tcPr>
          <w:p w:rsidRPr="008919A1" w:rsidR="00111B55" w:rsidP="000D0059" w:rsidRDefault="00111B55" w14:paraId="103AA72E" w14:textId="77777777">
            <w:pPr>
              <w:jc w:val="both"/>
              <w:rPr>
                <w:rFonts w:ascii="Times New Roman" w:hAnsi="Times New Roman" w:cs="Times New Roman"/>
                <w:sz w:val="24"/>
                <w:szCs w:val="24"/>
              </w:rPr>
            </w:pPr>
            <w:r w:rsidRPr="008919A1">
              <w:rPr>
                <w:rFonts w:ascii="Times New Roman" w:hAnsi="Times New Roman" w:cs="Times New Roman"/>
                <w:sz w:val="24"/>
                <w:szCs w:val="24"/>
              </w:rPr>
              <w:fldChar w:fldCharType="begin" w:fldLock="1"/>
            </w:r>
            <w:r w:rsidRPr="008919A1">
              <w:rPr>
                <w:rFonts w:ascii="Times New Roman" w:hAnsi="Times New Roman" w:cs="Times New Roman"/>
                <w:sz w:val="24"/>
                <w:szCs w:val="24"/>
              </w:rPr>
              <w:instrText>ADDIN CSL_CITATION {"citationItems":[{"id":"ITEM-1","itemData":{"ISBN":"2296-858X","abstract":"In numerous animal studies, vitamin C has prevented and alleviated viral and bacterial infections. In a few dozen placebo-controlled trials with humans, vitamin C has shortened infections caused by respiratory viruses, which indicates that the vitamin can also influence viral infections in humans. In critically ill patients, plasma vitamin C levels are commonly very low. Gram doses of vitamin C are needed to increase the plasma vitamin C levels of critically ill patients to the levels of ordinary healthy people. A meta-analysis of 12 trials with 1,766 patients calculated that vitamin C reduced the length of ICU stay on average by 8%. Another meta-analysis found that vitamin C shortened the duration of mechanical ventilation in ICU patients. Two randomized placebo-controlled trials found statistically significant reduction in the mortality of sepsis patients. The effects of vitamin C on acute respiratory distress syndrome (ARDS) frequently complicating COVID-19 pneumonia should be considered. Vitamin C is a safe and inexpensive essential nutrient.","author":[{"dropping-particle":"","family":"Hemilä","given":"Harri","non-dropping-particle":"","parse-names":false,"suffix":""},{"dropping-particle":"","family":"Man","given":"Angelique M E","non-dropping-particle":"de","parse-names":false,"suffix":""}],"container-title":"Frontiers in Medicine  ","id":"ITEM-1","issued":{"date-parts":[["2021"]]},"page":"1013","title":"Vitamin C and COVID-19   ","type":"article","volume":"7      "},"uris":["http://www.mendeley.com/documents/?uuid=26ac504d-3ade-44b8-b24f-ab352dbb9cdd"]}],"mendeley":{"formattedCitation":"[193]","plainTextFormattedCitation":"[193]","previouslyFormattedCitation":"[190]"},"properties":{"noteIndex":0},"schema":"https://github.com/citation-style-language/schema/raw/master/csl-citation.json"}</w:instrText>
            </w:r>
            <w:r w:rsidRPr="008919A1">
              <w:rPr>
                <w:rFonts w:ascii="Times New Roman" w:hAnsi="Times New Roman" w:cs="Times New Roman"/>
                <w:sz w:val="24"/>
                <w:szCs w:val="24"/>
              </w:rPr>
              <w:fldChar w:fldCharType="separate"/>
            </w:r>
            <w:r w:rsidRPr="008919A1">
              <w:rPr>
                <w:rFonts w:ascii="Times New Roman" w:hAnsi="Times New Roman" w:cs="Times New Roman"/>
                <w:sz w:val="24"/>
                <w:szCs w:val="24"/>
              </w:rPr>
              <w:t>[193]</w:t>
            </w:r>
            <w:r w:rsidRPr="008919A1">
              <w:rPr>
                <w:rFonts w:ascii="Times New Roman" w:hAnsi="Times New Roman" w:cs="Times New Roman"/>
                <w:sz w:val="24"/>
                <w:szCs w:val="24"/>
              </w:rPr>
              <w:fldChar w:fldCharType="end"/>
            </w:r>
          </w:p>
        </w:tc>
      </w:tr>
      <w:tr w:rsidRPr="008919A1" w:rsidR="00111B55" w:rsidTr="000D0059" w14:paraId="1567B599" w14:textId="77777777">
        <w:trPr>
          <w:trHeight w:val="886"/>
          <w:jc w:val="center"/>
        </w:trPr>
        <w:tc>
          <w:tcPr>
            <w:tcW w:w="927" w:type="pct"/>
            <w:hideMark/>
          </w:tcPr>
          <w:p w:rsidRPr="008919A1" w:rsidR="00111B55" w:rsidP="000D0059" w:rsidRDefault="00111B55" w14:paraId="018432CC" w14:textId="77777777">
            <w:pPr>
              <w:jc w:val="both"/>
              <w:rPr>
                <w:rFonts w:ascii="Times New Roman" w:hAnsi="Times New Roman" w:cs="Times New Roman"/>
                <w:sz w:val="24"/>
                <w:szCs w:val="24"/>
              </w:rPr>
            </w:pPr>
            <w:r w:rsidRPr="008919A1">
              <w:rPr>
                <w:rFonts w:ascii="Times New Roman" w:hAnsi="Times New Roman" w:cs="Times New Roman"/>
                <w:sz w:val="24"/>
                <w:szCs w:val="24"/>
              </w:rPr>
              <w:t>Vitamin D</w:t>
            </w:r>
          </w:p>
        </w:tc>
        <w:tc>
          <w:tcPr>
            <w:tcW w:w="1130" w:type="pct"/>
            <w:hideMark/>
          </w:tcPr>
          <w:p w:rsidRPr="008919A1" w:rsidR="00111B55" w:rsidP="000D0059" w:rsidRDefault="00111B55" w14:paraId="479D7C53" w14:textId="77777777">
            <w:pPr>
              <w:rPr>
                <w:rFonts w:ascii="Times New Roman" w:hAnsi="Times New Roman" w:cs="Times New Roman"/>
                <w:sz w:val="24"/>
                <w:szCs w:val="24"/>
              </w:rPr>
            </w:pPr>
            <w:r w:rsidRPr="008919A1">
              <w:rPr>
                <w:rFonts w:ascii="Times New Roman" w:hAnsi="Times New Roman" w:cs="Times New Roman"/>
                <w:sz w:val="24"/>
                <w:szCs w:val="24"/>
              </w:rPr>
              <w:t xml:space="preserve">The primary ingredient is found in fatty fish (such as tuna fish and salmon fish) and their liver oils. It is also obtained from cheese, </w:t>
            </w:r>
            <w:proofErr w:type="spellStart"/>
            <w:r w:rsidRPr="008919A1">
              <w:rPr>
                <w:rFonts w:ascii="Times New Roman" w:hAnsi="Times New Roman" w:cs="Times New Roman"/>
                <w:sz w:val="24"/>
                <w:szCs w:val="24"/>
              </w:rPr>
              <w:t>cow</w:t>
            </w:r>
            <w:proofErr w:type="spellEnd"/>
            <w:r w:rsidRPr="008919A1">
              <w:rPr>
                <w:rFonts w:ascii="Times New Roman" w:hAnsi="Times New Roman" w:cs="Times New Roman"/>
                <w:sz w:val="24"/>
                <w:szCs w:val="24"/>
              </w:rPr>
              <w:t xml:space="preserve"> liver oil, and egg yolks in the form of vitamin D1, D2, D3, D4, and D5.</w:t>
            </w:r>
          </w:p>
        </w:tc>
        <w:tc>
          <w:tcPr>
            <w:tcW w:w="1242" w:type="pct"/>
            <w:hideMark/>
          </w:tcPr>
          <w:p w:rsidRPr="008919A1" w:rsidR="00111B55" w:rsidP="000D0059" w:rsidRDefault="00111B55" w14:paraId="7FB7492D" w14:textId="77777777">
            <w:pPr>
              <w:jc w:val="both"/>
              <w:rPr>
                <w:rFonts w:ascii="Times New Roman" w:hAnsi="Times New Roman" w:cs="Times New Roman"/>
                <w:sz w:val="24"/>
                <w:szCs w:val="24"/>
              </w:rPr>
            </w:pPr>
            <w:r w:rsidRPr="008919A1">
              <w:rPr>
                <w:rFonts w:ascii="Times New Roman" w:hAnsi="Times New Roman" w:cs="Times New Roman"/>
                <w:sz w:val="24"/>
                <w:szCs w:val="24"/>
              </w:rPr>
              <w:t>Ergocalciferol</w:t>
            </w:r>
          </w:p>
          <w:p w:rsidRPr="008919A1" w:rsidR="00111B55" w:rsidP="000D0059" w:rsidRDefault="00111B55" w14:paraId="357F4486" w14:textId="77777777">
            <w:pPr>
              <w:jc w:val="both"/>
              <w:rPr>
                <w:rFonts w:ascii="Times New Roman" w:hAnsi="Times New Roman" w:cs="Times New Roman"/>
                <w:sz w:val="24"/>
                <w:szCs w:val="24"/>
              </w:rPr>
            </w:pPr>
            <w:r w:rsidRPr="008919A1">
              <w:rPr>
                <w:rFonts w:ascii="Times New Roman" w:hAnsi="Times New Roman" w:cs="Times New Roman"/>
                <w:sz w:val="24"/>
                <w:szCs w:val="24"/>
              </w:rPr>
              <w:t>Cholecalciferol</w:t>
            </w:r>
          </w:p>
          <w:p w:rsidRPr="008919A1" w:rsidR="00111B55" w:rsidP="000D0059" w:rsidRDefault="00111B55" w14:paraId="6E74A836" w14:textId="77777777">
            <w:pPr>
              <w:jc w:val="both"/>
              <w:rPr>
                <w:rFonts w:ascii="Times New Roman" w:hAnsi="Times New Roman" w:cs="Times New Roman"/>
                <w:sz w:val="24"/>
                <w:szCs w:val="24"/>
              </w:rPr>
            </w:pPr>
            <w:r w:rsidRPr="008919A1">
              <w:rPr>
                <w:rFonts w:ascii="Times New Roman" w:hAnsi="Times New Roman" w:cs="Times New Roman"/>
                <w:sz w:val="24"/>
                <w:szCs w:val="24"/>
              </w:rPr>
              <w:t xml:space="preserve">22-dihydroergocalciferol </w:t>
            </w:r>
            <w:proofErr w:type="spellStart"/>
            <w:r w:rsidRPr="008919A1">
              <w:rPr>
                <w:rFonts w:ascii="Times New Roman" w:hAnsi="Times New Roman" w:cs="Times New Roman"/>
                <w:sz w:val="24"/>
                <w:szCs w:val="24"/>
              </w:rPr>
              <w:t>Sitocalciferol</w:t>
            </w:r>
            <w:proofErr w:type="spellEnd"/>
            <w:r w:rsidRPr="008919A1">
              <w:rPr>
                <w:rFonts w:ascii="Times New Roman" w:hAnsi="Times New Roman" w:cs="Times New Roman"/>
                <w:sz w:val="24"/>
                <w:szCs w:val="24"/>
              </w:rPr>
              <w:t xml:space="preserve"> </w:t>
            </w:r>
          </w:p>
          <w:p w:rsidRPr="008919A1" w:rsidR="00111B55" w:rsidP="000D0059" w:rsidRDefault="00111B55" w14:paraId="0C66102A" w14:textId="77777777">
            <w:pPr>
              <w:jc w:val="both"/>
              <w:rPr>
                <w:rFonts w:ascii="Times New Roman" w:hAnsi="Times New Roman" w:cs="Times New Roman"/>
                <w:sz w:val="24"/>
                <w:szCs w:val="24"/>
              </w:rPr>
            </w:pPr>
            <w:r w:rsidRPr="008919A1">
              <w:rPr>
                <w:rFonts w:ascii="Times New Roman" w:hAnsi="Times New Roman" w:cs="Times New Roman"/>
                <w:sz w:val="24"/>
                <w:szCs w:val="24"/>
              </w:rPr>
              <w:t>Ergocalciferol with lumisterol</w:t>
            </w:r>
          </w:p>
        </w:tc>
        <w:tc>
          <w:tcPr>
            <w:tcW w:w="928" w:type="pct"/>
          </w:tcPr>
          <w:p w:rsidRPr="008919A1" w:rsidR="00111B55" w:rsidP="000D0059" w:rsidRDefault="00111B55" w14:paraId="4286C824" w14:textId="77777777">
            <w:pPr>
              <w:jc w:val="both"/>
              <w:rPr>
                <w:rFonts w:ascii="Times New Roman" w:hAnsi="Times New Roman" w:cs="Times New Roman"/>
                <w:sz w:val="24"/>
                <w:szCs w:val="24"/>
              </w:rPr>
            </w:pPr>
            <w:r w:rsidRPr="008919A1">
              <w:rPr>
                <w:rFonts w:ascii="Times New Roman" w:hAnsi="Times New Roman" w:cs="Times New Roman"/>
                <w:sz w:val="24"/>
                <w:szCs w:val="24"/>
              </w:rPr>
              <w:t>NCT04487951,</w:t>
            </w:r>
          </w:p>
          <w:p w:rsidRPr="008919A1" w:rsidR="00111B55" w:rsidP="000D0059" w:rsidRDefault="00111B55" w14:paraId="47B8DF59" w14:textId="77777777">
            <w:pPr>
              <w:jc w:val="both"/>
              <w:rPr>
                <w:rFonts w:ascii="Times New Roman" w:hAnsi="Times New Roman" w:cs="Times New Roman"/>
                <w:sz w:val="24"/>
                <w:szCs w:val="24"/>
              </w:rPr>
            </w:pPr>
            <w:r w:rsidRPr="008919A1">
              <w:rPr>
                <w:rFonts w:ascii="Times New Roman" w:hAnsi="Times New Roman" w:cs="Times New Roman"/>
                <w:sz w:val="24"/>
                <w:szCs w:val="24"/>
              </w:rPr>
              <w:t>NCT04709744,</w:t>
            </w:r>
          </w:p>
          <w:p w:rsidRPr="008919A1" w:rsidR="00111B55" w:rsidP="000D0059" w:rsidRDefault="00111B55" w14:paraId="1A5D441C" w14:textId="77777777">
            <w:pPr>
              <w:jc w:val="both"/>
              <w:rPr>
                <w:rFonts w:ascii="Times New Roman" w:hAnsi="Times New Roman" w:cs="Times New Roman"/>
                <w:sz w:val="24"/>
                <w:szCs w:val="24"/>
              </w:rPr>
            </w:pPr>
            <w:r w:rsidRPr="008919A1">
              <w:rPr>
                <w:rFonts w:ascii="Times New Roman" w:hAnsi="Times New Roman" w:cs="Times New Roman"/>
                <w:sz w:val="24"/>
                <w:szCs w:val="24"/>
              </w:rPr>
              <w:t>NCT04536298,</w:t>
            </w:r>
          </w:p>
          <w:p w:rsidRPr="008919A1" w:rsidR="00111B55" w:rsidP="000D0059" w:rsidRDefault="00111B55" w14:paraId="070A936F" w14:textId="77777777">
            <w:pPr>
              <w:jc w:val="both"/>
              <w:rPr>
                <w:rFonts w:ascii="Times New Roman" w:hAnsi="Times New Roman" w:cs="Times New Roman"/>
                <w:sz w:val="24"/>
                <w:szCs w:val="24"/>
              </w:rPr>
            </w:pPr>
            <w:r w:rsidRPr="008919A1">
              <w:rPr>
                <w:rFonts w:ascii="Times New Roman" w:hAnsi="Times New Roman" w:cs="Times New Roman"/>
                <w:sz w:val="24"/>
                <w:szCs w:val="24"/>
              </w:rPr>
              <w:t>NCT04449718,</w:t>
            </w:r>
          </w:p>
          <w:p w:rsidRPr="008919A1" w:rsidR="00111B55" w:rsidP="000D0059" w:rsidRDefault="00111B55" w14:paraId="3BC6B1B6" w14:textId="77777777">
            <w:pPr>
              <w:jc w:val="both"/>
              <w:rPr>
                <w:rFonts w:ascii="Times New Roman" w:hAnsi="Times New Roman" w:cs="Times New Roman"/>
                <w:sz w:val="24"/>
                <w:szCs w:val="24"/>
              </w:rPr>
            </w:pPr>
            <w:r w:rsidRPr="008919A1">
              <w:rPr>
                <w:rFonts w:ascii="Times New Roman" w:hAnsi="Times New Roman" w:cs="Times New Roman"/>
                <w:sz w:val="24"/>
                <w:szCs w:val="24"/>
              </w:rPr>
              <w:t>NCT04868903,</w:t>
            </w:r>
          </w:p>
          <w:p w:rsidRPr="008919A1" w:rsidR="00111B55" w:rsidP="000D0059" w:rsidRDefault="00111B55" w14:paraId="509C6949" w14:textId="77777777">
            <w:pPr>
              <w:jc w:val="both"/>
              <w:rPr>
                <w:rFonts w:ascii="Times New Roman" w:hAnsi="Times New Roman" w:cs="Times New Roman"/>
                <w:sz w:val="24"/>
                <w:szCs w:val="24"/>
              </w:rPr>
            </w:pPr>
          </w:p>
        </w:tc>
        <w:tc>
          <w:tcPr>
            <w:tcW w:w="773" w:type="pct"/>
            <w:hideMark/>
          </w:tcPr>
          <w:p w:rsidRPr="008919A1" w:rsidR="00111B55" w:rsidP="000D0059" w:rsidRDefault="00111B55" w14:paraId="1B7FEB04" w14:textId="77777777">
            <w:pPr>
              <w:jc w:val="both"/>
              <w:rPr>
                <w:rFonts w:ascii="Times New Roman" w:hAnsi="Times New Roman" w:cs="Times New Roman"/>
                <w:sz w:val="24"/>
                <w:szCs w:val="24"/>
              </w:rPr>
            </w:pPr>
            <w:r w:rsidRPr="008919A1">
              <w:rPr>
                <w:rFonts w:ascii="Times New Roman" w:hAnsi="Times New Roman" w:cs="Times New Roman"/>
                <w:sz w:val="24"/>
                <w:szCs w:val="24"/>
              </w:rPr>
              <w:fldChar w:fldCharType="begin" w:fldLock="1"/>
            </w:r>
            <w:r w:rsidRPr="008919A1">
              <w:rPr>
                <w:rFonts w:ascii="Times New Roman" w:hAnsi="Times New Roman" w:cs="Times New Roman"/>
                <w:sz w:val="24"/>
                <w:szCs w:val="24"/>
              </w:rPr>
              <w:instrText>ADDIN CSL_CITATION {"citationItems":[{"id":"ITEM-1","itemData":{"DOI":"10.1080/07315724.2013.839905","abstract":"Objective: Adequate calcium and vitamin D intakes are critical during all life cycle stages. This study aimed to characterize usual intakes of calcium and vitamin D from food and dietary supplements in specific subpopulations of Americans so that fortification/enrichment and supplementation efforts may be targeted toward populations who are truly in need. Methods: The National Cancer Institute method was used to estimate usual intakes of calcium and vitamin D by source and compared usual intakes to the established Dietary Reference Intakes for U.S. residents aged ≥4 years using National Health and Nutrition Examination Survey 2001-2002, 2003-2004, 2005-2006, and 2007-2008 data sets. Results: These results showed for the first time that low-income, overweight, and/or obese minority populations may be at greater risk of calcium and vitamin D insufficiency. Children aged 4-8 years were more likely to obtain recommended dairy intakes compared with older children and adults of all ages. Food intakes of calcium decreased with age in adults. Adults who used supplemental calcium showed a lower prevalence of insufficiency. Calcium and vitamin D intakes from food and dietary supplements were not related to vegetarian status. Excessive intakes of calcium and vitamin D above the tolerable upper intake level were low among all studied populations and \"overnutrification\" was not widely present across these analyses. Conclusions: Age- and gender-specific supplementation and modest use of fortification with calcium and vitamin D may be warranted for targeting certain subpopulations, particularly older adults, teenagers, minorities, and those who are low income and overweight and/or obese. Practical Application: This study aimed to characterize usual intakes of calcium and vitamin D from food and dietary supplements in specific subpopulations of Americans so that fortification/enrichment and supplementation efforts may be better targeted. Low-income, overweight, and/or obese minority populations may be at a greater risk of calcium and vitamin D insufficiency. © 2013 Copyright Taylor and Francis Group, LLC.","author":[{"dropping-particle":"","family":"Wallace","given":"Taylor C.","non-dropping-particle":"","parse-names":false,"suffix":""},{"dropping-particle":"","family":"Reider","given":"Carroll","non-dropping-particle":"","parse-names":false,"suffix":""},{"dropping-particle":"","family":"Fulgoni","given":"Victor L.","non-dropping-particle":"","parse-names":false,"suffix":""}],"container-title":"Journal of the American College of Nutrition","id":"ITEM-1","issue":"5","issued":{"date-parts":[["2013","10"]]},"page":"321-330","title":"Calcium and Vitamin D Disparities Are Related to Gender, Age, Race, Household Income Level, and Weight Classification but Not Vegetarian Status in the United States: Analysis of the NHANES 2001-2008 Data Set","type":"article-journal","volume":"32"},"uris":["http://www.mendeley.com/documents/?uuid=96a18950-1724-3a0d-994d-56396fa5bf49","http://www.mendeley.com/documents/?uuid=a8f06d3f-5f26-4341-abaf-a5c93e5bbc7f","http://www.mendeley.com/documents/?uuid=b2f815c2-16f0-4a4b-a8b1-8c223dd85499"]},{"id":"ITEM-2","itemData":{"DOI":"10.3390/nu12040988","ISSN":"20726643","PMID":"32252338","abstract":"The world is in the grip of the COVID-19 pandemic. Public health measures that can reduce the risk of infection and death in addition to quarantines are desperately needed. This article reviews the roles of vitamin D in reducing the risk of respiratory tract infections, knowledge about the epidemiology of influenza and COVID-19, and how vitamin D supplementation might be a useful measure to reduce risk. Through several mechanisms, vitamin D can reduce risk of infections. Those mechanisms include inducing cathelicidins and defensins that can lower viral replication rates and reducing concentrations of pro-inflammatory cytokines that produce the inflammation that injures the lining of the lungs, leading to pneumonia, as well as increasing concentrations of anti-inflammatory cytokines. Several observational studies and clinical trials reported that vitamin D supplementation reduced the risk of influenza, whereas others did not. Evidence supporting the role of vitamin D in reducing risk of COVID-19 includes that the outbreak occurred in winter, a time when 25-hydroxyvitamin D (25(OH)D) concentrations are lowest; that the number of cases in the Southern Hemisphere near the end of summer are low; that vitamin D deficiency has been found to contribute to acute respiratory distress syndrome; and that case-fatality rates increase with age and with chronic disease comorbidity, both of which are associated with lower 25(OH)D concentration. To reduce the risk of infection, it is recommended that people at risk of influenza and/or COVID-19 consider taking 10,000 IU/d of vitamin D3 for a few weeks to rapidly raise 25(OH)D concentrations, followed by 5000 IU/d. The goal should be to raise 25(OH)D concentrations above 40–60 ng/mL (100–150 nmol/L). For treatment of people who become infected with COVID-19, higher vitamin D3 doses might be useful. Randomized controlled trials and large population studies should be conducted to evaluate these recommendations.","author":[{"dropping-particle":"","family":"Grant","given":"William B.","non-dropping-particle":"","parse-names":false,"suffix":""},{"dropping-particle":"","family":"Lahore","given":"Henry","non-dropping-particle":"","parse-names":false,"suffix":""},{"dropping-particle":"","family":"McDonnell","given":"Sharon L.","non-dropping-particle":"","parse-names":false,"suffix":""},{"dropping-particle":"","family":"Baggerly","given":"Carole A.","non-dropping-particle":"","parse-names":false,"suffix":""},{"dropping-particle":"","family":"French","given":"Christine B.","non-dropping-particle":"","parse-names":false,"suffix":""},{"dropping-particle":"","family":"Aliano","given":"Jennifer L.","non-dropping-particle":"","parse-names":false,"suffix":""},{"dropping-particle":"","family":"Bhattoa","given":"Harjit P.","non-dropping-particle":"","parse-names":false,"suffix":""}],"container-title":"Nutrients","id":"ITEM-2","issue":"4","issued":{"date-parts":[["2020"]]},"page":"1-19","title":"Evidence that vitamin d supplementation could reduce risk of influenza and covid-19 infections and deaths","type":"article-journal","volume":"12"},"uris":["http://www.mendeley.com/documents/?uuid=e2dd8854-be62-4426-8745-befe62874b71"]}],"mendeley":{"formattedCitation":"[194,195]","plainTextFormattedCitation":"[194,195]","previouslyFormattedCitation":"[191,192]"},"properties":{"noteIndex":0},"schema":"https://github.com/citation-style-language/schema/raw/master/csl-citation.json"}</w:instrText>
            </w:r>
            <w:r w:rsidRPr="008919A1">
              <w:rPr>
                <w:rFonts w:ascii="Times New Roman" w:hAnsi="Times New Roman" w:cs="Times New Roman"/>
                <w:sz w:val="24"/>
                <w:szCs w:val="24"/>
              </w:rPr>
              <w:fldChar w:fldCharType="separate"/>
            </w:r>
            <w:r w:rsidRPr="008919A1">
              <w:rPr>
                <w:rFonts w:ascii="Times New Roman" w:hAnsi="Times New Roman" w:cs="Times New Roman"/>
                <w:sz w:val="24"/>
                <w:szCs w:val="24"/>
              </w:rPr>
              <w:t>[194,195]</w:t>
            </w:r>
            <w:r w:rsidRPr="008919A1">
              <w:rPr>
                <w:rFonts w:ascii="Times New Roman" w:hAnsi="Times New Roman" w:cs="Times New Roman"/>
                <w:sz w:val="24"/>
                <w:szCs w:val="24"/>
              </w:rPr>
              <w:fldChar w:fldCharType="end"/>
            </w:r>
          </w:p>
        </w:tc>
      </w:tr>
      <w:tr w:rsidRPr="008919A1" w:rsidR="00111B55" w:rsidTr="000D0059" w14:paraId="7EBF067C" w14:textId="77777777">
        <w:trPr>
          <w:trHeight w:val="886"/>
          <w:jc w:val="center"/>
        </w:trPr>
        <w:tc>
          <w:tcPr>
            <w:tcW w:w="927" w:type="pct"/>
          </w:tcPr>
          <w:p w:rsidRPr="008919A1" w:rsidR="00111B55" w:rsidP="000D0059" w:rsidRDefault="00111B55" w14:paraId="46AE6A73" w14:textId="77777777">
            <w:pPr>
              <w:jc w:val="both"/>
              <w:rPr>
                <w:rFonts w:ascii="Times New Roman" w:hAnsi="Times New Roman" w:cs="Times New Roman"/>
                <w:sz w:val="24"/>
                <w:szCs w:val="24"/>
              </w:rPr>
            </w:pPr>
            <w:r w:rsidRPr="008919A1">
              <w:rPr>
                <w:rFonts w:ascii="Times New Roman" w:hAnsi="Times New Roman" w:cs="Times New Roman"/>
                <w:sz w:val="24"/>
                <w:szCs w:val="24"/>
              </w:rPr>
              <w:t>Vitamin K</w:t>
            </w:r>
          </w:p>
        </w:tc>
        <w:tc>
          <w:tcPr>
            <w:tcW w:w="1130" w:type="pct"/>
          </w:tcPr>
          <w:p w:rsidRPr="008919A1" w:rsidR="00111B55" w:rsidP="000D0059" w:rsidRDefault="00111B55" w14:paraId="2C369CA3" w14:textId="77777777">
            <w:pPr>
              <w:rPr>
                <w:rFonts w:ascii="Times New Roman" w:hAnsi="Times New Roman" w:cs="Times New Roman"/>
                <w:sz w:val="24"/>
                <w:szCs w:val="24"/>
              </w:rPr>
            </w:pPr>
            <w:r w:rsidRPr="008919A1">
              <w:rPr>
                <w:rFonts w:ascii="Times New Roman" w:hAnsi="Times New Roman" w:cs="Times New Roman"/>
                <w:sz w:val="24"/>
                <w:szCs w:val="24"/>
              </w:rPr>
              <w:t>Vegetables such as Brussels sprouts, broccoli, cauliflower, and cabbage</w:t>
            </w:r>
          </w:p>
        </w:tc>
        <w:tc>
          <w:tcPr>
            <w:tcW w:w="1242" w:type="pct"/>
          </w:tcPr>
          <w:p w:rsidRPr="008919A1" w:rsidR="00111B55" w:rsidP="000D0059" w:rsidRDefault="00111B55" w14:paraId="4623F168" w14:textId="77777777">
            <w:pPr>
              <w:rPr>
                <w:rFonts w:ascii="Times New Roman" w:hAnsi="Times New Roman" w:cs="Times New Roman"/>
                <w:sz w:val="24"/>
                <w:szCs w:val="24"/>
              </w:rPr>
            </w:pPr>
            <w:r w:rsidRPr="008919A1">
              <w:rPr>
                <w:rFonts w:ascii="Times New Roman" w:hAnsi="Times New Roman" w:cs="Times New Roman"/>
                <w:sz w:val="24"/>
                <w:szCs w:val="24"/>
              </w:rPr>
              <w:t>Vitamin K2 in the form of Menaquinone-7 (MK-7)</w:t>
            </w:r>
          </w:p>
        </w:tc>
        <w:tc>
          <w:tcPr>
            <w:tcW w:w="928" w:type="pct"/>
          </w:tcPr>
          <w:p w:rsidRPr="008919A1" w:rsidR="00111B55" w:rsidP="000D0059" w:rsidRDefault="00111B55" w14:paraId="6BF0F49A" w14:textId="77777777">
            <w:pPr>
              <w:jc w:val="both"/>
              <w:rPr>
                <w:rFonts w:ascii="Times New Roman" w:hAnsi="Times New Roman" w:cs="Times New Roman"/>
                <w:sz w:val="24"/>
                <w:szCs w:val="24"/>
              </w:rPr>
            </w:pPr>
            <w:r w:rsidRPr="008919A1">
              <w:rPr>
                <w:rFonts w:ascii="Times New Roman" w:hAnsi="Times New Roman" w:cs="Times New Roman"/>
                <w:sz w:val="24"/>
                <w:szCs w:val="24"/>
              </w:rPr>
              <w:t>NCT04770740</w:t>
            </w:r>
          </w:p>
        </w:tc>
        <w:tc>
          <w:tcPr>
            <w:tcW w:w="773" w:type="pct"/>
          </w:tcPr>
          <w:p w:rsidRPr="008919A1" w:rsidR="00111B55" w:rsidP="000D0059" w:rsidRDefault="00111B55" w14:paraId="15E49F46" w14:textId="77777777">
            <w:pPr>
              <w:jc w:val="both"/>
              <w:rPr>
                <w:rFonts w:ascii="Times New Roman" w:hAnsi="Times New Roman" w:cs="Times New Roman"/>
                <w:sz w:val="24"/>
                <w:szCs w:val="24"/>
              </w:rPr>
            </w:pPr>
            <w:r w:rsidRPr="008919A1">
              <w:rPr>
                <w:rFonts w:ascii="Times New Roman" w:hAnsi="Times New Roman" w:cs="Times New Roman"/>
                <w:sz w:val="24"/>
                <w:szCs w:val="24"/>
              </w:rPr>
              <w:fldChar w:fldCharType="begin" w:fldLock="1"/>
            </w:r>
            <w:r w:rsidRPr="008919A1">
              <w:rPr>
                <w:rFonts w:ascii="Times New Roman" w:hAnsi="Times New Roman" w:cs="Times New Roman"/>
                <w:sz w:val="24"/>
                <w:szCs w:val="24"/>
              </w:rPr>
              <w:instrText>ADDIN CSL_CITATION {"citationItems":[{"id":"ITEM-1","itemData":{"DOI":"10.1007/s10787-021-00826-7","ISSN":"1568-5608","abstract":"Severe acute respiratory syndrome coronavirus-2 (SARS-CoV-2) known as coronavirus disease (COVID-19), emerged in Wuhan, China, in December 2019. On March 11, 2020, it was declared a global pandemic. As the world grapples with COVID-19 and the paucity of clinically meaningful therapies, attention has been shifted to modalities that may aid in immune system strengthening. Taking into consideration that the COVID-19 infection strongly affects the immune system via multiple inflammatory responses, pharmaceutical companies are working to develop targeted drugs and vaccines against SARS-CoV-2 COVID-19. A balanced nutritional diet may play an essential role in maintaining general wellbeing by controlling chronic infectious diseases. A balanced diet including vitamin A, B, C, D, E, and K, and some micronutrients such as zinc, sodium, potassium, calcium, chloride, and phosphorus may be beneficial in various infectious diseases. This study aimed to discuss and present recent data regarding the role of vitamins and minerals in the treatment of COVID-19. A deficiency of these vitamins and minerals in the plasma concentration may lead to a reduction in the good performance of the immune system, which is one of the constituents that lead to a poor immune state. This is a narrative review concerning the features of the COVID-19 and data related to the usage of vitamins and minerals as preventive measures to decrease the morbidity and mortality rate in patients with COVID-19.","author":[{"dropping-particle":"","family":"Kumar","given":"Puneet","non-dropping-particle":"","parse-names":false,"suffix":""},{"dropping-particle":"","family":"Kumar","given":"Mandeep","non-dropping-particle":"","parse-names":false,"suffix":""},{"dropping-particle":"","family":"Bedi","given":"Onkar","non-dropping-particle":"","parse-names":false,"suffix":""},{"dropping-particle":"","family":"Gupta","given":"Manisha","non-dropping-particle":"","parse-names":false,"suffix":""},{"dropping-particle":"","family":"Kumar","given":"Sachin","non-dropping-particle":"","parse-names":false,"suffix":""},{"dropping-particle":"","family":"Jaiswal","given":"Gagandeep","non-dropping-particle":"","parse-names":false,"suffix":""},{"dropping-particle":"","family":"Rahi","given":"Vikrant","non-dropping-particle":"","parse-names":false,"suffix":""},{"dropping-particle":"","family":"Yedke","given":"Narhari Gangaram","non-dropping-particle":"","parse-names":false,"suffix":""},{"dropping-particle":"","family":"Bijalwan","given":"Anjali","non-dropping-particle":"","parse-names":false,"suffix":""},{"dropping-particle":"","family":"Sharma","given":"Shubham","non-dropping-particle":"","parse-names":false,"suffix":""},{"dropping-particle":"","family":"Jamwal","given":"Sumit","non-dropping-particle":"","parse-names":false,"suffix":""}],"container-title":"Inflammopharmacology","id":"ITEM-1","issue":"4","issued":{"date-parts":[["2021"]]},"page":"1001-1016","title":"Role of vitamins and minerals as immunity boosters in COVID-19","type":"article-journal","volume":"29"},"uris":["http://www.mendeley.com/documents/?uuid=fca3baad-087d-48a1-8a71-dcbc60188d6e"]}],"mendeley":{"formattedCitation":"[186]","plainTextFormattedCitation":"[186]","previouslyFormattedCitation":"[183]"},"properties":{"noteIndex":0},"schema":"https://github.com/citation-style-language/schema/raw/master/csl-citation.json"}</w:instrText>
            </w:r>
            <w:r w:rsidRPr="008919A1">
              <w:rPr>
                <w:rFonts w:ascii="Times New Roman" w:hAnsi="Times New Roman" w:cs="Times New Roman"/>
                <w:sz w:val="24"/>
                <w:szCs w:val="24"/>
              </w:rPr>
              <w:fldChar w:fldCharType="separate"/>
            </w:r>
            <w:r w:rsidRPr="008919A1">
              <w:rPr>
                <w:rFonts w:ascii="Times New Roman" w:hAnsi="Times New Roman" w:cs="Times New Roman"/>
                <w:sz w:val="24"/>
                <w:szCs w:val="24"/>
              </w:rPr>
              <w:t>[186]</w:t>
            </w:r>
            <w:r w:rsidRPr="008919A1">
              <w:rPr>
                <w:rFonts w:ascii="Times New Roman" w:hAnsi="Times New Roman" w:cs="Times New Roman"/>
                <w:sz w:val="24"/>
                <w:szCs w:val="24"/>
              </w:rPr>
              <w:fldChar w:fldCharType="end"/>
            </w:r>
          </w:p>
        </w:tc>
      </w:tr>
      <w:tr w:rsidRPr="008919A1" w:rsidR="00111B55" w:rsidTr="000D0059" w14:paraId="32C1AD20" w14:textId="77777777">
        <w:trPr>
          <w:trHeight w:val="886"/>
          <w:jc w:val="center"/>
        </w:trPr>
        <w:tc>
          <w:tcPr>
            <w:tcW w:w="927" w:type="pct"/>
          </w:tcPr>
          <w:p w:rsidRPr="008919A1" w:rsidR="00111B55" w:rsidP="000D0059" w:rsidRDefault="00111B55" w14:paraId="0168BCE2" w14:textId="77777777">
            <w:pPr>
              <w:jc w:val="both"/>
              <w:rPr>
                <w:rFonts w:ascii="Times New Roman" w:hAnsi="Times New Roman" w:cs="Times New Roman"/>
                <w:sz w:val="24"/>
                <w:szCs w:val="24"/>
              </w:rPr>
            </w:pPr>
            <w:r w:rsidRPr="008919A1">
              <w:rPr>
                <w:rFonts w:ascii="Times New Roman" w:hAnsi="Times New Roman" w:cs="Times New Roman"/>
                <w:sz w:val="24"/>
                <w:szCs w:val="24"/>
              </w:rPr>
              <w:t>Vitamin A</w:t>
            </w:r>
          </w:p>
        </w:tc>
        <w:tc>
          <w:tcPr>
            <w:tcW w:w="1130" w:type="pct"/>
          </w:tcPr>
          <w:p w:rsidRPr="008919A1" w:rsidR="00111B55" w:rsidP="000D0059" w:rsidRDefault="00111B55" w14:paraId="2A22EB11" w14:textId="77777777">
            <w:pPr>
              <w:rPr>
                <w:rFonts w:ascii="Times New Roman" w:hAnsi="Times New Roman" w:cs="Times New Roman"/>
                <w:sz w:val="24"/>
                <w:szCs w:val="24"/>
              </w:rPr>
            </w:pPr>
            <w:r w:rsidRPr="008919A1">
              <w:rPr>
                <w:rFonts w:ascii="Times New Roman" w:hAnsi="Times New Roman" w:cs="Times New Roman"/>
                <w:sz w:val="24"/>
                <w:szCs w:val="24"/>
              </w:rPr>
              <w:t>Yellow, red and green (leafy) vegetables</w:t>
            </w:r>
          </w:p>
        </w:tc>
        <w:tc>
          <w:tcPr>
            <w:tcW w:w="1242" w:type="pct"/>
          </w:tcPr>
          <w:p w:rsidRPr="008919A1" w:rsidR="00111B55" w:rsidP="000D0059" w:rsidRDefault="00111B55" w14:paraId="18A0B12A" w14:textId="77777777">
            <w:pPr>
              <w:rPr>
                <w:rFonts w:ascii="Times New Roman" w:hAnsi="Times New Roman" w:cs="Times New Roman"/>
                <w:sz w:val="24"/>
                <w:szCs w:val="24"/>
              </w:rPr>
            </w:pPr>
            <w:r w:rsidRPr="008919A1">
              <w:rPr>
                <w:rFonts w:ascii="Times New Roman" w:hAnsi="Times New Roman" w:cs="Times New Roman"/>
                <w:sz w:val="24"/>
                <w:szCs w:val="24"/>
              </w:rPr>
              <w:t>Retinoic acid (RA)</w:t>
            </w:r>
          </w:p>
        </w:tc>
        <w:tc>
          <w:tcPr>
            <w:tcW w:w="928" w:type="pct"/>
          </w:tcPr>
          <w:p w:rsidRPr="008919A1" w:rsidR="00111B55" w:rsidP="000D0059" w:rsidRDefault="00111B55" w14:paraId="67B949E5" w14:textId="77777777">
            <w:pPr>
              <w:jc w:val="both"/>
              <w:rPr>
                <w:rFonts w:ascii="Times New Roman" w:hAnsi="Times New Roman" w:cs="Times New Roman"/>
                <w:sz w:val="24"/>
                <w:szCs w:val="24"/>
              </w:rPr>
            </w:pPr>
            <w:r w:rsidRPr="008919A1">
              <w:rPr>
                <w:rFonts w:ascii="Times New Roman" w:hAnsi="Times New Roman" w:cs="Times New Roman"/>
                <w:sz w:val="24"/>
                <w:szCs w:val="24"/>
              </w:rPr>
              <w:t>NCT04920760</w:t>
            </w:r>
          </w:p>
        </w:tc>
        <w:tc>
          <w:tcPr>
            <w:tcW w:w="773" w:type="pct"/>
          </w:tcPr>
          <w:p w:rsidRPr="008919A1" w:rsidR="00111B55" w:rsidP="000D0059" w:rsidRDefault="00111B55" w14:paraId="4A54D023" w14:textId="77777777">
            <w:pPr>
              <w:jc w:val="both"/>
              <w:rPr>
                <w:rFonts w:ascii="Times New Roman" w:hAnsi="Times New Roman" w:cs="Times New Roman"/>
                <w:sz w:val="24"/>
                <w:szCs w:val="24"/>
              </w:rPr>
            </w:pPr>
            <w:r w:rsidRPr="008919A1">
              <w:rPr>
                <w:rFonts w:ascii="Times New Roman" w:hAnsi="Times New Roman" w:cs="Times New Roman"/>
                <w:sz w:val="24"/>
                <w:szCs w:val="24"/>
              </w:rPr>
              <w:fldChar w:fldCharType="begin" w:fldLock="1"/>
            </w:r>
            <w:r w:rsidRPr="008919A1">
              <w:rPr>
                <w:rFonts w:ascii="Times New Roman" w:hAnsi="Times New Roman" w:cs="Times New Roman"/>
                <w:sz w:val="24"/>
                <w:szCs w:val="24"/>
              </w:rPr>
              <w:instrText>ADDIN CSL_CITATION {"citationItems":[{"id":"ITEM-1","itemData":{"DOI":"10.18632/aging.103888","ISSN":"1945-4589 (Electronic)","PMID":"32805728","abstract":"Severe acute respiratory syndrome coronavirus 2 (SARS-CoV-2) causes coronavirus  disease 2019 (COVID-19), an epidemic disease characterized by rapid infection and a high death toll. The clinical diagnosis of patients with COVID-19 has risen sharply, especially in Western countries. Globally, an effective treatment for COVID-19 is still limited. Vitamin A (VA) exhibits pharmacological activity in the management of pneumonia. Thus, we reason that VA may potentially serve as an anti-SARS-CoV-2 regimen. In this study, bioinformatics analysis and computation assays using a network pharmacology method were conducted to explore and uncover the therapeutic targets and mechanisms of VA for treating COVID-19. We identified candidate targets, pharmacological functions, and therapeutic pathways of VA against SARS-CoV-2. Bioinformatics findings indicate that the mechanisms of action of VA against SARS-CoV-2 include enrichment of immunoreaction, inhibition of inflammatory reaction, and biological processes related to reactive oxygen species. Furthermore, seven core targets of VA against COVID-19, including MAPK1, IL10, EGFR, ICAM1, MAPK14, CAT, and PRKCB were identified. With this bioinformatics-based report, we reveal, for the first time, the anti-SARS-CoV-2 functions and mechanisms of VA and suggest that VA may act as a potent treatment option for COVID-19, a deadly global epidemic.","author":[{"dropping-particle":"","family":"Li","given":"Rong","non-dropping-particle":"","parse-names":false,"suffix":""},{"dropping-particle":"","family":"Wu","given":"Ka","non-dropping-particle":"","parse-names":false,"suffix":""},{"dropping-particle":"","family":"Li","given":"Yu","non-dropping-particle":"","parse-names":false,"suffix":""},{"dropping-particle":"","family":"Liang","given":"Xiao","non-dropping-particle":"","parse-names":false,"suffix":""},{"dropping-particle":"","family":"Tse","given":"William Ka Fai","non-dropping-particle":"","parse-names":false,"suffix":""},{"dropping-particle":"","family":"Yang","given":"Lu","non-dropping-particle":"","parse-names":false,"suffix":""},{"dropping-particle":"","family":"Lai","given":"Keng Po","non-dropping-particle":"","parse-names":false,"suffix":""}],"container-title":"Aging","id":"ITEM-1","issue":"15","issued":{"date-parts":[["2020","8"]]},"language":"eng","page":"15784-15796","title":"Revealing the targets and mechanisms of vitamin A in the treatment of COVID-19.","type":"article-journal","volume":"12"},"uris":["http://www.mendeley.com/documents/?uuid=97d3247d-34ff-455b-828c-fb43e181a945"]}],"mendeley":{"formattedCitation":"[196]","plainTextFormattedCitation":"[196]","previouslyFormattedCitation":"[193]"},"properties":{"noteIndex":0},"schema":"https://github.com/citation-style-language/schema/raw/master/csl-citation.json"}</w:instrText>
            </w:r>
            <w:r w:rsidRPr="008919A1">
              <w:rPr>
                <w:rFonts w:ascii="Times New Roman" w:hAnsi="Times New Roman" w:cs="Times New Roman"/>
                <w:sz w:val="24"/>
                <w:szCs w:val="24"/>
              </w:rPr>
              <w:fldChar w:fldCharType="separate"/>
            </w:r>
            <w:r w:rsidRPr="008919A1">
              <w:rPr>
                <w:rFonts w:ascii="Times New Roman" w:hAnsi="Times New Roman" w:cs="Times New Roman"/>
                <w:sz w:val="24"/>
                <w:szCs w:val="24"/>
              </w:rPr>
              <w:t>[196]</w:t>
            </w:r>
            <w:r w:rsidRPr="008919A1">
              <w:rPr>
                <w:rFonts w:ascii="Times New Roman" w:hAnsi="Times New Roman" w:cs="Times New Roman"/>
                <w:sz w:val="24"/>
                <w:szCs w:val="24"/>
              </w:rPr>
              <w:fldChar w:fldCharType="end"/>
            </w:r>
          </w:p>
        </w:tc>
      </w:tr>
    </w:tbl>
    <w:p w:rsidR="000A5C5A" w:rsidP="00111B55" w:rsidRDefault="000A5C5A" w14:paraId="5376B2AF" w14:textId="77777777"/>
    <w:sectPr w:rsidR="000A5C5A" w:rsidSect="00D8021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55"/>
    <w:rsid w:val="000A5C5A"/>
    <w:rsid w:val="00111B55"/>
    <w:rsid w:val="005663BC"/>
    <w:rsid w:val="00D80219"/>
    <w:rsid w:val="0241B7D6"/>
    <w:rsid w:val="06B814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9D7F"/>
  <w15:chartTrackingRefBased/>
  <w15:docId w15:val="{07D1DBE2-3C98-428F-A064-906AF93E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1B5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4" w:customStyle="1">
    <w:name w:val="Table Grid4"/>
    <w:basedOn w:val="TableNormal"/>
    <w:next w:val="TableGrid"/>
    <w:uiPriority w:val="59"/>
    <w:rsid w:val="00111B55"/>
    <w:pPr>
      <w:spacing w:after="0" w:line="240" w:lineRule="auto"/>
    </w:pPr>
    <w:rPr>
      <w:rFonts w:ascii="Calibri" w:hAnsi="Calibri" w:eastAsia="Calibri" w:cs="Shrut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
    <w:name w:val="Table Grid"/>
    <w:basedOn w:val="TableNormal"/>
    <w:uiPriority w:val="39"/>
    <w:rsid w:val="00111B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Ryan Gilroy</dc:creator>
  <keywords/>
  <dc:description/>
  <lastModifiedBy>Ryan Gilroy</lastModifiedBy>
  <revision>2</revision>
  <dcterms:created xsi:type="dcterms:W3CDTF">2022-01-26T15:11:00.0000000Z</dcterms:created>
  <dcterms:modified xsi:type="dcterms:W3CDTF">2022-01-26T15:22:31.8450434Z</dcterms:modified>
</coreProperties>
</file>