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72" w:rsidRPr="00677D9F" w:rsidRDefault="00107272" w:rsidP="00107272">
      <w:pPr>
        <w:pStyle w:val="Heading2"/>
      </w:pPr>
      <w:r w:rsidRPr="00677D9F">
        <w:t>Appendix A. Parameter Values, Treatment Cost Calculations, and Distributions</w:t>
      </w:r>
    </w:p>
    <w:p w:rsidR="00107272" w:rsidRPr="00CF0E91" w:rsidRDefault="00107272" w:rsidP="00107272">
      <w:pPr>
        <w:spacing w:line="259" w:lineRule="auto"/>
        <w:rPr>
          <w:rFonts w:ascii="Calibri" w:eastAsia="Times New Roman" w:hAnsi="Calibri" w:cs="Times New Roman"/>
          <w:b/>
          <w:i/>
          <w:szCs w:val="24"/>
        </w:rPr>
      </w:pPr>
      <w:bookmarkStart w:id="0" w:name="_Hlk90290263"/>
      <w:r w:rsidRPr="00CF0E91">
        <w:rPr>
          <w:rFonts w:ascii="Calibri" w:eastAsia="Times New Roman" w:hAnsi="Calibri" w:cs="Times New Roman"/>
          <w:b/>
          <w:i/>
          <w:szCs w:val="24"/>
        </w:rPr>
        <w:t>Table</w:t>
      </w:r>
      <w:r>
        <w:rPr>
          <w:rFonts w:ascii="Calibri" w:eastAsia="Times New Roman" w:hAnsi="Calibri" w:cs="Times New Roman"/>
          <w:b/>
          <w:i/>
          <w:szCs w:val="24"/>
        </w:rPr>
        <w:t xml:space="preserve"> A.1</w:t>
      </w:r>
      <w:r w:rsidRPr="00CF0E91">
        <w:rPr>
          <w:rFonts w:ascii="Calibri" w:eastAsia="Times New Roman" w:hAnsi="Calibri" w:cs="Times New Roman"/>
          <w:b/>
          <w:i/>
          <w:szCs w:val="24"/>
        </w:rPr>
        <w:t>. Parameters Used in the Model</w:t>
      </w:r>
      <w:r>
        <w:rPr>
          <w:rFonts w:ascii="Calibri" w:eastAsia="Times New Roman" w:hAnsi="Calibri" w:cs="Times New Roman"/>
          <w:b/>
          <w:i/>
          <w:szCs w:val="24"/>
        </w:rPr>
        <w:t xml:space="preserve"> of Two Modes of Sickle Cell Diseases Crises Care</w:t>
      </w:r>
    </w:p>
    <w:tbl>
      <w:tblPr>
        <w:tblStyle w:val="InsightTable1"/>
        <w:tblW w:w="4921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11"/>
        <w:gridCol w:w="2341"/>
        <w:gridCol w:w="5320"/>
      </w:tblGrid>
      <w:tr w:rsidR="00107272" w:rsidRPr="00CF0E91" w:rsidTr="00444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</w:pPr>
            <w:r w:rsidRPr="00CF0E91"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  <w:t>Parameter Description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</w:pPr>
            <w:r w:rsidRPr="00CF0E91"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  <w:t>Parameter</w:t>
            </w:r>
          </w:p>
        </w:tc>
        <w:tc>
          <w:tcPr>
            <w:tcW w:w="1877" w:type="pct"/>
          </w:tcPr>
          <w:p w:rsidR="00107272" w:rsidRPr="00CF0E91" w:rsidRDefault="00107272" w:rsidP="00444863">
            <w:pPr>
              <w:spacing w:line="240" w:lineRule="auto"/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</w:pPr>
            <w:r w:rsidRPr="00CF0E91">
              <w:rPr>
                <w:rFonts w:ascii="Lucida Sans" w:eastAsia="Times New Roman" w:hAnsi="Lucida Sans" w:cs="Lucida Sans Unicode"/>
                <w:b/>
                <w:bCs/>
                <w:sz w:val="18"/>
                <w:szCs w:val="24"/>
              </w:rPr>
              <w:t>Source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07272" w:rsidRPr="00C73146" w:rsidRDefault="00107272" w:rsidP="00444863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 w:rsidRPr="00C73146">
              <w:rPr>
                <w:rFonts w:eastAsiaTheme="minorEastAsia"/>
                <w:b/>
                <w:bCs/>
              </w:rPr>
              <w:t>Population Parameters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CF0E91">
              <w:rPr>
                <w:rFonts w:asciiTheme="minorHAnsi" w:eastAsiaTheme="minorEastAsia" w:hAnsiTheme="minorHAnsi" w:cstheme="minorHAnsi"/>
                <w:szCs w:val="20"/>
              </w:rPr>
              <w:t>U.S. adults 18 and older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CF0E91">
              <w:rPr>
                <w:rFonts w:asciiTheme="minorHAnsi" w:eastAsiaTheme="minorEastAsia" w:hAnsiTheme="minorHAnsi" w:cstheme="minorHAnsi"/>
                <w:szCs w:val="20"/>
              </w:rPr>
              <w:t>25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>5,200,373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U.S. Census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 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Bureau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 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2018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Population turning 18 each year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3,749,040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National Center for Health Statistics (2019) 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Adult prevalence of sickle cell disease in U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>S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 xml:space="preserve"> population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23</w:t>
            </w:r>
            <w:r w:rsidRPr="00CF0E91">
              <w:rPr>
                <w:rFonts w:asciiTheme="minorHAnsi" w:eastAsiaTheme="minorEastAsia" w:hAnsiTheme="minorHAnsi" w:cstheme="minorHAnsi"/>
                <w:szCs w:val="20"/>
              </w:rPr>
              <w:t xml:space="preserve"> per 100,000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9E3DA5">
              <w:rPr>
                <w:rFonts w:asciiTheme="minorHAnsi" w:eastAsiaTheme="minorEastAsia" w:hAnsiTheme="minorHAnsi" w:cstheme="minorHAnsi"/>
                <w:szCs w:val="20"/>
              </w:rPr>
              <w:t>Hassell</w:t>
            </w:r>
            <w:proofErr w:type="spellEnd"/>
            <w:r w:rsidRPr="009E3DA5">
              <w:rPr>
                <w:rFonts w:asciiTheme="minorHAnsi" w:eastAsiaTheme="minorEastAsia" w:hAnsiTheme="minorHAnsi" w:cstheme="minorHAnsi"/>
                <w:szCs w:val="20"/>
              </w:rPr>
              <w:t xml:space="preserve"> (2010);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</w:t>
            </w: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Brousseau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(2009)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CF0E91">
              <w:rPr>
                <w:rFonts w:asciiTheme="minorHAnsi" w:eastAsiaTheme="minorEastAsia" w:hAnsiTheme="minorHAnsi" w:cstheme="minorHAnsi"/>
                <w:szCs w:val="20"/>
              </w:rPr>
              <w:t xml:space="preserve">Incidence of 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>sickle cell disease among population turning 18 each year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40</w:t>
            </w:r>
            <w:r w:rsidRPr="00CF0E91">
              <w:rPr>
                <w:rFonts w:asciiTheme="minorHAnsi" w:eastAsiaTheme="minorEastAsia" w:hAnsiTheme="minorHAnsi" w:cstheme="minorHAnsi"/>
                <w:szCs w:val="20"/>
              </w:rPr>
              <w:t xml:space="preserve"> per 100,000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Hassell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(2010); </w:t>
            </w: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Brousseau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(2009)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Mortality rate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15</w:t>
            </w:r>
            <w:r w:rsidRPr="00CF0E91">
              <w:rPr>
                <w:rFonts w:asciiTheme="minorHAnsi" w:eastAsiaTheme="minorEastAsia" w:hAnsiTheme="minorHAnsi" w:cstheme="minorHAnsi"/>
                <w:szCs w:val="20"/>
              </w:rPr>
              <w:t>.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>13</w:t>
            </w:r>
            <w:r w:rsidRPr="00CF0E91">
              <w:rPr>
                <w:rFonts w:asciiTheme="minorHAnsi" w:eastAsiaTheme="minorEastAsia" w:hAnsiTheme="minorHAnsi" w:cstheme="minorHAnsi"/>
                <w:szCs w:val="20"/>
              </w:rPr>
              <w:t xml:space="preserve"> per 100,000 </w:t>
            </w:r>
            <w:r w:rsidRPr="00E84FD2">
              <w:rPr>
                <w:rFonts w:asciiTheme="minorHAnsi" w:eastAsiaTheme="minorEastAsia" w:hAnsiTheme="minorHAnsi" w:cstheme="minorHAnsi"/>
                <w:szCs w:val="20"/>
              </w:rPr>
              <w:t xml:space="preserve">sickle cell disease </w:t>
            </w:r>
            <w:r w:rsidRPr="00CF0E91">
              <w:rPr>
                <w:rFonts w:asciiTheme="minorHAnsi" w:eastAsiaTheme="minorEastAsia" w:hAnsiTheme="minorHAnsi" w:cstheme="minorHAnsi"/>
                <w:szCs w:val="20"/>
              </w:rPr>
              <w:t>patients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Paulukonis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(2016)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07272" w:rsidRPr="00C73146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0"/>
              </w:rPr>
            </w:pPr>
            <w:r w:rsidRPr="00C73146">
              <w:rPr>
                <w:rFonts w:asciiTheme="minorHAnsi" w:eastAsiaTheme="minorEastAsia" w:hAnsiTheme="minorHAnsi" w:cstheme="minorHAnsi"/>
                <w:b/>
                <w:bCs/>
                <w:szCs w:val="20"/>
              </w:rPr>
              <w:t>Sickle Cell Disease Crises Care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Frequency of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cute 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are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>isits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" w:name="RANGE!G16"/>
            <w:r w:rsidRPr="00E84FD2">
              <w:rPr>
                <w:rFonts w:asciiTheme="minorHAnsi" w:hAnsiTheme="minorHAnsi" w:cstheme="minorHAnsi"/>
                <w:szCs w:val="20"/>
              </w:rPr>
              <w:t>2.67</w:t>
            </w:r>
            <w:bookmarkEnd w:id="1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 (2021)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5F19AB">
              <w:rPr>
                <w:rFonts w:asciiTheme="minorHAnsi" w:hAnsiTheme="minorHAnsi" w:cstheme="minorHAnsi"/>
                <w:szCs w:val="20"/>
              </w:rPr>
              <w:t>Proportion of VOC events initially treated in an ED among patients with specialty care access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2" w:name="RANGE!G31"/>
            <w:r w:rsidRPr="00E84FD2">
              <w:rPr>
                <w:rFonts w:asciiTheme="minorHAnsi" w:hAnsiTheme="minorHAnsi" w:cstheme="minorHAnsi"/>
                <w:szCs w:val="20"/>
              </w:rPr>
              <w:t>0.30</w:t>
            </w:r>
            <w:bookmarkEnd w:id="2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Proportion of IC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isits 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E84FD2">
              <w:rPr>
                <w:rFonts w:asciiTheme="minorHAnsi" w:hAnsiTheme="minorHAnsi" w:cstheme="minorHAnsi"/>
                <w:szCs w:val="20"/>
              </w:rPr>
              <w:t>ent to ED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3" w:name="RANGE!G17"/>
            <w:r w:rsidRPr="00E84FD2">
              <w:rPr>
                <w:rFonts w:asciiTheme="minorHAnsi" w:hAnsiTheme="minorHAnsi" w:cstheme="minorHAnsi"/>
                <w:szCs w:val="20"/>
              </w:rPr>
              <w:t>0.14</w:t>
            </w:r>
            <w:bookmarkEnd w:id="3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 (2021)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Proportion of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dult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atients </w:t>
            </w:r>
            <w:r>
              <w:rPr>
                <w:rFonts w:asciiTheme="minorHAnsi" w:hAnsiTheme="minorHAnsi" w:cstheme="minorHAnsi"/>
                <w:szCs w:val="20"/>
              </w:rPr>
              <w:t>w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ho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ave </w:t>
            </w:r>
            <w:r>
              <w:rPr>
                <w:rFonts w:asciiTheme="minorHAnsi" w:hAnsiTheme="minorHAnsi" w:cstheme="minorHAnsi"/>
                <w:szCs w:val="20"/>
              </w:rPr>
              <w:t>z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ero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cute 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are 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ncounters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>nnually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4" w:name="RANGE!G18"/>
            <w:r w:rsidRPr="00E84FD2">
              <w:rPr>
                <w:rFonts w:asciiTheme="minorHAnsi" w:hAnsiTheme="minorHAnsi" w:cstheme="minorHAnsi"/>
                <w:szCs w:val="20"/>
              </w:rPr>
              <w:t>0.26</w:t>
            </w:r>
            <w:bookmarkEnd w:id="4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Brousseau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(2010)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Proportion of ED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isits resulting in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ospital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>dmission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5" w:name="RANGE!G19"/>
            <w:r w:rsidRPr="00E84FD2">
              <w:rPr>
                <w:rFonts w:asciiTheme="minorHAnsi" w:hAnsiTheme="minorHAnsi" w:cstheme="minorHAnsi"/>
                <w:szCs w:val="20"/>
              </w:rPr>
              <w:t>0.38</w:t>
            </w:r>
            <w:bookmarkEnd w:id="5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(2010) 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Proportion of IC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>isits result</w:t>
            </w:r>
            <w:r>
              <w:rPr>
                <w:rFonts w:asciiTheme="minorHAnsi" w:hAnsiTheme="minorHAnsi" w:cstheme="minorHAnsi"/>
                <w:szCs w:val="20"/>
              </w:rPr>
              <w:t>ing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 in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ospital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>dmission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6" w:name="RANGE!G20"/>
            <w:r w:rsidRPr="00E84FD2">
              <w:rPr>
                <w:rFonts w:asciiTheme="minorHAnsi" w:hAnsiTheme="minorHAnsi" w:cstheme="minorHAnsi"/>
                <w:szCs w:val="20"/>
              </w:rPr>
              <w:t>0.11</w:t>
            </w:r>
            <w:bookmarkEnd w:id="6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 (2021)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677D9F" w:rsidRDefault="00107272" w:rsidP="00444863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Model transition probabilities conditioned on receipt of initial care at an IC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Proportion of IC visits that transition to inpatient care prior to discharge home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7" w:name="RANGE!G21"/>
            <w:r w:rsidRPr="00E84FD2">
              <w:rPr>
                <w:rFonts w:asciiTheme="minorHAnsi" w:hAnsiTheme="minorHAnsi" w:cstheme="minorHAnsi"/>
                <w:szCs w:val="20"/>
              </w:rPr>
              <w:t>0.06</w:t>
            </w:r>
            <w:bookmarkEnd w:id="7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Proportion of IC visits that transition to ED prior to discharge home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8" w:name="RANGE!G22"/>
            <w:r w:rsidRPr="00E84FD2">
              <w:rPr>
                <w:rFonts w:asciiTheme="minorHAnsi" w:hAnsiTheme="minorHAnsi" w:cstheme="minorHAnsi"/>
                <w:szCs w:val="20"/>
              </w:rPr>
              <w:t>0.09</w:t>
            </w:r>
            <w:bookmarkEnd w:id="8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Proportion of IC visits that transition from ED to an inpatient stay prior to being discharged home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9" w:name="RANGE!G23"/>
            <w:r w:rsidRPr="00E84FD2">
              <w:rPr>
                <w:rFonts w:asciiTheme="minorHAnsi" w:hAnsiTheme="minorHAnsi" w:cstheme="minorHAnsi"/>
                <w:szCs w:val="20"/>
              </w:rPr>
              <w:t>0.05</w:t>
            </w:r>
            <w:bookmarkEnd w:id="9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Proportion of IC visits that require no additional care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0" w:name="RANGE!G24"/>
            <w:r w:rsidRPr="00E84FD2">
              <w:rPr>
                <w:rFonts w:asciiTheme="minorHAnsi" w:hAnsiTheme="minorHAnsi" w:cstheme="minorHAnsi"/>
                <w:szCs w:val="20"/>
              </w:rPr>
              <w:t>0.80</w:t>
            </w:r>
            <w:bookmarkEnd w:id="10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E248E5" w:rsidRDefault="00107272" w:rsidP="00444863">
            <w:pPr>
              <w:spacing w:line="240" w:lineRule="auto"/>
              <w:jc w:val="center"/>
              <w:rPr>
                <w:rFonts w:eastAsiaTheme="minorEastAsia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Model transition probabilities conditioned on receipt of initial care at an ED: treated state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lastRenderedPageBreak/>
              <w:t xml:space="preserve">Proportion of ED visits that transition from IC visit to home without requiring additional care 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1" w:name="RANGE!G25"/>
            <w:r w:rsidRPr="00E84FD2">
              <w:rPr>
                <w:rFonts w:asciiTheme="minorHAnsi" w:hAnsiTheme="minorHAnsi" w:cstheme="minorHAnsi"/>
                <w:szCs w:val="20"/>
              </w:rPr>
              <w:t>0.01</w:t>
            </w:r>
            <w:bookmarkEnd w:id="11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Proportion of ED to home 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2" w:name="RANGE!G26"/>
            <w:r w:rsidRPr="00E84FD2">
              <w:rPr>
                <w:rFonts w:asciiTheme="minorHAnsi" w:hAnsiTheme="minorHAnsi" w:cstheme="minorHAnsi"/>
                <w:szCs w:val="20"/>
              </w:rPr>
              <w:t>0.61</w:t>
            </w:r>
            <w:bookmarkEnd w:id="12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61F4C">
              <w:rPr>
                <w:rFonts w:asciiTheme="minorHAnsi" w:hAnsiTheme="minorHAnsi" w:cstheme="minorHAnsi"/>
                <w:szCs w:val="20"/>
              </w:rPr>
              <w:t xml:space="preserve">Proportion of ED to hospital to home </w:t>
            </w:r>
          </w:p>
        </w:tc>
        <w:tc>
          <w:tcPr>
            <w:tcW w:w="826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13" w:name="RANGE!G27"/>
            <w:r w:rsidRPr="00E84FD2">
              <w:rPr>
                <w:rFonts w:asciiTheme="minorHAnsi" w:hAnsiTheme="minorHAnsi" w:cstheme="minorHAnsi"/>
                <w:szCs w:val="20"/>
              </w:rPr>
              <w:t>0.38</w:t>
            </w:r>
            <w:bookmarkEnd w:id="13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E248E5" w:rsidRDefault="00107272" w:rsidP="00444863">
            <w:pPr>
              <w:spacing w:line="240" w:lineRule="auto"/>
              <w:jc w:val="center"/>
              <w:rPr>
                <w:rFonts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Model transition probabilities conditioned on receipt of initial care at an ED: baseline state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61F4C">
              <w:rPr>
                <w:rFonts w:asciiTheme="minorHAnsi" w:hAnsiTheme="minorHAnsi" w:cstheme="minorHAnsi"/>
                <w:szCs w:val="20"/>
              </w:rPr>
              <w:t xml:space="preserve">Proportion of ED to IC to home </w:t>
            </w:r>
          </w:p>
        </w:tc>
        <w:tc>
          <w:tcPr>
            <w:tcW w:w="826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14" w:name="RANGE!G28"/>
            <w:r w:rsidRPr="00E84FD2">
              <w:rPr>
                <w:rFonts w:asciiTheme="minorHAnsi" w:hAnsiTheme="minorHAnsi" w:cstheme="minorHAnsi"/>
                <w:szCs w:val="20"/>
              </w:rPr>
              <w:t>0.00</w:t>
            </w:r>
            <w:bookmarkEnd w:id="14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61F4C">
              <w:rPr>
                <w:rFonts w:asciiTheme="minorHAnsi" w:hAnsiTheme="minorHAnsi" w:cstheme="minorHAnsi"/>
                <w:szCs w:val="20"/>
              </w:rPr>
              <w:t xml:space="preserve">Proportion of ED to home </w:t>
            </w:r>
          </w:p>
        </w:tc>
        <w:tc>
          <w:tcPr>
            <w:tcW w:w="826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15" w:name="RANGE!G29"/>
            <w:r w:rsidRPr="00E84FD2">
              <w:rPr>
                <w:rFonts w:asciiTheme="minorHAnsi" w:hAnsiTheme="minorHAnsi" w:cstheme="minorHAnsi"/>
                <w:szCs w:val="20"/>
              </w:rPr>
              <w:t>0.62</w:t>
            </w:r>
            <w:bookmarkEnd w:id="15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61F4C">
              <w:rPr>
                <w:rFonts w:asciiTheme="minorHAnsi" w:hAnsiTheme="minorHAnsi" w:cstheme="minorHAnsi"/>
                <w:szCs w:val="20"/>
              </w:rPr>
              <w:t xml:space="preserve">Proportion of ED to hospital to home </w:t>
            </w:r>
          </w:p>
        </w:tc>
        <w:tc>
          <w:tcPr>
            <w:tcW w:w="826" w:type="pct"/>
          </w:tcPr>
          <w:p w:rsidR="00107272" w:rsidRPr="00661F4C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16" w:name="RANGE!G30"/>
            <w:r w:rsidRPr="00E84FD2">
              <w:rPr>
                <w:rFonts w:asciiTheme="minorHAnsi" w:hAnsiTheme="minorHAnsi" w:cstheme="minorHAnsi"/>
                <w:szCs w:val="20"/>
              </w:rPr>
              <w:t>0.38</w:t>
            </w:r>
            <w:bookmarkEnd w:id="16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A058F4">
              <w:rPr>
                <w:rFonts w:asciiTheme="minorHAnsi" w:hAnsiTheme="minorHAnsi" w:cstheme="minorHAnsi"/>
                <w:szCs w:val="20"/>
              </w:rPr>
              <w:t>Authors’ calculation based on clinical expert input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07272" w:rsidRPr="00C73146" w:rsidRDefault="00107272" w:rsidP="00444863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73146">
              <w:rPr>
                <w:rFonts w:asciiTheme="minorHAnsi" w:hAnsiTheme="minorHAnsi" w:cstheme="minorHAnsi"/>
                <w:b/>
                <w:bCs/>
                <w:szCs w:val="20"/>
              </w:rPr>
              <w:t>Direct Costs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Total Medical Costs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ED costs, per visit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17" w:name="RANGE!G35"/>
            <w:r w:rsidRPr="00E84FD2">
              <w:rPr>
                <w:rFonts w:asciiTheme="minorHAnsi" w:hAnsiTheme="minorHAnsi" w:cstheme="minorHAnsi"/>
                <w:szCs w:val="20"/>
              </w:rPr>
              <w:t>$2,379.82</w:t>
            </w:r>
            <w:bookmarkEnd w:id="17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Johns Hopkins Hospital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, Provided by Dr. Sophie </w:t>
            </w:r>
            <w:proofErr w:type="spellStart"/>
            <w:r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>
              <w:rPr>
                <w:rFonts w:asciiTheme="minorHAnsi" w:eastAsiaTheme="minorEastAsia" w:hAnsiTheme="minorHAnsi" w:cstheme="minorHAnsi"/>
                <w:szCs w:val="20"/>
              </w:rPr>
              <w:t xml:space="preserve"> October 25, 2020.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Inpatient hospital costs, per stay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8" w:name="RANGE!G36"/>
            <w:r w:rsidRPr="00E84FD2">
              <w:rPr>
                <w:rFonts w:asciiTheme="minorHAnsi" w:hAnsiTheme="minorHAnsi" w:cstheme="minorHAnsi"/>
                <w:szCs w:val="20"/>
              </w:rPr>
              <w:t>$32,125.62</w:t>
            </w:r>
            <w:bookmarkEnd w:id="18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HCUP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2017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IC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>isit cost, per visit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19" w:name="RANGE!G37"/>
            <w:r w:rsidRPr="00E84FD2">
              <w:rPr>
                <w:rFonts w:asciiTheme="minorHAnsi" w:hAnsiTheme="minorHAnsi" w:cstheme="minorHAnsi"/>
                <w:szCs w:val="20"/>
              </w:rPr>
              <w:t>$1,004.59</w:t>
            </w:r>
            <w:bookmarkEnd w:id="19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Johns Hopkins Hospital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, Provided by Dr. Sophie </w:t>
            </w:r>
            <w:proofErr w:type="spellStart"/>
            <w:r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>
              <w:rPr>
                <w:rFonts w:asciiTheme="minorHAnsi" w:eastAsiaTheme="minorEastAsia" w:hAnsiTheme="minorHAnsi" w:cstheme="minorHAnsi"/>
                <w:szCs w:val="20"/>
              </w:rPr>
              <w:t xml:space="preserve"> October 25, 2020. 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Patient Out</w:t>
            </w:r>
            <w:r>
              <w:rPr>
                <w:rFonts w:asciiTheme="minorHAnsi" w:hAnsiTheme="minorHAnsi" w:cstheme="minorHAnsi"/>
                <w:szCs w:val="20"/>
              </w:rPr>
              <w:t>-</w:t>
            </w:r>
            <w:r w:rsidRPr="00677D9F">
              <w:rPr>
                <w:rFonts w:cstheme="minorHAnsi"/>
                <w:szCs w:val="20"/>
              </w:rPr>
              <w:t>of</w:t>
            </w:r>
            <w:r>
              <w:rPr>
                <w:rFonts w:asciiTheme="minorHAnsi" w:hAnsiTheme="minorHAnsi" w:cstheme="minorHAnsi"/>
                <w:szCs w:val="20"/>
              </w:rPr>
              <w:t>-</w:t>
            </w:r>
            <w:r w:rsidRPr="00677D9F">
              <w:rPr>
                <w:rFonts w:cstheme="minorHAnsi"/>
                <w:szCs w:val="20"/>
              </w:rPr>
              <w:t>Pocket Costs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ED costs, per visit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0" w:name="RANGE!G39"/>
            <w:r w:rsidRPr="00E84FD2">
              <w:rPr>
                <w:rFonts w:asciiTheme="minorHAnsi" w:hAnsiTheme="minorHAnsi" w:cstheme="minorHAnsi"/>
                <w:szCs w:val="20"/>
              </w:rPr>
              <w:t>$204.20</w:t>
            </w:r>
            <w:bookmarkEnd w:id="20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Medical Expenditure Panel Survey; Johns Hopkins Hospital 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Inpatient hospital costs, per stay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1" w:name="RANGE!G40"/>
            <w:r w:rsidRPr="00E84FD2">
              <w:rPr>
                <w:rFonts w:asciiTheme="minorHAnsi" w:hAnsiTheme="minorHAnsi" w:cstheme="minorHAnsi"/>
                <w:szCs w:val="20"/>
              </w:rPr>
              <w:t>$2,756.55</w:t>
            </w:r>
            <w:bookmarkEnd w:id="21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Medical Expenditure Panel Survey; HCUP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 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2017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IC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>isit cost, per visit</w:t>
            </w:r>
          </w:p>
        </w:tc>
        <w:tc>
          <w:tcPr>
            <w:tcW w:w="826" w:type="pct"/>
          </w:tcPr>
          <w:p w:rsidR="00107272" w:rsidRPr="00E84FD2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2" w:name="RANGE!G41"/>
            <w:r w:rsidRPr="00E84FD2">
              <w:rPr>
                <w:rFonts w:asciiTheme="minorHAnsi" w:hAnsiTheme="minorHAnsi" w:cstheme="minorHAnsi"/>
                <w:szCs w:val="20"/>
              </w:rPr>
              <w:t>$86.20</w:t>
            </w:r>
            <w:bookmarkEnd w:id="22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Medical Expenditure Panel Survey; Johns Hopkins Hospital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07272" w:rsidRPr="00C73146" w:rsidRDefault="00107272" w:rsidP="00444863">
            <w:pPr>
              <w:tabs>
                <w:tab w:val="left" w:pos="666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0"/>
              </w:rPr>
            </w:pPr>
            <w:r w:rsidRPr="00C73146">
              <w:rPr>
                <w:rFonts w:asciiTheme="minorHAnsi" w:eastAsiaTheme="minorEastAsia" w:hAnsiTheme="minorHAnsi" w:cstheme="minorHAnsi"/>
                <w:b/>
                <w:bCs/>
                <w:szCs w:val="20"/>
              </w:rPr>
              <w:t>Indirect Costs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Patient Time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Length of 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tay in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E84FD2">
              <w:rPr>
                <w:rFonts w:asciiTheme="minorHAnsi" w:hAnsiTheme="minorHAnsi" w:cstheme="minorHAnsi"/>
                <w:szCs w:val="20"/>
              </w:rPr>
              <w:t>ospital (hours)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3" w:name="RANGE!G45"/>
            <w:r w:rsidRPr="00E84FD2">
              <w:rPr>
                <w:rFonts w:asciiTheme="minorHAnsi" w:hAnsiTheme="minorHAnsi" w:cstheme="minorHAnsi"/>
                <w:szCs w:val="20"/>
              </w:rPr>
              <w:t>114.84</w:t>
            </w:r>
            <w:bookmarkEnd w:id="23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HCUP 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2017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Length of 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pecialty 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are IC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>isit (hours)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4" w:name="RANGE!G46"/>
            <w:r w:rsidRPr="00E84FD2">
              <w:rPr>
                <w:rFonts w:asciiTheme="minorHAnsi" w:hAnsiTheme="minorHAnsi" w:cstheme="minorHAnsi"/>
                <w:szCs w:val="20"/>
              </w:rPr>
              <w:t>4.3</w:t>
            </w:r>
            <w:r>
              <w:rPr>
                <w:rFonts w:asciiTheme="minorHAnsi" w:hAnsiTheme="minorHAnsi" w:cstheme="minorHAnsi"/>
                <w:szCs w:val="20"/>
              </w:rPr>
              <w:t>2</w:t>
            </w:r>
            <w:bookmarkEnd w:id="24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HCUP 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2017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; </w:t>
            </w: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. (2021)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Length of ED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isit (hours) 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5" w:name="RANGE!G47"/>
            <w:r w:rsidRPr="00E84FD2">
              <w:rPr>
                <w:rFonts w:asciiTheme="minorHAnsi" w:hAnsiTheme="minorHAnsi" w:cstheme="minorHAnsi"/>
                <w:szCs w:val="20"/>
              </w:rPr>
              <w:t>5.40</w:t>
            </w:r>
            <w:bookmarkEnd w:id="25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HCUP 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2017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Value of Time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lastRenderedPageBreak/>
              <w:t>Average hourly wage rate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CF0E91">
              <w:rPr>
                <w:rFonts w:asciiTheme="minorHAnsi" w:eastAsiaTheme="minorEastAsia" w:hAnsiTheme="minorHAnsi" w:cstheme="minorHAnsi"/>
                <w:szCs w:val="20"/>
              </w:rPr>
              <w:t>$29.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58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U.S.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DOL 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BLS</w:t>
            </w:r>
            <w:r>
              <w:rPr>
                <w:rFonts w:asciiTheme="minorHAnsi" w:eastAsiaTheme="minorEastAsia" w:hAnsiTheme="minorHAnsi" w:cstheme="minorHAnsi"/>
                <w:szCs w:val="20"/>
              </w:rPr>
              <w:t xml:space="preserve"> (2018)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Average hourly caregiver wage rate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CF0E91">
              <w:rPr>
                <w:rFonts w:asciiTheme="minorHAnsi" w:eastAsiaTheme="minorEastAsia" w:hAnsiTheme="minorHAnsi" w:cstheme="minorHAnsi"/>
                <w:szCs w:val="20"/>
              </w:rPr>
              <w:t>$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15.80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Cs w:val="20"/>
              </w:rPr>
              <w:t>U.S. DOL BLS (2018)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>Productivity loss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Labor </w:t>
            </w:r>
            <w:r>
              <w:rPr>
                <w:rFonts w:asciiTheme="minorHAnsi" w:hAnsiTheme="minorHAnsi" w:cstheme="minorHAnsi"/>
                <w:szCs w:val="20"/>
              </w:rPr>
              <w:t>f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orce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articipation </w:t>
            </w:r>
            <w:r>
              <w:rPr>
                <w:rFonts w:asciiTheme="minorHAnsi" w:hAnsiTheme="minorHAnsi" w:cstheme="minorHAnsi"/>
                <w:szCs w:val="20"/>
              </w:rPr>
              <w:t>r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ate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mong SCD </w:t>
            </w:r>
            <w:r>
              <w:rPr>
                <w:rFonts w:asciiTheme="minorHAnsi" w:hAnsiTheme="minorHAnsi" w:cstheme="minorHAnsi"/>
                <w:szCs w:val="20"/>
              </w:rPr>
              <w:t>p</w:t>
            </w:r>
            <w:r w:rsidRPr="00E84FD2">
              <w:rPr>
                <w:rFonts w:asciiTheme="minorHAnsi" w:hAnsiTheme="minorHAnsi" w:cstheme="minorHAnsi"/>
                <w:szCs w:val="20"/>
              </w:rPr>
              <w:t>opulation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6" w:name="RANGE!G52"/>
            <w:r w:rsidRPr="00E84FD2">
              <w:rPr>
                <w:rFonts w:asciiTheme="minorHAnsi" w:hAnsiTheme="minorHAnsi" w:cstheme="minorHAnsi"/>
                <w:szCs w:val="20"/>
              </w:rPr>
              <w:t>0.41</w:t>
            </w:r>
            <w:bookmarkEnd w:id="26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proofErr w:type="spellStart"/>
            <w:r w:rsidRPr="00A058F4">
              <w:rPr>
                <w:rFonts w:asciiTheme="minorHAnsi" w:eastAsiaTheme="minorEastAsia" w:hAnsiTheme="minorHAnsi" w:cstheme="minorHAnsi"/>
                <w:szCs w:val="20"/>
              </w:rPr>
              <w:t>Lanzkron</w:t>
            </w:r>
            <w:proofErr w:type="spellEnd"/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 et al. (2018)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Caregiver </w:t>
            </w:r>
            <w:r>
              <w:rPr>
                <w:rFonts w:asciiTheme="minorHAnsi" w:hAnsiTheme="minorHAnsi" w:cstheme="minorHAnsi"/>
                <w:szCs w:val="20"/>
              </w:rPr>
              <w:t>t</w:t>
            </w:r>
            <w:r w:rsidRPr="00E84FD2">
              <w:rPr>
                <w:rFonts w:asciiTheme="minorHAnsi" w:hAnsiTheme="minorHAnsi" w:cstheme="minorHAnsi"/>
                <w:szCs w:val="20"/>
              </w:rPr>
              <w:t>ime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bookmarkStart w:id="27" w:name="RANGE!G53"/>
            <w:r w:rsidRPr="00E84FD2">
              <w:rPr>
                <w:rFonts w:asciiTheme="minorHAnsi" w:hAnsiTheme="minorHAnsi" w:cstheme="minorHAnsi"/>
                <w:szCs w:val="20"/>
              </w:rPr>
              <w:t>1.00</w:t>
            </w:r>
            <w:bookmarkEnd w:id="27"/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Author 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a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ssumption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07272" w:rsidRPr="00A058F4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szCs w:val="20"/>
              </w:rPr>
            </w:pPr>
            <w:r w:rsidRPr="00677D9F">
              <w:rPr>
                <w:rFonts w:cstheme="minorHAnsi"/>
                <w:szCs w:val="20"/>
              </w:rPr>
              <w:t xml:space="preserve">Travel 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677D9F">
              <w:rPr>
                <w:rFonts w:cstheme="minorHAnsi"/>
                <w:szCs w:val="20"/>
              </w:rPr>
              <w:t>osts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Transportation 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E84FD2">
              <w:rPr>
                <w:rFonts w:asciiTheme="minorHAnsi" w:hAnsiTheme="minorHAnsi" w:cstheme="minorHAnsi"/>
                <w:szCs w:val="20"/>
              </w:rPr>
              <w:t>ost (</w:t>
            </w: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ost per </w:t>
            </w:r>
            <w:r>
              <w:rPr>
                <w:rFonts w:asciiTheme="minorHAnsi" w:hAnsiTheme="minorHAnsi" w:cstheme="minorHAnsi"/>
                <w:szCs w:val="20"/>
              </w:rPr>
              <w:t>m</w:t>
            </w:r>
            <w:r w:rsidRPr="00E84FD2">
              <w:rPr>
                <w:rFonts w:asciiTheme="minorHAnsi" w:hAnsiTheme="minorHAnsi" w:cstheme="minorHAnsi"/>
                <w:szCs w:val="20"/>
              </w:rPr>
              <w:t>ile)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.58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 xml:space="preserve">IRS 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(</w:t>
            </w:r>
            <w:r w:rsidRPr="00A058F4">
              <w:rPr>
                <w:rFonts w:asciiTheme="minorHAnsi" w:eastAsiaTheme="minorEastAsia" w:hAnsiTheme="minorHAnsi" w:cstheme="minorHAnsi"/>
                <w:szCs w:val="20"/>
              </w:rPr>
              <w:t>2019</w:t>
            </w:r>
            <w:r>
              <w:rPr>
                <w:rFonts w:asciiTheme="minorHAnsi" w:eastAsiaTheme="minorEastAsia" w:hAnsiTheme="minorHAnsi" w:cstheme="minorHAnsi"/>
                <w:szCs w:val="20"/>
              </w:rPr>
              <w:t>)</w:t>
            </w:r>
          </w:p>
        </w:tc>
      </w:tr>
      <w:tr w:rsidR="00107272" w:rsidRPr="00CF0E91" w:rsidTr="00444863">
        <w:trPr>
          <w:trHeight w:val="288"/>
        </w:trPr>
        <w:tc>
          <w:tcPr>
            <w:tcW w:w="2297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  <w:highlight w:val="yellow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 xml:space="preserve">Average </w:t>
            </w:r>
            <w:r>
              <w:rPr>
                <w:rFonts w:asciiTheme="minorHAnsi" w:hAnsiTheme="minorHAnsi" w:cstheme="minorHAnsi"/>
                <w:szCs w:val="20"/>
              </w:rPr>
              <w:t>d</w:t>
            </w:r>
            <w:r w:rsidRPr="00E84FD2">
              <w:rPr>
                <w:rFonts w:asciiTheme="minorHAnsi" w:hAnsiTheme="minorHAnsi" w:cstheme="minorHAnsi"/>
                <w:szCs w:val="20"/>
              </w:rPr>
              <w:t xml:space="preserve">istance from ED to </w:t>
            </w: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E84FD2">
              <w:rPr>
                <w:rFonts w:asciiTheme="minorHAnsi" w:hAnsiTheme="minorHAnsi" w:cstheme="minorHAnsi"/>
                <w:szCs w:val="20"/>
              </w:rPr>
              <w:t>ome</w:t>
            </w:r>
          </w:p>
        </w:tc>
        <w:tc>
          <w:tcPr>
            <w:tcW w:w="826" w:type="pct"/>
          </w:tcPr>
          <w:p w:rsidR="00107272" w:rsidRPr="00CF0E91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E84FD2">
              <w:rPr>
                <w:rFonts w:asciiTheme="minorHAnsi" w:eastAsiaTheme="minorEastAsia" w:hAnsiTheme="minorHAnsi" w:cstheme="minorHAnsi"/>
                <w:szCs w:val="20"/>
              </w:rPr>
              <w:t>6.80</w:t>
            </w:r>
          </w:p>
        </w:tc>
        <w:tc>
          <w:tcPr>
            <w:tcW w:w="1877" w:type="pct"/>
          </w:tcPr>
          <w:p w:rsidR="00107272" w:rsidRPr="00A058F4" w:rsidRDefault="00107272" w:rsidP="00444863">
            <w:pPr>
              <w:spacing w:line="240" w:lineRule="auto"/>
              <w:rPr>
                <w:rFonts w:asciiTheme="minorHAnsi" w:eastAsiaTheme="minorEastAsia" w:hAnsiTheme="minorHAnsi" w:cstheme="minorHAnsi"/>
                <w:szCs w:val="20"/>
              </w:rPr>
            </w:pPr>
            <w:r w:rsidRPr="00A058F4">
              <w:rPr>
                <w:rFonts w:asciiTheme="minorHAnsi" w:eastAsiaTheme="minorEastAsia" w:hAnsiTheme="minorHAnsi" w:cstheme="minorHAnsi"/>
                <w:szCs w:val="20"/>
              </w:rPr>
              <w:t>Brown et al. (2015)</w:t>
            </w:r>
          </w:p>
        </w:tc>
      </w:tr>
      <w:tr w:rsidR="00107272" w:rsidRPr="00CF0E91" w:rsidTr="00444863">
        <w:trPr>
          <w:trHeight w:val="288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07272" w:rsidRPr="00C73146" w:rsidRDefault="00107272" w:rsidP="00444863">
            <w:pPr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0"/>
              </w:rPr>
            </w:pPr>
            <w:r w:rsidRPr="00C73146">
              <w:rPr>
                <w:rFonts w:asciiTheme="minorHAnsi" w:eastAsiaTheme="minorEastAsia" w:hAnsiTheme="minorHAnsi" w:cstheme="minorHAnsi"/>
                <w:b/>
                <w:bCs/>
                <w:szCs w:val="20"/>
              </w:rPr>
              <w:t>Probabilities and Fractions</w:t>
            </w:r>
          </w:p>
        </w:tc>
      </w:tr>
      <w:tr w:rsidR="00107272" w:rsidRPr="00934F4D" w:rsidTr="00444863">
        <w:trPr>
          <w:trHeight w:val="288"/>
        </w:trPr>
        <w:tc>
          <w:tcPr>
            <w:tcW w:w="2297" w:type="pct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Uptake of Specialty Care in Year 1</w:t>
            </w:r>
          </w:p>
        </w:tc>
        <w:tc>
          <w:tcPr>
            <w:tcW w:w="826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28" w:name="RANGE!G60"/>
            <w:r w:rsidRPr="00E84FD2">
              <w:rPr>
                <w:rFonts w:asciiTheme="minorHAnsi" w:hAnsiTheme="minorHAnsi" w:cstheme="minorHAnsi"/>
                <w:szCs w:val="20"/>
              </w:rPr>
              <w:t>0.1</w:t>
            </w:r>
            <w:bookmarkEnd w:id="28"/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877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Authors’ assumptions</w:t>
            </w:r>
            <w:r>
              <w:rPr>
                <w:rFonts w:asciiTheme="minorHAnsi" w:hAnsiTheme="minorHAnsi" w:cstheme="minorHAnsi"/>
                <w:szCs w:val="20"/>
              </w:rPr>
              <w:t>; modifiable in accompanying Excel model</w:t>
            </w:r>
          </w:p>
        </w:tc>
      </w:tr>
      <w:tr w:rsidR="00107272" w:rsidRPr="00934F4D" w:rsidTr="00444863">
        <w:trPr>
          <w:trHeight w:val="288"/>
        </w:trPr>
        <w:tc>
          <w:tcPr>
            <w:tcW w:w="229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Year-to-Year Change in Uptake (Percentage)</w:t>
            </w:r>
          </w:p>
        </w:tc>
        <w:tc>
          <w:tcPr>
            <w:tcW w:w="8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29" w:name="RANGE!G61"/>
            <w:r w:rsidRPr="00E84FD2">
              <w:rPr>
                <w:rFonts w:asciiTheme="minorHAnsi" w:hAnsiTheme="minorHAnsi" w:cstheme="minorHAnsi"/>
                <w:szCs w:val="20"/>
              </w:rPr>
              <w:t>0.10</w:t>
            </w:r>
            <w:bookmarkEnd w:id="29"/>
          </w:p>
        </w:tc>
        <w:tc>
          <w:tcPr>
            <w:tcW w:w="18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Authors’ assumptions</w:t>
            </w:r>
            <w:r>
              <w:rPr>
                <w:rFonts w:asciiTheme="minorHAnsi" w:hAnsiTheme="minorHAnsi" w:cstheme="minorHAnsi"/>
                <w:szCs w:val="20"/>
              </w:rPr>
              <w:t>; modifiable in accompanying Excel model</w:t>
            </w:r>
          </w:p>
        </w:tc>
      </w:tr>
      <w:tr w:rsidR="00107272" w:rsidRPr="00934F4D" w:rsidTr="00444863">
        <w:trPr>
          <w:trHeight w:val="288"/>
        </w:trPr>
        <w:tc>
          <w:tcPr>
            <w:tcW w:w="2297" w:type="pct"/>
            <w:tcBorders>
              <w:top w:val="single" w:sz="4" w:space="0" w:color="A6A6A6" w:themeColor="background1" w:themeShade="A6"/>
              <w:bottom w:val="single" w:sz="18" w:space="0" w:color="6C706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Maximum Level of Specialty Care Uptake</w:t>
            </w:r>
          </w:p>
        </w:tc>
        <w:tc>
          <w:tcPr>
            <w:tcW w:w="826" w:type="pct"/>
            <w:tcBorders>
              <w:top w:val="single" w:sz="4" w:space="0" w:color="A6A6A6" w:themeColor="background1" w:themeShade="A6"/>
              <w:bottom w:val="single" w:sz="18" w:space="0" w:color="6C706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bookmarkStart w:id="30" w:name="RANGE!G62"/>
            <w:r w:rsidRPr="00E84FD2">
              <w:rPr>
                <w:rFonts w:asciiTheme="minorHAnsi" w:hAnsiTheme="minorHAnsi" w:cstheme="minorHAnsi"/>
                <w:szCs w:val="20"/>
              </w:rPr>
              <w:t>0.50</w:t>
            </w:r>
            <w:bookmarkEnd w:id="30"/>
          </w:p>
        </w:tc>
        <w:tc>
          <w:tcPr>
            <w:tcW w:w="1877" w:type="pct"/>
            <w:tcBorders>
              <w:top w:val="single" w:sz="4" w:space="0" w:color="A6A6A6" w:themeColor="background1" w:themeShade="A6"/>
              <w:bottom w:val="single" w:sz="18" w:space="0" w:color="6C7066"/>
            </w:tcBorders>
          </w:tcPr>
          <w:p w:rsidR="00107272" w:rsidRPr="00E84FD2" w:rsidRDefault="00107272" w:rsidP="00444863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84FD2">
              <w:rPr>
                <w:rFonts w:asciiTheme="minorHAnsi" w:hAnsiTheme="minorHAnsi" w:cstheme="minorHAnsi"/>
                <w:szCs w:val="20"/>
              </w:rPr>
              <w:t>Authors’ assumptions</w:t>
            </w:r>
            <w:r>
              <w:rPr>
                <w:rFonts w:asciiTheme="minorHAnsi" w:hAnsiTheme="minorHAnsi" w:cstheme="minorHAnsi"/>
                <w:szCs w:val="20"/>
              </w:rPr>
              <w:t>; modifiable in accompanying Excel model</w:t>
            </w:r>
          </w:p>
        </w:tc>
      </w:tr>
    </w:tbl>
    <w:p w:rsidR="00107272" w:rsidRPr="00CF0E91" w:rsidRDefault="00107272" w:rsidP="00107272">
      <w:pPr>
        <w:spacing w:before="60" w:after="0" w:line="240" w:lineRule="auto"/>
        <w:contextualSpacing/>
        <w:rPr>
          <w:rFonts w:ascii="Calibri" w:eastAsia="Calibri" w:hAnsi="Calibri" w:cs="Calibri"/>
          <w:sz w:val="18"/>
          <w:szCs w:val="20"/>
        </w:rPr>
      </w:pPr>
      <w:r>
        <w:rPr>
          <w:rFonts w:ascii="Calibri" w:eastAsia="Calibri" w:hAnsi="Calibri" w:cs="Calibri"/>
          <w:sz w:val="18"/>
          <w:szCs w:val="20"/>
        </w:rPr>
        <w:t xml:space="preserve">Note: </w:t>
      </w:r>
      <w:r w:rsidRPr="00CF0E91">
        <w:rPr>
          <w:rFonts w:ascii="Calibri" w:eastAsia="Calibri" w:hAnsi="Calibri" w:cs="Calibri"/>
          <w:sz w:val="18"/>
          <w:szCs w:val="20"/>
        </w:rPr>
        <w:t>Dollars are in 2018 values.</w:t>
      </w:r>
    </w:p>
    <w:p w:rsidR="00107272" w:rsidRDefault="00107272" w:rsidP="00107272">
      <w:pPr>
        <w:spacing w:before="60" w:after="0" w:line="240" w:lineRule="auto"/>
        <w:contextualSpacing/>
        <w:rPr>
          <w:rFonts w:ascii="Calibri" w:eastAsia="Calibri" w:hAnsi="Calibri" w:cs="Calibri"/>
          <w:sz w:val="18"/>
          <w:szCs w:val="20"/>
        </w:rPr>
      </w:pPr>
      <w:r>
        <w:rPr>
          <w:rFonts w:ascii="Calibri" w:eastAsia="Calibri" w:hAnsi="Calibri" w:cs="Calibri"/>
          <w:sz w:val="18"/>
          <w:szCs w:val="20"/>
        </w:rPr>
        <w:t xml:space="preserve">DOL BLS = Department of Labor, Bureau of Labor Statistics; ED = emergency department; HCUP = </w:t>
      </w:r>
      <w:r w:rsidRPr="00027207">
        <w:rPr>
          <w:rFonts w:ascii="Calibri" w:eastAsia="Calibri" w:hAnsi="Calibri" w:cs="Calibri"/>
          <w:sz w:val="18"/>
          <w:szCs w:val="20"/>
        </w:rPr>
        <w:t>Healthcare Cost and Utilization Project;</w:t>
      </w:r>
      <w:r>
        <w:rPr>
          <w:rFonts w:ascii="Calibri" w:eastAsia="Calibri" w:hAnsi="Calibri" w:cs="Calibri"/>
          <w:sz w:val="18"/>
          <w:szCs w:val="20"/>
        </w:rPr>
        <w:t xml:space="preserve"> IC = infusion center; SCD = sickle cell disease</w:t>
      </w:r>
    </w:p>
    <w:bookmarkEnd w:id="0"/>
    <w:p w:rsidR="00107272" w:rsidRDefault="00107272" w:rsidP="00107272"/>
    <w:p w:rsidR="007313B5" w:rsidRDefault="007313B5">
      <w:bookmarkStart w:id="31" w:name="_GoBack"/>
      <w:bookmarkEnd w:id="31"/>
    </w:p>
    <w:sectPr w:rsidR="007313B5" w:rsidSect="00083BDB">
      <w:footerReference w:type="default" r:id="rId4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963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47D" w:rsidRPr="003E52EB" w:rsidRDefault="00107272" w:rsidP="000F135A">
        <w:pPr>
          <w:spacing w:line="240" w:lineRule="auto"/>
          <w:jc w:val="right"/>
          <w:rPr>
            <w:sz w:val="20"/>
            <w:szCs w:val="20"/>
          </w:rPr>
        </w:pPr>
        <w:r w:rsidRPr="003E52EB">
          <w:rPr>
            <w:i/>
            <w:sz w:val="20"/>
            <w:szCs w:val="20"/>
          </w:rPr>
          <w:t xml:space="preserve"> An Impact Evaluation of Two Modes of Care for Sickle Cell Disease Crises </w:t>
        </w:r>
        <w:r w:rsidRPr="003E52EB">
          <w:rPr>
            <w:sz w:val="20"/>
            <w:szCs w:val="20"/>
          </w:rPr>
          <w:t xml:space="preserve">| </w:t>
        </w:r>
        <w:r>
          <w:rPr>
            <w:sz w:val="20"/>
            <w:szCs w:val="20"/>
          </w:rPr>
          <w:t>A-</w:t>
        </w:r>
        <w:r w:rsidRPr="003E52EB">
          <w:rPr>
            <w:sz w:val="20"/>
            <w:szCs w:val="20"/>
          </w:rPr>
          <w:fldChar w:fldCharType="begin"/>
        </w:r>
        <w:r w:rsidRPr="003E52EB">
          <w:rPr>
            <w:sz w:val="20"/>
            <w:szCs w:val="20"/>
          </w:rPr>
          <w:instrText xml:space="preserve"> PAGE   \* MERGEFORMAT </w:instrText>
        </w:r>
        <w:r w:rsidRPr="003E52E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3E52EB">
          <w:rPr>
            <w:noProof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2"/>
    <w:rsid w:val="00107272"/>
    <w:rsid w:val="005E6636"/>
    <w:rsid w:val="007313B5"/>
    <w:rsid w:val="00B720B3"/>
    <w:rsid w:val="00C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F39E-1C3E-4EBD-8BFB-92A9160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72"/>
    <w:pPr>
      <w:spacing w:after="160"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272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272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table" w:customStyle="1" w:styleId="InsightTable1">
    <w:name w:val="Insight Table1"/>
    <w:basedOn w:val="TableNormal"/>
    <w:uiPriority w:val="99"/>
    <w:rsid w:val="00107272"/>
    <w:rPr>
      <w:rFonts w:ascii="Calibri" w:hAnsi="Calibri" w:cs="Times New Roman"/>
      <w:sz w:val="20"/>
      <w:lang w:val="en-US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>HP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1</cp:revision>
  <dcterms:created xsi:type="dcterms:W3CDTF">2022-01-19T13:54:00Z</dcterms:created>
  <dcterms:modified xsi:type="dcterms:W3CDTF">2022-01-19T13:55:00Z</dcterms:modified>
</cp:coreProperties>
</file>