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3230" w14:textId="77777777" w:rsidR="000D17C8" w:rsidRPr="00214661" w:rsidRDefault="000D17C8" w:rsidP="000D17C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14661">
        <w:rPr>
          <w:rFonts w:ascii="Arial" w:hAnsi="Arial" w:cs="Arial"/>
          <w:b/>
          <w:sz w:val="24"/>
          <w:szCs w:val="24"/>
          <w:lang w:val="en-US"/>
        </w:rPr>
        <w:t>Supplementary Table 1. ANCA status and reasons for ANCA testing in patients</w:t>
      </w:r>
    </w:p>
    <w:p w14:paraId="6CDB3231" w14:textId="77777777" w:rsidR="000D17C8" w:rsidRPr="00214661" w:rsidRDefault="000D17C8" w:rsidP="000D17C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6"/>
        <w:gridCol w:w="1842"/>
        <w:gridCol w:w="1842"/>
      </w:tblGrid>
      <w:tr w:rsidR="000D17C8" w:rsidRPr="00214661" w14:paraId="6CDB3234" w14:textId="77777777" w:rsidTr="00D57C24">
        <w:trPr>
          <w:trHeight w:val="300"/>
        </w:trPr>
        <w:tc>
          <w:tcPr>
            <w:tcW w:w="5736" w:type="dxa"/>
            <w:vAlign w:val="bottom"/>
          </w:tcPr>
          <w:p w14:paraId="6CDB3232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</w:p>
        </w:tc>
        <w:tc>
          <w:tcPr>
            <w:tcW w:w="3684" w:type="dxa"/>
            <w:gridSpan w:val="2"/>
            <w:vAlign w:val="center"/>
            <w:hideMark/>
          </w:tcPr>
          <w:p w14:paraId="6CDB3233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All patients (n=87)</w:t>
            </w:r>
          </w:p>
        </w:tc>
      </w:tr>
      <w:tr w:rsidR="000D17C8" w:rsidRPr="00214661" w14:paraId="6CDB3237" w14:textId="77777777" w:rsidTr="00D57C24">
        <w:trPr>
          <w:trHeight w:val="300"/>
        </w:trPr>
        <w:tc>
          <w:tcPr>
            <w:tcW w:w="5736" w:type="dxa"/>
            <w:vAlign w:val="center"/>
            <w:hideMark/>
          </w:tcPr>
          <w:p w14:paraId="6CDB3235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Any positive ANCA test, n(%)</w:t>
            </w:r>
          </w:p>
        </w:tc>
        <w:tc>
          <w:tcPr>
            <w:tcW w:w="3684" w:type="dxa"/>
            <w:gridSpan w:val="2"/>
            <w:vAlign w:val="center"/>
            <w:hideMark/>
          </w:tcPr>
          <w:p w14:paraId="6CDB3236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8 (9.2)</w:t>
            </w:r>
          </w:p>
        </w:tc>
      </w:tr>
      <w:tr w:rsidR="000D17C8" w:rsidRPr="00214661" w14:paraId="6CDB323A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38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Positive ANCA-IFA, n(%)</w:t>
            </w:r>
          </w:p>
        </w:tc>
        <w:tc>
          <w:tcPr>
            <w:tcW w:w="3684" w:type="dxa"/>
            <w:gridSpan w:val="2"/>
            <w:shd w:val="clear" w:color="auto" w:fill="EEECE1" w:themeFill="background2"/>
            <w:vAlign w:val="center"/>
            <w:hideMark/>
          </w:tcPr>
          <w:p w14:paraId="6CDB3239" w14:textId="77777777" w:rsidR="000D17C8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8 (9.2)</w:t>
            </w:r>
          </w:p>
        </w:tc>
      </w:tr>
      <w:tr w:rsidR="000D17C8" w:rsidRPr="00214661" w14:paraId="6CDB323D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3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</w:t>
            </w:r>
            <w:proofErr w:type="spellStart"/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pANCA</w:t>
            </w:r>
            <w:proofErr w:type="spellEnd"/>
          </w:p>
        </w:tc>
        <w:tc>
          <w:tcPr>
            <w:tcW w:w="3684" w:type="dxa"/>
            <w:gridSpan w:val="2"/>
            <w:shd w:val="clear" w:color="auto" w:fill="EEECE1" w:themeFill="background2"/>
            <w:vAlign w:val="center"/>
            <w:hideMark/>
          </w:tcPr>
          <w:p w14:paraId="6CDB323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</w:tr>
      <w:tr w:rsidR="000D17C8" w:rsidRPr="00214661" w14:paraId="6CDB3240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3E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</w:t>
            </w:r>
            <w:proofErr w:type="spellStart"/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cANCA</w:t>
            </w:r>
            <w:proofErr w:type="spellEnd"/>
          </w:p>
        </w:tc>
        <w:tc>
          <w:tcPr>
            <w:tcW w:w="3684" w:type="dxa"/>
            <w:gridSpan w:val="2"/>
            <w:shd w:val="clear" w:color="auto" w:fill="EEECE1" w:themeFill="background2"/>
            <w:vAlign w:val="center"/>
            <w:hideMark/>
          </w:tcPr>
          <w:p w14:paraId="6CDB323F" w14:textId="77777777" w:rsidR="000D17C8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6</w:t>
            </w:r>
            <w:r w:rsidR="000D17C8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(</w:t>
            </w: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6.9</w:t>
            </w:r>
            <w:r w:rsidR="000D17C8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)</w:t>
            </w:r>
          </w:p>
        </w:tc>
      </w:tr>
      <w:tr w:rsidR="00D57C24" w:rsidRPr="00214661" w14:paraId="6CDB3243" w14:textId="77777777" w:rsidTr="00D57C24">
        <w:trPr>
          <w:trHeight w:val="339"/>
        </w:trPr>
        <w:tc>
          <w:tcPr>
            <w:tcW w:w="5736" w:type="dxa"/>
            <w:vAlign w:val="center"/>
          </w:tcPr>
          <w:p w14:paraId="6CDB3241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Titers of ANCA-IFA in ANCA positive patients, n(%)</w:t>
            </w:r>
          </w:p>
        </w:tc>
        <w:tc>
          <w:tcPr>
            <w:tcW w:w="3684" w:type="dxa"/>
            <w:gridSpan w:val="2"/>
            <w:vAlign w:val="center"/>
          </w:tcPr>
          <w:p w14:paraId="6CDB3242" w14:textId="77777777" w:rsidR="00D57C24" w:rsidRPr="00214661" w:rsidRDefault="00D57C24" w:rsidP="00D57C2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</w:p>
        </w:tc>
      </w:tr>
      <w:tr w:rsidR="00D57C24" w:rsidRPr="00214661" w14:paraId="6CDB3246" w14:textId="77777777" w:rsidTr="00D57C24">
        <w:trPr>
          <w:trHeight w:val="339"/>
        </w:trPr>
        <w:tc>
          <w:tcPr>
            <w:tcW w:w="5736" w:type="dxa"/>
            <w:vAlign w:val="center"/>
          </w:tcPr>
          <w:p w14:paraId="6CDB3244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1:10</w:t>
            </w:r>
          </w:p>
        </w:tc>
        <w:tc>
          <w:tcPr>
            <w:tcW w:w="3684" w:type="dxa"/>
            <w:gridSpan w:val="2"/>
            <w:vAlign w:val="center"/>
          </w:tcPr>
          <w:p w14:paraId="6CDB3245" w14:textId="77777777" w:rsidR="00D57C24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3 (37.5)</w:t>
            </w:r>
          </w:p>
        </w:tc>
      </w:tr>
      <w:tr w:rsidR="00D57C24" w:rsidRPr="00214661" w14:paraId="6CDB3249" w14:textId="77777777" w:rsidTr="00D57C24">
        <w:trPr>
          <w:trHeight w:val="339"/>
        </w:trPr>
        <w:tc>
          <w:tcPr>
            <w:tcW w:w="5736" w:type="dxa"/>
            <w:vAlign w:val="center"/>
          </w:tcPr>
          <w:p w14:paraId="6CDB3247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1:32</w:t>
            </w:r>
          </w:p>
        </w:tc>
        <w:tc>
          <w:tcPr>
            <w:tcW w:w="3684" w:type="dxa"/>
            <w:gridSpan w:val="2"/>
            <w:vAlign w:val="center"/>
          </w:tcPr>
          <w:p w14:paraId="6CDB3248" w14:textId="77777777" w:rsidR="00D57C24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(25.0)</w:t>
            </w:r>
          </w:p>
        </w:tc>
      </w:tr>
      <w:tr w:rsidR="00D57C24" w:rsidRPr="00214661" w14:paraId="6CDB324C" w14:textId="77777777" w:rsidTr="00D57C24">
        <w:trPr>
          <w:trHeight w:val="339"/>
        </w:trPr>
        <w:tc>
          <w:tcPr>
            <w:tcW w:w="5736" w:type="dxa"/>
            <w:vAlign w:val="center"/>
          </w:tcPr>
          <w:p w14:paraId="6CDB324A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1:100</w:t>
            </w:r>
          </w:p>
        </w:tc>
        <w:tc>
          <w:tcPr>
            <w:tcW w:w="3684" w:type="dxa"/>
            <w:gridSpan w:val="2"/>
            <w:vAlign w:val="center"/>
          </w:tcPr>
          <w:p w14:paraId="6CDB324B" w14:textId="77777777" w:rsidR="00D57C24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(25.0)</w:t>
            </w:r>
          </w:p>
        </w:tc>
      </w:tr>
      <w:tr w:rsidR="00D57C24" w:rsidRPr="00214661" w14:paraId="6CDB324F" w14:textId="77777777" w:rsidTr="00D57C24">
        <w:trPr>
          <w:trHeight w:val="339"/>
        </w:trPr>
        <w:tc>
          <w:tcPr>
            <w:tcW w:w="5736" w:type="dxa"/>
            <w:vAlign w:val="center"/>
          </w:tcPr>
          <w:p w14:paraId="6CDB324D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1:320</w:t>
            </w:r>
          </w:p>
        </w:tc>
        <w:tc>
          <w:tcPr>
            <w:tcW w:w="3684" w:type="dxa"/>
            <w:gridSpan w:val="2"/>
            <w:vAlign w:val="center"/>
          </w:tcPr>
          <w:p w14:paraId="6CDB324E" w14:textId="77777777" w:rsidR="00D57C24" w:rsidRPr="00214661" w:rsidRDefault="00D57C24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(12.5)</w:t>
            </w:r>
          </w:p>
        </w:tc>
      </w:tr>
      <w:tr w:rsidR="00D57C24" w:rsidRPr="00214661" w14:paraId="6CDB3252" w14:textId="77777777" w:rsidTr="00D57C24">
        <w:trPr>
          <w:trHeight w:val="390"/>
        </w:trPr>
        <w:tc>
          <w:tcPr>
            <w:tcW w:w="5736" w:type="dxa"/>
            <w:vAlign w:val="center"/>
            <w:hideMark/>
          </w:tcPr>
          <w:p w14:paraId="6CDB3250" w14:textId="77777777" w:rsidR="00D57C24" w:rsidRPr="00214661" w:rsidRDefault="00D57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Positive ANCA-ELISA, n(%)</w:t>
            </w:r>
            <w:r w:rsidR="005E6923"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*</w:t>
            </w:r>
          </w:p>
        </w:tc>
        <w:tc>
          <w:tcPr>
            <w:tcW w:w="3684" w:type="dxa"/>
            <w:gridSpan w:val="2"/>
            <w:vAlign w:val="center"/>
            <w:hideMark/>
          </w:tcPr>
          <w:p w14:paraId="6CDB3251" w14:textId="77777777" w:rsidR="00D57C24" w:rsidRPr="00214661" w:rsidRDefault="00D57C24" w:rsidP="00B36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</w:p>
        </w:tc>
      </w:tr>
      <w:tr w:rsidR="000D17C8" w:rsidRPr="00214661" w14:paraId="6CDB3255" w14:textId="77777777" w:rsidTr="00D57C24">
        <w:trPr>
          <w:trHeight w:val="300"/>
        </w:trPr>
        <w:tc>
          <w:tcPr>
            <w:tcW w:w="5736" w:type="dxa"/>
            <w:vAlign w:val="center"/>
            <w:hideMark/>
          </w:tcPr>
          <w:p w14:paraId="6CDB3253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MPO</w:t>
            </w:r>
          </w:p>
        </w:tc>
        <w:tc>
          <w:tcPr>
            <w:tcW w:w="3684" w:type="dxa"/>
            <w:gridSpan w:val="2"/>
            <w:vAlign w:val="center"/>
            <w:hideMark/>
          </w:tcPr>
          <w:p w14:paraId="6CDB3254" w14:textId="77777777" w:rsidR="000D17C8" w:rsidRPr="00214661" w:rsidRDefault="005E6923" w:rsidP="005E6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</w:t>
            </w:r>
            <w:r w:rsidR="000D17C8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)</w:t>
            </w:r>
          </w:p>
        </w:tc>
      </w:tr>
      <w:tr w:rsidR="000D17C8" w:rsidRPr="00214661" w14:paraId="6CDB3258" w14:textId="77777777" w:rsidTr="00D57C24">
        <w:trPr>
          <w:trHeight w:val="300"/>
        </w:trPr>
        <w:tc>
          <w:tcPr>
            <w:tcW w:w="5736" w:type="dxa"/>
            <w:vAlign w:val="center"/>
            <w:hideMark/>
          </w:tcPr>
          <w:p w14:paraId="6CDB3256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PR3</w:t>
            </w:r>
          </w:p>
        </w:tc>
        <w:tc>
          <w:tcPr>
            <w:tcW w:w="3684" w:type="dxa"/>
            <w:gridSpan w:val="2"/>
            <w:vAlign w:val="center"/>
            <w:hideMark/>
          </w:tcPr>
          <w:p w14:paraId="6CDB3257" w14:textId="77777777" w:rsidR="000D17C8" w:rsidRPr="00214661" w:rsidRDefault="005E6923" w:rsidP="005E6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</w:t>
            </w:r>
            <w:r w:rsidR="000D17C8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(</w:t>
            </w: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1.1</w:t>
            </w:r>
            <w:r w:rsidR="000D17C8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)</w:t>
            </w:r>
          </w:p>
        </w:tc>
      </w:tr>
      <w:tr w:rsidR="000D17C8" w:rsidRPr="00214661" w14:paraId="6CDB325E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59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Reasons for ANCA testing, n(%)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5A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All patients</w:t>
            </w:r>
          </w:p>
          <w:p w14:paraId="6CDB325B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(n=87)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5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ANCA positive</w:t>
            </w:r>
          </w:p>
          <w:p w14:paraId="6CDB325D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tr-TR"/>
              </w:rPr>
              <w:t>(n=8)</w:t>
            </w:r>
          </w:p>
        </w:tc>
      </w:tr>
      <w:tr w:rsidR="000D17C8" w:rsidRPr="00214661" w14:paraId="6CDB3262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5F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Elevated serum </w:t>
            </w:r>
            <w:proofErr w:type="spellStart"/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creatinin</w:t>
            </w:r>
            <w:proofErr w:type="spellEnd"/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0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51 (58.6)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1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6 (75.0)</w:t>
            </w:r>
          </w:p>
        </w:tc>
      </w:tr>
      <w:tr w:rsidR="000D17C8" w:rsidRPr="00214661" w14:paraId="6CDB3266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63" w14:textId="77777777" w:rsidR="000D17C8" w:rsidRPr="00214661" w:rsidRDefault="000D17C8" w:rsidP="0034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Pulmonary cavity in thorax </w:t>
            </w:r>
            <w:r w:rsidR="0034238F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CT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4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5 (5.7)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5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6A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67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Persistent fever or elevated acute phase reactants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8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5 (5.7)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9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(12.5)</w:t>
            </w:r>
          </w:p>
        </w:tc>
      </w:tr>
      <w:tr w:rsidR="000D17C8" w:rsidRPr="00214661" w14:paraId="6CDB326E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6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Elevated serum creatinine with hematuria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6D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72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6F" w14:textId="77777777" w:rsidR="000D17C8" w:rsidRPr="00214661" w:rsidRDefault="000D17C8" w:rsidP="0034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Hemoptysis/alveolar hemorrhage </w:t>
            </w:r>
            <w:r w:rsidR="0034238F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in thorax CT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0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1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76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73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Pulmonary-renal syndrome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4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5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(12.5)</w:t>
            </w:r>
          </w:p>
        </w:tc>
      </w:tr>
      <w:tr w:rsidR="000D17C8" w:rsidRPr="00214661" w14:paraId="6CDB327A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77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Rash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8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9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7E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7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Hemolytic anemia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7D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82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7F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Elevated serum transaminases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0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1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86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83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Central nervous system lesions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4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2 (2.3)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5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8A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87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Elevated serum creatinine with proteinuria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8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(1.1)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9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8E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8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Pericarditis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(1.1)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8D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92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8F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Lung abscess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0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(1.1)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1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96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93" w14:textId="77777777" w:rsidR="000D17C8" w:rsidRPr="00214661" w:rsidRDefault="000D17C8" w:rsidP="0034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Honeycombing in thorax </w:t>
            </w:r>
            <w:r w:rsidR="0034238F"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CT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4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(1.1)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5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9A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97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Pancreatitis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8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1 (1.1)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9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  <w:tr w:rsidR="000D17C8" w:rsidRPr="00214661" w14:paraId="6CDB329E" w14:textId="77777777" w:rsidTr="00D57C24">
        <w:trPr>
          <w:trHeight w:val="300"/>
        </w:trPr>
        <w:tc>
          <w:tcPr>
            <w:tcW w:w="5736" w:type="dxa"/>
            <w:shd w:val="clear" w:color="auto" w:fill="EEECE1" w:themeFill="background2"/>
            <w:vAlign w:val="center"/>
            <w:hideMark/>
          </w:tcPr>
          <w:p w14:paraId="6CDB329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 xml:space="preserve">     Unknown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C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7 (8.0)</w:t>
            </w:r>
          </w:p>
        </w:tc>
        <w:tc>
          <w:tcPr>
            <w:tcW w:w="1842" w:type="dxa"/>
            <w:shd w:val="clear" w:color="auto" w:fill="EEECE1" w:themeFill="background2"/>
            <w:vAlign w:val="center"/>
            <w:hideMark/>
          </w:tcPr>
          <w:p w14:paraId="6CDB329D" w14:textId="77777777" w:rsidR="000D17C8" w:rsidRPr="00214661" w:rsidRDefault="000D17C8" w:rsidP="00D57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Cs w:val="24"/>
                <w:lang w:val="en-US" w:eastAsia="tr-TR"/>
              </w:rPr>
              <w:t>0 (0.0)</w:t>
            </w:r>
          </w:p>
        </w:tc>
      </w:tr>
    </w:tbl>
    <w:p w14:paraId="6CDB329F" w14:textId="77777777" w:rsidR="000D17C8" w:rsidRPr="00214661" w:rsidRDefault="005E6923" w:rsidP="000D17C8">
      <w:pPr>
        <w:rPr>
          <w:rFonts w:ascii="Arial" w:hAnsi="Arial" w:cs="Arial"/>
          <w:i/>
        </w:rPr>
      </w:pPr>
      <w:r w:rsidRPr="00214661">
        <w:rPr>
          <w:rFonts w:ascii="Arial" w:hAnsi="Arial" w:cs="Arial"/>
          <w:i/>
        </w:rPr>
        <w:t xml:space="preserve">*ELISA tests had been screened only in three patients, </w:t>
      </w:r>
      <w:r w:rsidR="000D17C8" w:rsidRPr="00214661">
        <w:rPr>
          <w:rFonts w:ascii="Arial" w:hAnsi="Arial" w:cs="Arial"/>
          <w:i/>
        </w:rPr>
        <w:t>ANCA: antineutrophil cytoplasmic antibody, IFA: immunoflorescent assay, ELISA: enzyme-linked immunosorbent assay, MPO: myeloperoxidase, PR3: proteinase 3</w:t>
      </w:r>
      <w:r w:rsidR="0034238F" w:rsidRPr="00214661">
        <w:rPr>
          <w:rFonts w:ascii="Arial" w:hAnsi="Arial" w:cs="Arial"/>
          <w:i/>
        </w:rPr>
        <w:t>, CT: computed tomography</w:t>
      </w:r>
    </w:p>
    <w:p w14:paraId="6CDB32A0" w14:textId="77777777" w:rsidR="000D17C8" w:rsidRPr="00214661" w:rsidRDefault="000D17C8" w:rsidP="000D17C8">
      <w:pPr>
        <w:rPr>
          <w:rFonts w:ascii="Arial" w:hAnsi="Arial" w:cs="Arial"/>
        </w:rPr>
      </w:pPr>
    </w:p>
    <w:p w14:paraId="6CDB32A1" w14:textId="77777777" w:rsidR="000D17C8" w:rsidRPr="00214661" w:rsidRDefault="000D17C8" w:rsidP="000D17C8">
      <w:pPr>
        <w:rPr>
          <w:rFonts w:ascii="Arial" w:hAnsi="Arial" w:cs="Arial"/>
        </w:rPr>
      </w:pPr>
    </w:p>
    <w:p w14:paraId="6CDB32A2" w14:textId="77777777" w:rsidR="000D17C8" w:rsidRPr="00214661" w:rsidRDefault="000D17C8" w:rsidP="000D17C8">
      <w:pPr>
        <w:rPr>
          <w:rFonts w:ascii="Arial" w:hAnsi="Arial" w:cs="Arial"/>
        </w:rPr>
      </w:pPr>
    </w:p>
    <w:p w14:paraId="6CDB32A3" w14:textId="77777777" w:rsidR="000D17C8" w:rsidRPr="00214661" w:rsidRDefault="000D17C8" w:rsidP="000D17C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14661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2. Comparison of factors that can be associated with mortality between ANCA negative and ANCA positive patients with mortality</w:t>
      </w:r>
    </w:p>
    <w:p w14:paraId="6CDB32A4" w14:textId="77777777" w:rsidR="000D17C8" w:rsidRPr="00214661" w:rsidRDefault="000D17C8" w:rsidP="000D17C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1799"/>
        <w:gridCol w:w="1566"/>
        <w:gridCol w:w="640"/>
        <w:gridCol w:w="288"/>
      </w:tblGrid>
      <w:tr w:rsidR="000D17C8" w:rsidRPr="00214661" w14:paraId="6CDB32AB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DB32A5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B32A6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ANCA negative patients with mortality</w:t>
            </w:r>
          </w:p>
          <w:p w14:paraId="6CDB32A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(n=34)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A8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ANCA positive patients with mortality</w:t>
            </w:r>
          </w:p>
          <w:p w14:paraId="6CDB32A9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(n=6)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AA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p</w:t>
            </w:r>
          </w:p>
        </w:tc>
      </w:tr>
      <w:tr w:rsidR="000D17C8" w:rsidRPr="00214661" w14:paraId="6CDB32B0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DB32AC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Age, years, median (IQR)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CDB32AD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72.5 (14.5)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CDB32AE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74.5 (22.3)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CDB32AF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0.618</w:t>
            </w:r>
          </w:p>
        </w:tc>
      </w:tr>
      <w:tr w:rsidR="000D17C8" w:rsidRPr="00214661" w14:paraId="6CDB32B5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noWrap/>
            <w:vAlign w:val="bottom"/>
            <w:hideMark/>
          </w:tcPr>
          <w:p w14:paraId="6CDB32B1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Gender, male, number (%)</w:t>
            </w:r>
          </w:p>
        </w:tc>
        <w:tc>
          <w:tcPr>
            <w:tcW w:w="1799" w:type="dxa"/>
            <w:noWrap/>
            <w:vAlign w:val="center"/>
            <w:hideMark/>
          </w:tcPr>
          <w:p w14:paraId="6CDB32B2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19 (55.9)</w:t>
            </w:r>
          </w:p>
        </w:tc>
        <w:tc>
          <w:tcPr>
            <w:tcW w:w="1566" w:type="dxa"/>
            <w:vAlign w:val="center"/>
            <w:hideMark/>
          </w:tcPr>
          <w:p w14:paraId="6CDB32B3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4 (66.7)</w:t>
            </w:r>
          </w:p>
        </w:tc>
        <w:tc>
          <w:tcPr>
            <w:tcW w:w="640" w:type="dxa"/>
            <w:vAlign w:val="center"/>
            <w:hideMark/>
          </w:tcPr>
          <w:p w14:paraId="6CDB32B4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0.622</w:t>
            </w:r>
          </w:p>
        </w:tc>
      </w:tr>
      <w:tr w:rsidR="000D17C8" w:rsidRPr="00214661" w14:paraId="6CDB32BA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shd w:val="clear" w:color="auto" w:fill="EEECE1" w:themeFill="background2"/>
            <w:noWrap/>
            <w:vAlign w:val="bottom"/>
            <w:hideMark/>
          </w:tcPr>
          <w:p w14:paraId="6CDB32B6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Patients with ≥1 comorbidities, number (%)</w:t>
            </w:r>
          </w:p>
        </w:tc>
        <w:tc>
          <w:tcPr>
            <w:tcW w:w="1799" w:type="dxa"/>
            <w:shd w:val="clear" w:color="auto" w:fill="EEECE1" w:themeFill="background2"/>
            <w:noWrap/>
            <w:vAlign w:val="center"/>
            <w:hideMark/>
          </w:tcPr>
          <w:p w14:paraId="6CDB32B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33 (97.1)</w:t>
            </w:r>
          </w:p>
        </w:tc>
        <w:tc>
          <w:tcPr>
            <w:tcW w:w="1566" w:type="dxa"/>
            <w:shd w:val="clear" w:color="auto" w:fill="EEECE1" w:themeFill="background2"/>
            <w:vAlign w:val="center"/>
            <w:hideMark/>
          </w:tcPr>
          <w:p w14:paraId="6CDB32B8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5 (83.3)</w:t>
            </w:r>
          </w:p>
        </w:tc>
        <w:tc>
          <w:tcPr>
            <w:tcW w:w="640" w:type="dxa"/>
            <w:shd w:val="clear" w:color="auto" w:fill="EEECE1" w:themeFill="background2"/>
            <w:vAlign w:val="center"/>
            <w:hideMark/>
          </w:tcPr>
          <w:p w14:paraId="6CDB32B9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0.155</w:t>
            </w:r>
          </w:p>
        </w:tc>
      </w:tr>
      <w:tr w:rsidR="000D17C8" w:rsidRPr="00214661" w14:paraId="6CDB32BF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noWrap/>
            <w:vAlign w:val="bottom"/>
            <w:hideMark/>
          </w:tcPr>
          <w:p w14:paraId="6CDB32BB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Active smokers, number (%)*</w:t>
            </w:r>
          </w:p>
        </w:tc>
        <w:tc>
          <w:tcPr>
            <w:tcW w:w="1799" w:type="dxa"/>
            <w:noWrap/>
            <w:vAlign w:val="center"/>
            <w:hideMark/>
          </w:tcPr>
          <w:p w14:paraId="6CDB32BC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3 (23.1)</w:t>
            </w:r>
          </w:p>
        </w:tc>
        <w:tc>
          <w:tcPr>
            <w:tcW w:w="1566" w:type="dxa"/>
            <w:vAlign w:val="center"/>
            <w:hideMark/>
          </w:tcPr>
          <w:p w14:paraId="6CDB32BD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1 (33.3)</w:t>
            </w:r>
          </w:p>
        </w:tc>
        <w:tc>
          <w:tcPr>
            <w:tcW w:w="640" w:type="dxa"/>
            <w:vAlign w:val="center"/>
            <w:hideMark/>
          </w:tcPr>
          <w:p w14:paraId="6CDB32BE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0.796</w:t>
            </w:r>
          </w:p>
        </w:tc>
      </w:tr>
      <w:tr w:rsidR="000D17C8" w:rsidRPr="00214661" w14:paraId="6CDB32C4" w14:textId="77777777" w:rsidTr="000D17C8">
        <w:trPr>
          <w:gridAfter w:val="1"/>
          <w:wAfter w:w="288" w:type="dxa"/>
          <w:trHeight w:val="288"/>
        </w:trPr>
        <w:tc>
          <w:tcPr>
            <w:tcW w:w="5248" w:type="dxa"/>
            <w:shd w:val="clear" w:color="auto" w:fill="EEECE1" w:themeFill="background2"/>
            <w:noWrap/>
            <w:vAlign w:val="bottom"/>
            <w:hideMark/>
          </w:tcPr>
          <w:p w14:paraId="6CDB32C0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vertAlign w:val="superscript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Pulmonary involvement in thorax computed tomography, number (%)</w:t>
            </w:r>
          </w:p>
        </w:tc>
        <w:tc>
          <w:tcPr>
            <w:tcW w:w="1799" w:type="dxa"/>
            <w:shd w:val="clear" w:color="auto" w:fill="EEECE1" w:themeFill="background2"/>
            <w:noWrap/>
            <w:vAlign w:val="center"/>
            <w:hideMark/>
          </w:tcPr>
          <w:p w14:paraId="6CDB32C1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31 (91.2)</w:t>
            </w:r>
          </w:p>
        </w:tc>
        <w:tc>
          <w:tcPr>
            <w:tcW w:w="1566" w:type="dxa"/>
            <w:shd w:val="clear" w:color="auto" w:fill="EEECE1" w:themeFill="background2"/>
            <w:vAlign w:val="center"/>
            <w:hideMark/>
          </w:tcPr>
          <w:p w14:paraId="6CDB32C2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5 (83.3)</w:t>
            </w:r>
          </w:p>
        </w:tc>
        <w:tc>
          <w:tcPr>
            <w:tcW w:w="640" w:type="dxa"/>
            <w:shd w:val="clear" w:color="auto" w:fill="EEECE1" w:themeFill="background2"/>
            <w:vAlign w:val="center"/>
            <w:hideMark/>
          </w:tcPr>
          <w:p w14:paraId="6CDB32C3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0.555</w:t>
            </w:r>
          </w:p>
        </w:tc>
      </w:tr>
      <w:tr w:rsidR="000D17C8" w:rsidRPr="00214661" w14:paraId="6CDB32C9" w14:textId="77777777" w:rsidTr="000D17C8">
        <w:trPr>
          <w:trHeight w:val="71"/>
        </w:trPr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B32C5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 xml:space="preserve">Positive bacterial culture from </w:t>
            </w:r>
            <w:r w:rsidR="008E458A"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anybody</w:t>
            </w:r>
            <w:r w:rsidRPr="00214661">
              <w:rPr>
                <w:rFonts w:ascii="Arial" w:eastAsia="Times New Roman" w:hAnsi="Arial" w:cs="Arial"/>
                <w:b/>
                <w:color w:val="000000"/>
                <w:sz w:val="18"/>
                <w:lang w:val="en-US" w:eastAsia="tr-TR"/>
              </w:rPr>
              <w:t>-fluid during follow-up, number (%)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B32C6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27 (79.4)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C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>4 (66.7)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C8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sz w:val="18"/>
                <w:lang w:val="en-US" w:eastAsia="tr-TR"/>
              </w:rPr>
              <w:t xml:space="preserve"> 0.491</w:t>
            </w:r>
          </w:p>
        </w:tc>
      </w:tr>
    </w:tbl>
    <w:p w14:paraId="6CDB32CA" w14:textId="77777777" w:rsidR="000D17C8" w:rsidRPr="00214661" w:rsidRDefault="000D17C8" w:rsidP="000D17C8">
      <w:pPr>
        <w:spacing w:line="240" w:lineRule="auto"/>
        <w:rPr>
          <w:rFonts w:ascii="Arial" w:hAnsi="Arial" w:cs="Arial"/>
          <w:i/>
          <w:sz w:val="18"/>
          <w:szCs w:val="24"/>
          <w:lang w:val="en-US"/>
        </w:rPr>
      </w:pPr>
      <w:r w:rsidRPr="00214661">
        <w:rPr>
          <w:rFonts w:ascii="Arial" w:hAnsi="Arial" w:cs="Arial"/>
          <w:i/>
          <w:sz w:val="18"/>
          <w:szCs w:val="24"/>
          <w:lang w:val="en-US"/>
        </w:rPr>
        <w:t xml:space="preserve">*Evaluated over 13 patients in ANCA negative group and over 3 patients in ANCA positive group due to missing data, </w:t>
      </w:r>
      <w:r w:rsidR="005E6923" w:rsidRPr="00214661">
        <w:rPr>
          <w:rFonts w:ascii="Arial" w:hAnsi="Arial" w:cs="Arial"/>
          <w:i/>
          <w:sz w:val="18"/>
          <w:szCs w:val="24"/>
          <w:lang w:val="en-US"/>
        </w:rPr>
        <w:t>IQR: interqua</w:t>
      </w:r>
      <w:r w:rsidRPr="00214661">
        <w:rPr>
          <w:rFonts w:ascii="Arial" w:hAnsi="Arial" w:cs="Arial"/>
          <w:i/>
          <w:sz w:val="18"/>
          <w:szCs w:val="24"/>
          <w:lang w:val="en-US"/>
        </w:rPr>
        <w:t>rtile range, COVID-19: coronavirus disease 19, ANCA</w:t>
      </w:r>
      <w:r w:rsidRPr="00214661">
        <w:rPr>
          <w:rFonts w:ascii="Arial" w:hAnsi="Arial" w:cs="Arial"/>
        </w:rPr>
        <w:t xml:space="preserve">: </w:t>
      </w:r>
      <w:r w:rsidRPr="00214661">
        <w:rPr>
          <w:rFonts w:ascii="Arial" w:hAnsi="Arial" w:cs="Arial"/>
          <w:i/>
          <w:sz w:val="18"/>
          <w:szCs w:val="24"/>
          <w:lang w:val="en-US"/>
        </w:rPr>
        <w:t>antineutrophil cytoplasmic antibody</w:t>
      </w:r>
    </w:p>
    <w:p w14:paraId="6CDB32CB" w14:textId="77777777" w:rsidR="000D17C8" w:rsidRPr="00214661" w:rsidRDefault="000D17C8" w:rsidP="000D17C8">
      <w:pPr>
        <w:rPr>
          <w:rFonts w:ascii="Arial" w:hAnsi="Arial" w:cs="Arial"/>
        </w:rPr>
      </w:pPr>
    </w:p>
    <w:p w14:paraId="6CDB32CC" w14:textId="77777777" w:rsidR="000D17C8" w:rsidRPr="00214661" w:rsidRDefault="000D17C8" w:rsidP="000D17C8">
      <w:pPr>
        <w:rPr>
          <w:rFonts w:ascii="Arial" w:hAnsi="Arial" w:cs="Arial"/>
        </w:rPr>
      </w:pPr>
    </w:p>
    <w:p w14:paraId="6CDB32CD" w14:textId="77777777" w:rsidR="000D17C8" w:rsidRPr="00214661" w:rsidRDefault="000D17C8" w:rsidP="000D17C8">
      <w:pPr>
        <w:rPr>
          <w:rFonts w:ascii="Arial" w:hAnsi="Arial" w:cs="Arial"/>
        </w:rPr>
      </w:pPr>
    </w:p>
    <w:p w14:paraId="6CDB32CE" w14:textId="77777777" w:rsidR="000D17C8" w:rsidRPr="00214661" w:rsidRDefault="000D17C8" w:rsidP="000D17C8">
      <w:pPr>
        <w:rPr>
          <w:rFonts w:ascii="Arial" w:hAnsi="Arial" w:cs="Arial"/>
        </w:rPr>
      </w:pPr>
    </w:p>
    <w:p w14:paraId="6CDB32CF" w14:textId="77777777" w:rsidR="000D17C8" w:rsidRPr="00214661" w:rsidRDefault="000D17C8" w:rsidP="000D17C8">
      <w:pPr>
        <w:rPr>
          <w:rFonts w:ascii="Arial" w:hAnsi="Arial" w:cs="Arial"/>
        </w:rPr>
      </w:pPr>
    </w:p>
    <w:p w14:paraId="6CDB32D0" w14:textId="77777777" w:rsidR="000D17C8" w:rsidRPr="00214661" w:rsidRDefault="000D17C8" w:rsidP="000D17C8">
      <w:pPr>
        <w:rPr>
          <w:rFonts w:ascii="Arial" w:hAnsi="Arial" w:cs="Arial"/>
        </w:rPr>
      </w:pPr>
    </w:p>
    <w:p w14:paraId="6CDB32D1" w14:textId="77777777" w:rsidR="000D17C8" w:rsidRPr="00214661" w:rsidRDefault="000D17C8" w:rsidP="000D17C8">
      <w:pPr>
        <w:rPr>
          <w:rFonts w:ascii="Arial" w:hAnsi="Arial" w:cs="Arial"/>
        </w:rPr>
      </w:pPr>
    </w:p>
    <w:p w14:paraId="6CDB32D2" w14:textId="77777777" w:rsidR="000D17C8" w:rsidRPr="00214661" w:rsidRDefault="000D17C8" w:rsidP="000D17C8">
      <w:pPr>
        <w:rPr>
          <w:rFonts w:ascii="Arial" w:hAnsi="Arial" w:cs="Arial"/>
        </w:rPr>
      </w:pPr>
    </w:p>
    <w:p w14:paraId="6CDB32D3" w14:textId="77777777" w:rsidR="000D17C8" w:rsidRPr="00214661" w:rsidRDefault="000D17C8" w:rsidP="000D17C8">
      <w:pPr>
        <w:rPr>
          <w:rFonts w:ascii="Arial" w:hAnsi="Arial" w:cs="Arial"/>
        </w:rPr>
      </w:pPr>
    </w:p>
    <w:p w14:paraId="6CDB32D4" w14:textId="77777777" w:rsidR="000D17C8" w:rsidRPr="00214661" w:rsidRDefault="000D17C8" w:rsidP="000D17C8">
      <w:pPr>
        <w:rPr>
          <w:rFonts w:ascii="Arial" w:hAnsi="Arial" w:cs="Arial"/>
        </w:rPr>
      </w:pPr>
    </w:p>
    <w:p w14:paraId="6CDB32D5" w14:textId="77777777" w:rsidR="000D17C8" w:rsidRPr="00214661" w:rsidRDefault="000D17C8" w:rsidP="000D17C8">
      <w:pPr>
        <w:rPr>
          <w:rFonts w:ascii="Arial" w:hAnsi="Arial" w:cs="Arial"/>
        </w:rPr>
      </w:pPr>
    </w:p>
    <w:p w14:paraId="6CDB32D6" w14:textId="77777777" w:rsidR="000D17C8" w:rsidRPr="00214661" w:rsidRDefault="000D17C8" w:rsidP="000D17C8">
      <w:pPr>
        <w:rPr>
          <w:rFonts w:ascii="Arial" w:hAnsi="Arial" w:cs="Arial"/>
        </w:rPr>
      </w:pPr>
    </w:p>
    <w:p w14:paraId="6CDB32D7" w14:textId="77777777" w:rsidR="000D17C8" w:rsidRPr="00214661" w:rsidRDefault="000D17C8" w:rsidP="000D17C8">
      <w:pPr>
        <w:rPr>
          <w:rFonts w:ascii="Arial" w:hAnsi="Arial" w:cs="Arial"/>
        </w:rPr>
      </w:pPr>
    </w:p>
    <w:p w14:paraId="6CDB32D8" w14:textId="77777777" w:rsidR="000D17C8" w:rsidRPr="00214661" w:rsidRDefault="000D17C8" w:rsidP="000D17C8">
      <w:pPr>
        <w:rPr>
          <w:rFonts w:ascii="Arial" w:hAnsi="Arial" w:cs="Arial"/>
        </w:rPr>
      </w:pPr>
    </w:p>
    <w:p w14:paraId="6CDB32D9" w14:textId="77777777" w:rsidR="000D17C8" w:rsidRPr="00214661" w:rsidRDefault="000D17C8" w:rsidP="000D17C8">
      <w:pPr>
        <w:rPr>
          <w:rFonts w:ascii="Arial" w:hAnsi="Arial" w:cs="Arial"/>
        </w:rPr>
      </w:pPr>
    </w:p>
    <w:p w14:paraId="6CDB32DA" w14:textId="77777777" w:rsidR="000D17C8" w:rsidRPr="00214661" w:rsidRDefault="000D17C8" w:rsidP="000D17C8">
      <w:pPr>
        <w:rPr>
          <w:rFonts w:ascii="Arial" w:hAnsi="Arial" w:cs="Arial"/>
        </w:rPr>
      </w:pPr>
    </w:p>
    <w:p w14:paraId="6CDB32DB" w14:textId="77777777" w:rsidR="000D17C8" w:rsidRPr="00214661" w:rsidRDefault="000D17C8" w:rsidP="000D17C8">
      <w:pPr>
        <w:rPr>
          <w:rFonts w:ascii="Arial" w:hAnsi="Arial" w:cs="Arial"/>
        </w:rPr>
      </w:pPr>
    </w:p>
    <w:p w14:paraId="6CDB32DC" w14:textId="77777777" w:rsidR="000D17C8" w:rsidRPr="00214661" w:rsidRDefault="000D17C8" w:rsidP="000D17C8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214661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3. Distribution of treatment agents used for COVID-19 in patients</w:t>
      </w:r>
    </w:p>
    <w:tbl>
      <w:tblPr>
        <w:tblW w:w="9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790"/>
        <w:gridCol w:w="1558"/>
        <w:gridCol w:w="752"/>
      </w:tblGrid>
      <w:tr w:rsidR="000D17C8" w:rsidRPr="00214661" w14:paraId="6CDB32E4" w14:textId="77777777" w:rsidTr="000D17C8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DB32DD" w14:textId="77777777" w:rsidR="000D17C8" w:rsidRPr="00214661" w:rsidRDefault="000D1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B32DE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 xml:space="preserve">ANCA </w:t>
            </w:r>
          </w:p>
          <w:p w14:paraId="6CDB32DF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>negative</w:t>
            </w:r>
          </w:p>
          <w:p w14:paraId="6CDB32E0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>(n=79)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E1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>ANCA positive</w:t>
            </w:r>
          </w:p>
          <w:p w14:paraId="6CDB32E2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>(n=8)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2E3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  <w:t>p</w:t>
            </w:r>
          </w:p>
        </w:tc>
      </w:tr>
      <w:tr w:rsidR="000D17C8" w:rsidRPr="00214661" w14:paraId="6CDB32E9" w14:textId="77777777" w:rsidTr="000D17C8">
        <w:trPr>
          <w:trHeight w:val="300"/>
        </w:trPr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CDB32E5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Favipiravir, number (%)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6CDB32E6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75 (94.9)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CDB32E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8 (100)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6CDB32E8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0.515</w:t>
            </w:r>
          </w:p>
        </w:tc>
      </w:tr>
      <w:tr w:rsidR="000D17C8" w:rsidRPr="00214661" w14:paraId="6CDB32EE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2EA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Remdesivir, number (%)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2EB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 (2.5)</w:t>
            </w:r>
          </w:p>
        </w:tc>
        <w:tc>
          <w:tcPr>
            <w:tcW w:w="1559" w:type="dxa"/>
            <w:vAlign w:val="center"/>
            <w:hideMark/>
          </w:tcPr>
          <w:p w14:paraId="6CDB32EC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 (0)</w:t>
            </w:r>
          </w:p>
        </w:tc>
        <w:tc>
          <w:tcPr>
            <w:tcW w:w="752" w:type="dxa"/>
            <w:vAlign w:val="center"/>
            <w:hideMark/>
          </w:tcPr>
          <w:p w14:paraId="6CDB32ED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0.649</w:t>
            </w:r>
          </w:p>
        </w:tc>
      </w:tr>
      <w:tr w:rsidR="000D17C8" w:rsidRPr="00214661" w14:paraId="6CDB32F3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2EF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Acetylsalicilic acid, number (%)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2F0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27 (34.2)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2F1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2F2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0.211</w:t>
            </w:r>
          </w:p>
        </w:tc>
      </w:tr>
      <w:tr w:rsidR="000D17C8" w:rsidRPr="00214661" w14:paraId="6CDB32F8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2F4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Dipyridamol, number (%)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2F5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(1.3)</w:t>
            </w:r>
          </w:p>
        </w:tc>
        <w:tc>
          <w:tcPr>
            <w:tcW w:w="1559" w:type="dxa"/>
            <w:vAlign w:val="center"/>
            <w:hideMark/>
          </w:tcPr>
          <w:p w14:paraId="6CDB32F6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vAlign w:val="center"/>
            <w:hideMark/>
          </w:tcPr>
          <w:p w14:paraId="6CDB32F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0.043</w:t>
            </w:r>
          </w:p>
        </w:tc>
      </w:tr>
      <w:tr w:rsidR="000D17C8" w:rsidRPr="00214661" w14:paraId="6CDB32FD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2F9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Low molecular weight heparin, number (%)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2FA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75 (94.9)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2FB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7 (87.5)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2FC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0.389</w:t>
            </w:r>
          </w:p>
        </w:tc>
      </w:tr>
      <w:tr w:rsidR="000D17C8" w:rsidRPr="00214661" w14:paraId="6CDB3302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2FE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Systemic glucocorticoids, number (%)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2FF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51 (64.6)</w:t>
            </w:r>
          </w:p>
        </w:tc>
        <w:tc>
          <w:tcPr>
            <w:tcW w:w="1559" w:type="dxa"/>
            <w:vAlign w:val="center"/>
            <w:hideMark/>
          </w:tcPr>
          <w:p w14:paraId="6CDB3300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5 (62.5)</w:t>
            </w:r>
          </w:p>
        </w:tc>
        <w:tc>
          <w:tcPr>
            <w:tcW w:w="752" w:type="dxa"/>
            <w:vAlign w:val="center"/>
            <w:hideMark/>
          </w:tcPr>
          <w:p w14:paraId="6CDB3301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0.908</w:t>
            </w:r>
          </w:p>
        </w:tc>
      </w:tr>
      <w:tr w:rsidR="000D17C8" w:rsidRPr="00214661" w14:paraId="6CDB3307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303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Systemic glucocorticoid pulses, number (%)*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304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20 (25.3)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305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4 (50.0)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306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0.137</w:t>
            </w:r>
          </w:p>
        </w:tc>
      </w:tr>
      <w:tr w:rsidR="000D17C8" w:rsidRPr="00214661" w14:paraId="6CDB330C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308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Cumulative gluocorticoid dose, mg, median (IQR)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309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800 (880)</w:t>
            </w:r>
          </w:p>
        </w:tc>
        <w:tc>
          <w:tcPr>
            <w:tcW w:w="1559" w:type="dxa"/>
            <w:vAlign w:val="center"/>
            <w:hideMark/>
          </w:tcPr>
          <w:p w14:paraId="6CDB330A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795 (2550)</w:t>
            </w:r>
          </w:p>
        </w:tc>
        <w:tc>
          <w:tcPr>
            <w:tcW w:w="752" w:type="dxa"/>
            <w:vAlign w:val="center"/>
            <w:hideMark/>
          </w:tcPr>
          <w:p w14:paraId="6CDB330B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0.880</w:t>
            </w:r>
          </w:p>
        </w:tc>
      </w:tr>
      <w:tr w:rsidR="000D17C8" w:rsidRPr="00214661" w14:paraId="6CDB3311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30D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Colchicine, number (%)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30E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16 (20.3)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30F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310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0.598</w:t>
            </w:r>
          </w:p>
        </w:tc>
      </w:tr>
      <w:tr w:rsidR="000D17C8" w:rsidRPr="00214661" w14:paraId="6CDB3316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312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Hydroxychloroquine, number (%)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313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19 (24.1)</w:t>
            </w:r>
          </w:p>
        </w:tc>
        <w:tc>
          <w:tcPr>
            <w:tcW w:w="1559" w:type="dxa"/>
            <w:vAlign w:val="center"/>
            <w:hideMark/>
          </w:tcPr>
          <w:p w14:paraId="6CDB3314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vAlign w:val="center"/>
            <w:hideMark/>
          </w:tcPr>
          <w:p w14:paraId="6CDB3315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0.459</w:t>
            </w:r>
          </w:p>
        </w:tc>
      </w:tr>
      <w:tr w:rsidR="000D17C8" w:rsidRPr="00214661" w14:paraId="6CDB331B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317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Anakinra, number (%)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318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 (2.5)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319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31A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0.141</w:t>
            </w:r>
          </w:p>
        </w:tc>
      </w:tr>
      <w:tr w:rsidR="000D17C8" w:rsidRPr="00214661" w14:paraId="6CDB3320" w14:textId="77777777" w:rsidTr="000D17C8">
        <w:trPr>
          <w:trHeight w:val="300"/>
        </w:trPr>
        <w:tc>
          <w:tcPr>
            <w:tcW w:w="5385" w:type="dxa"/>
            <w:noWrap/>
            <w:vAlign w:val="bottom"/>
            <w:hideMark/>
          </w:tcPr>
          <w:p w14:paraId="6CDB331C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Tocilizumab, number (%)</w:t>
            </w:r>
          </w:p>
        </w:tc>
        <w:tc>
          <w:tcPr>
            <w:tcW w:w="1791" w:type="dxa"/>
            <w:noWrap/>
            <w:vAlign w:val="center"/>
            <w:hideMark/>
          </w:tcPr>
          <w:p w14:paraId="6CDB331D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 (2.5)</w:t>
            </w:r>
          </w:p>
        </w:tc>
        <w:tc>
          <w:tcPr>
            <w:tcW w:w="1559" w:type="dxa"/>
            <w:vAlign w:val="center"/>
            <w:hideMark/>
          </w:tcPr>
          <w:p w14:paraId="6CDB331E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 (0)</w:t>
            </w:r>
          </w:p>
        </w:tc>
        <w:tc>
          <w:tcPr>
            <w:tcW w:w="752" w:type="dxa"/>
            <w:vAlign w:val="center"/>
            <w:hideMark/>
          </w:tcPr>
          <w:p w14:paraId="6CDB331F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0.649</w:t>
            </w:r>
          </w:p>
        </w:tc>
      </w:tr>
      <w:tr w:rsidR="000D17C8" w:rsidRPr="00214661" w14:paraId="6CDB3325" w14:textId="77777777" w:rsidTr="000D17C8">
        <w:trPr>
          <w:trHeight w:val="300"/>
        </w:trPr>
        <w:tc>
          <w:tcPr>
            <w:tcW w:w="5385" w:type="dxa"/>
            <w:shd w:val="clear" w:color="auto" w:fill="EEECE1" w:themeFill="background2"/>
            <w:noWrap/>
            <w:vAlign w:val="bottom"/>
            <w:hideMark/>
          </w:tcPr>
          <w:p w14:paraId="6CDB3321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Intravenous immunoglobulin, number (%)</w:t>
            </w:r>
          </w:p>
        </w:tc>
        <w:tc>
          <w:tcPr>
            <w:tcW w:w="1791" w:type="dxa"/>
            <w:shd w:val="clear" w:color="auto" w:fill="EEECE1" w:themeFill="background2"/>
            <w:noWrap/>
            <w:vAlign w:val="center"/>
            <w:hideMark/>
          </w:tcPr>
          <w:p w14:paraId="6CDB3322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2 (2.5)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  <w:hideMark/>
          </w:tcPr>
          <w:p w14:paraId="6CDB3323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(12.5)</w:t>
            </w:r>
          </w:p>
        </w:tc>
        <w:tc>
          <w:tcPr>
            <w:tcW w:w="752" w:type="dxa"/>
            <w:shd w:val="clear" w:color="auto" w:fill="EEECE1" w:themeFill="background2"/>
            <w:vAlign w:val="center"/>
            <w:hideMark/>
          </w:tcPr>
          <w:p w14:paraId="6CDB3324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0.141</w:t>
            </w:r>
          </w:p>
        </w:tc>
      </w:tr>
      <w:tr w:rsidR="000D17C8" w:rsidRPr="00214661" w14:paraId="6CDB332A" w14:textId="77777777" w:rsidTr="000D17C8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B3326" w14:textId="77777777" w:rsidR="000D17C8" w:rsidRPr="00214661" w:rsidRDefault="000D17C8">
            <w:pPr>
              <w:rPr>
                <w:rFonts w:ascii="Arial" w:hAnsi="Arial" w:cs="Arial"/>
                <w:color w:val="000000"/>
              </w:rPr>
            </w:pPr>
            <w:r w:rsidRPr="00214661">
              <w:rPr>
                <w:rFonts w:ascii="Arial" w:hAnsi="Arial" w:cs="Arial"/>
                <w:color w:val="000000"/>
              </w:rPr>
              <w:t>Convalescent plasma, number (%)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DB3327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1 (1.3)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328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 (0)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B3329" w14:textId="77777777" w:rsidR="000D17C8" w:rsidRPr="00214661" w:rsidRDefault="000D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214661">
              <w:rPr>
                <w:rFonts w:ascii="Arial" w:eastAsia="Times New Roman" w:hAnsi="Arial" w:cs="Arial"/>
                <w:color w:val="000000"/>
                <w:lang w:val="en-US" w:eastAsia="tr-TR"/>
              </w:rPr>
              <w:t>0.749</w:t>
            </w:r>
          </w:p>
        </w:tc>
      </w:tr>
    </w:tbl>
    <w:p w14:paraId="6CDB332B" w14:textId="77777777" w:rsidR="000D17C8" w:rsidRDefault="000D17C8" w:rsidP="000D17C8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14661">
        <w:rPr>
          <w:rFonts w:ascii="Arial" w:hAnsi="Arial" w:cs="Arial"/>
          <w:i/>
        </w:rPr>
        <w:t>*Pulse methylprednisolone administration with a dose ≥ 250 mg, ANCA: antineutrophil cytoplasmic antibody, IQR: interquartile range</w:t>
      </w:r>
    </w:p>
    <w:p w14:paraId="6CDB332C" w14:textId="77777777" w:rsidR="000D17C8" w:rsidRDefault="000D17C8" w:rsidP="000D17C8">
      <w:pPr>
        <w:rPr>
          <w:rFonts w:ascii="Arial" w:hAnsi="Arial" w:cs="Arial"/>
        </w:rPr>
      </w:pPr>
    </w:p>
    <w:p w14:paraId="6CDB332D" w14:textId="77777777" w:rsidR="000D17C8" w:rsidRDefault="000D17C8" w:rsidP="000D17C8">
      <w:pPr>
        <w:spacing w:line="480" w:lineRule="auto"/>
        <w:rPr>
          <w:rFonts w:ascii="Arial" w:hAnsi="Arial" w:cs="Arial"/>
          <w:sz w:val="24"/>
          <w:szCs w:val="24"/>
        </w:rPr>
      </w:pPr>
    </w:p>
    <w:p w14:paraId="6CDB332E" w14:textId="77777777" w:rsidR="00D02079" w:rsidRDefault="00D02079"/>
    <w:sectPr w:rsidR="00D0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7F"/>
    <w:rsid w:val="000D17C8"/>
    <w:rsid w:val="00214661"/>
    <w:rsid w:val="0034238F"/>
    <w:rsid w:val="005E6923"/>
    <w:rsid w:val="008E458A"/>
    <w:rsid w:val="00AC4D3C"/>
    <w:rsid w:val="00BA6279"/>
    <w:rsid w:val="00C4427F"/>
    <w:rsid w:val="00D02079"/>
    <w:rsid w:val="00D57C24"/>
    <w:rsid w:val="00D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3230"/>
  <w15:docId w15:val="{C96D22C8-8079-4F40-B293-8F53680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C8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Christian Robinson</cp:lastModifiedBy>
  <cp:revision>4</cp:revision>
  <dcterms:created xsi:type="dcterms:W3CDTF">2021-11-29T06:15:00Z</dcterms:created>
  <dcterms:modified xsi:type="dcterms:W3CDTF">2022-02-10T10:05:00Z</dcterms:modified>
</cp:coreProperties>
</file>