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Supplementary table 1. Aims and Endpoints of the included studies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Country(ies)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Patients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Protocol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Type of functional testing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Primary Endpoint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Secondary Endpoints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Lee 2018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(17)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South Korea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to CCTA vs FT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 xml:space="preserve">Myocardial single </w:t>
            </w:r>
          </w:p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photon emission computed tomography (SPECT)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Not clearly defined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Not clearly defined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SCOT-HEART 2018 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(12)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Scotland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to CCTA vs</w:t>
            </w:r>
          </w:p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Standard care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Exercice ECG (85%), stress imaging or invasive coronary angiography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Death from CAD or nonfatal MI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Not clearly defined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PROMISE 2017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(14)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North America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to CCTA vs FT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Exercise ECG, SPECT (67.8%) and stress echocardiography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Death, MI or UA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Cardiovascular death, MI or UA and cardiovascular death or MI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PROMISE 2017 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(15)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North America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CAC vs FT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Exercise ECG, SPECT and stress echocardiography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Death,MI or UA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Cardiovascular death, MI or UA and cardiovascular death or MI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IAEA-SPECT/CTA 2016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(18)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Brazil, Czech Republic, India, Mexico, Slovenia, and Turkey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to CCTA vs FT</w:t>
            </w:r>
          </w:p>
          <w:p>
            <w:pPr>
              <w:pStyle w:val="Estilo da tabela 2"/>
              <w:jc w:val="left"/>
            </w:pP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SPECT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Noninvasive or invasive testing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Cumulative effective radiation dose and costs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CRESCENT 2016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(16)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Germany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2:1 randomization CCTA vs FT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Exercise ECG (95%), SPECT and stress echocardiography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Absence of chest pain complaints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 xml:space="preserve">Patients undergoing revascularization after invasive angiography </w:t>
            </w:r>
          </w:p>
          <w:p>
            <w:pPr>
              <w:pStyle w:val="Estilo da tabela 2"/>
              <w:jc w:val="left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CAPP 2015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(13)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Northern Ireland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Stable symptomatic outpatients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1:1 randomization to CCTA vs FT</w:t>
            </w:r>
          </w:p>
          <w:p>
            <w:pPr>
              <w:pStyle w:val="Estilo da tabela 2"/>
              <w:jc w:val="left"/>
            </w:pP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Exercise ECG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 xml:space="preserve">Change Seatle Angina Questionnaire from baseline to 3 months </w:t>
            </w:r>
          </w:p>
          <w:p>
            <w:pPr>
              <w:pStyle w:val="Estilo da tabela 2"/>
              <w:jc w:val="left"/>
            </w:pP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Number of patient hospitalizations, further investigations, and final CAD diagnoses.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Park 2015</w:t>
            </w:r>
          </w:p>
          <w:p>
            <w:pPr>
              <w:pStyle w:val="Estilo da tabela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(11)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South Korea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Self-referral medical checkups outpatients without known CAD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Propensity-score matching CCTA vs</w:t>
            </w:r>
          </w:p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FT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Exercise ECG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All-cause death, MI and stroke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>Revascularization and CAD and HF</w:t>
            </w:r>
            <w:r>
              <w:rPr>
                <w:rFonts w:ascii="Helvetica Neue" w:hAnsi="Helvetica Neue" w:hint="default"/>
                <w:rtl w:val="0"/>
              </w:rPr>
              <w:t>–</w:t>
            </w:r>
            <w:r>
              <w:rPr>
                <w:rFonts w:ascii="Helvetica Neue" w:hAnsi="Helvetica Neue"/>
                <w:rtl w:val="0"/>
              </w:rPr>
              <w:t>related hospitalizations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6"/>
            <w:gridSpan w:val="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  <w:jc w:val="left"/>
            </w:pPr>
            <w:r>
              <w:rPr>
                <w:rFonts w:ascii="Helvetica Neue" w:hAnsi="Helvetica Neue"/>
                <w:rtl w:val="0"/>
              </w:rPr>
              <w:t xml:space="preserve">CAD, coronary artery disease; CCTA, coronary computed tomography angiography; HF, heart failure MI, myocardial infarction; SPECT, single photon emission computed tomography; UA, unstable angina. </w:t>
            </w:r>
          </w:p>
        </w:tc>
      </w:tr>
    </w:tbl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a tabela 1">
    <w:name w:val="Estilo da tabela 1"/>
    <w:next w:val="Estilo da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a tabela 2">
    <w:name w:val="Estilo da tabela 2"/>
    <w:next w:val="Estilo da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