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BEA" w14:textId="18D2C05F" w:rsidR="009102CD" w:rsidRPr="00873749" w:rsidRDefault="009102CD" w:rsidP="00987037">
      <w:pPr>
        <w:spacing w:line="360" w:lineRule="auto"/>
        <w:rPr>
          <w:rFonts w:ascii="Arial" w:hAnsi="Arial" w:cs="Arial"/>
          <w:b/>
          <w:lang w:val="en-US"/>
        </w:rPr>
      </w:pPr>
      <w:r w:rsidRPr="00873749">
        <w:rPr>
          <w:rFonts w:ascii="Arial" w:hAnsi="Arial" w:cs="Arial"/>
          <w:b/>
          <w:lang w:val="en-US"/>
        </w:rPr>
        <w:t xml:space="preserve">Supplementary Table 1. </w:t>
      </w:r>
      <w:r w:rsidRPr="00873749">
        <w:rPr>
          <w:rFonts w:ascii="Arial" w:hAnsi="Arial" w:cs="Arial" w:hint="eastAsia"/>
          <w:b/>
          <w:lang w:val="en-US"/>
        </w:rPr>
        <w:t xml:space="preserve">TRAEs </w:t>
      </w:r>
      <w:r w:rsidR="00987037" w:rsidRPr="00873749">
        <w:rPr>
          <w:rFonts w:ascii="Arial" w:hAnsi="Arial" w:cs="Arial"/>
          <w:b/>
          <w:lang w:val="en-US"/>
        </w:rPr>
        <w:t>o</w:t>
      </w:r>
      <w:r w:rsidRPr="00873749">
        <w:rPr>
          <w:rFonts w:ascii="Arial" w:hAnsi="Arial" w:cs="Arial" w:hint="eastAsia"/>
          <w:b/>
          <w:lang w:val="en-US"/>
        </w:rPr>
        <w:t xml:space="preserve">ccurring in </w:t>
      </w:r>
      <w:r w:rsidRPr="00873749">
        <w:rPr>
          <w:rFonts w:ascii="Arial" w:hAnsi="Arial" w:cs="Arial"/>
          <w:b/>
          <w:lang w:val="en-US"/>
        </w:rPr>
        <w:t>≥</w:t>
      </w:r>
      <w:r w:rsidRPr="00873749">
        <w:rPr>
          <w:rFonts w:ascii="Arial" w:hAnsi="Arial" w:cs="Arial" w:hint="eastAsia"/>
          <w:b/>
          <w:lang w:val="en-US"/>
        </w:rPr>
        <w:t xml:space="preserve">10% of </w:t>
      </w:r>
      <w:r w:rsidR="00987037" w:rsidRPr="00873749">
        <w:rPr>
          <w:rFonts w:ascii="Arial" w:hAnsi="Arial" w:cs="Arial"/>
          <w:b/>
          <w:lang w:val="en-US"/>
        </w:rPr>
        <w:t>p</w:t>
      </w:r>
      <w:r w:rsidRPr="00873749">
        <w:rPr>
          <w:rFonts w:ascii="Arial" w:hAnsi="Arial" w:cs="Arial"/>
          <w:b/>
          <w:lang w:val="en-US"/>
        </w:rPr>
        <w:t>atients</w:t>
      </w:r>
      <w:r w:rsidR="00987037" w:rsidRPr="00873749">
        <w:rPr>
          <w:rFonts w:ascii="Arial" w:hAnsi="Arial" w:cs="Arial"/>
          <w:b/>
          <w:lang w:val="en-US"/>
        </w:rPr>
        <w:t>.</w:t>
      </w:r>
    </w:p>
    <w:tbl>
      <w:tblPr>
        <w:tblStyle w:val="TableGrid"/>
        <w:tblW w:w="10188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69"/>
        <w:gridCol w:w="1670"/>
        <w:gridCol w:w="1669"/>
        <w:gridCol w:w="1670"/>
      </w:tblGrid>
      <w:tr w:rsidR="009102CD" w:rsidRPr="00873749" w14:paraId="5CD98201" w14:textId="77777777" w:rsidTr="00E50388">
        <w:tc>
          <w:tcPr>
            <w:tcW w:w="3510" w:type="dxa"/>
            <w:tcBorders>
              <w:bottom w:val="single" w:sz="4" w:space="0" w:color="E1E1FF"/>
            </w:tcBorders>
            <w:shd w:val="clear" w:color="auto" w:fill="4723AD"/>
          </w:tcPr>
          <w:p w14:paraId="4BD6AC8D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678" w:type="dxa"/>
            <w:gridSpan w:val="4"/>
            <w:tcBorders>
              <w:bottom w:val="single" w:sz="4" w:space="0" w:color="E1E1FF"/>
            </w:tcBorders>
            <w:shd w:val="clear" w:color="auto" w:fill="4723AD"/>
            <w:vAlign w:val="center"/>
          </w:tcPr>
          <w:p w14:paraId="05A66E13" w14:textId="682AAA24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Afatinib 40 mg (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n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= 64)</w:t>
            </w:r>
          </w:p>
        </w:tc>
      </w:tr>
      <w:tr w:rsidR="009102CD" w:rsidRPr="00873749" w14:paraId="17FCD2F3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1F5D358F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n (%)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55DC7694" w14:textId="47CE18AB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All </w:t>
            </w:r>
            <w:r w:rsidR="00987037" w:rsidRPr="00873749">
              <w:rPr>
                <w:rFonts w:ascii="Arial" w:hAnsi="Arial" w:cs="Arial"/>
                <w:b/>
                <w:lang w:val="en-US"/>
              </w:rPr>
              <w:t>g</w:t>
            </w:r>
            <w:r w:rsidRPr="00873749">
              <w:rPr>
                <w:rFonts w:ascii="Arial" w:hAnsi="Arial" w:cs="Arial"/>
                <w:b/>
                <w:lang w:val="en-US"/>
              </w:rPr>
              <w:t>rades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05BDFE7C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Grade 3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14:paraId="64D8920B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Grade 4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14:paraId="63679645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Grade 5</w:t>
            </w:r>
          </w:p>
        </w:tc>
      </w:tr>
      <w:tr w:rsidR="009102CD" w:rsidRPr="00873749" w14:paraId="406AF0F5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59356DBF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Total with TRAE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1C01E70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64 (100)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725C97A9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19 (29.7)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5331AAA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 (3.1)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7492D7BA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 (1.6)</w:t>
            </w:r>
          </w:p>
        </w:tc>
      </w:tr>
      <w:tr w:rsidR="009102CD" w:rsidRPr="00873749" w14:paraId="658F5B1B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61AAC08B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Diarrhea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EA970A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63 (98.4)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7553C6E7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 (14.1)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A027F16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3CD22983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21D7F1EA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47A716D1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Rash/</w:t>
            </w:r>
            <w:proofErr w:type="spellStart"/>
            <w:r w:rsidRPr="00873749">
              <w:rPr>
                <w:rFonts w:ascii="Arial" w:hAnsi="Arial" w:cs="Arial"/>
                <w:lang w:val="en-US"/>
              </w:rPr>
              <w:t>acne</w:t>
            </w:r>
            <w:r w:rsidRPr="00873749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0231B00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52 (81.3)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0DCFCF5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 (7.8)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8528F60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1253545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153A3005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74686317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873749">
              <w:rPr>
                <w:rFonts w:ascii="Arial" w:hAnsi="Arial" w:cs="Arial"/>
                <w:lang w:val="en-US"/>
              </w:rPr>
              <w:t>Stomatitis</w:t>
            </w:r>
            <w:r w:rsidRPr="00873749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3AE5553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46 (71.9)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320C479D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 (1.6)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1C24328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33B3D68A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7EFB404D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7450F905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873749">
              <w:rPr>
                <w:rFonts w:ascii="Arial" w:hAnsi="Arial" w:cs="Arial"/>
                <w:lang w:val="en-US"/>
              </w:rPr>
              <w:t>Paronychia</w:t>
            </w:r>
            <w:r w:rsidRPr="00873749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16E2069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32 (50.0)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58DE560D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 (6.3)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4981EDE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3AE504F0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679B0391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07DED75E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Alanine aminotransferase increased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0AF8DB56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19 (29.7)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08032FD6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D4EE40E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568FD995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3FDDD3B3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40E4B4BB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Nasal dryness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0F648B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15 (23.4)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23508C11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41A3E1E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5DCDEBD9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06C70918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3C0F5B23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Aspartate aminotransferase increased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342810C7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12 (18.8)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00186B94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43E3B29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1147B3BD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50BE3852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1CB4905F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Dry skin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56135E42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12 (18.8)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4013EA56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5711AF5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5C80B575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26862717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2C83946E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Hypocalcemia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4EE2165A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11 (17.2)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5280651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2B320DD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4D007B47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275B78A3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03965E19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Hypokalemia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3AA49629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 (14.1)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57217BC2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 (3.1)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3A95ABA7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 (1.6)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1AE6E7E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00053464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7B2FD862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Leukopenia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58D1944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 (14.1)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410F34A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F6484C5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4E46750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5E165CEC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62B78A70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Decreased appetite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3646C7AD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8 (12.5)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54670925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0FD6AD5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39C53887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 (1.6)</w:t>
            </w:r>
          </w:p>
        </w:tc>
      </w:tr>
      <w:tr w:rsidR="009102CD" w:rsidRPr="00873749" w14:paraId="55A1696A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1AF7A753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Oropharyngeal pain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9DAC99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8 (12.5)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497530D3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FDEEF9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169B0F2A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2BF2FC5A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2C55F953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Blood creatinine phosphokinase increased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94ABB9E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7 (10.9)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430C8DC4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53A76B4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58CC2D4E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3CBCFB8A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23C7DB91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Weight increased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453F1F78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7 (10.9)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21A7179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22418D6C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47DB223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9102CD" w:rsidRPr="00873749" w14:paraId="5FCA61A5" w14:textId="77777777" w:rsidTr="00E50388">
        <w:tc>
          <w:tcPr>
            <w:tcW w:w="3510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</w:tcPr>
          <w:p w14:paraId="390AA943" w14:textId="77777777" w:rsidR="009102CD" w:rsidRPr="00873749" w:rsidRDefault="009102CD" w:rsidP="0098703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White blood cell count decreased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690C37C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7 (10.9)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</w:tcBorders>
          </w:tcPr>
          <w:p w14:paraId="14C55964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E1E1FF"/>
              <w:bottom w:val="single" w:sz="4" w:space="0" w:color="E1E1FF"/>
            </w:tcBorders>
          </w:tcPr>
          <w:p w14:paraId="7203015B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7857EA74" w14:textId="77777777" w:rsidR="009102CD" w:rsidRPr="00873749" w:rsidRDefault="009102CD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</w:t>
            </w:r>
          </w:p>
        </w:tc>
      </w:tr>
      <w:tr w:rsidR="00E50388" w:rsidRPr="00873749" w14:paraId="5C0F20CC" w14:textId="77777777" w:rsidTr="00E50388">
        <w:tc>
          <w:tcPr>
            <w:tcW w:w="10188" w:type="dxa"/>
            <w:gridSpan w:val="5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</w:tcPr>
          <w:p w14:paraId="3E9FC3BD" w14:textId="66FF04E8" w:rsidR="00E50388" w:rsidRPr="00873749" w:rsidRDefault="00E50388" w:rsidP="0043196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873749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873749">
              <w:rPr>
                <w:rFonts w:ascii="Arial" w:hAnsi="Arial" w:cs="Arial"/>
                <w:lang w:val="en-US"/>
              </w:rPr>
              <w:t>Grouped</w:t>
            </w:r>
            <w:proofErr w:type="spellEnd"/>
            <w:r w:rsidRPr="00873749">
              <w:rPr>
                <w:rFonts w:ascii="Arial" w:hAnsi="Arial" w:cs="Arial"/>
                <w:lang w:val="en-US"/>
              </w:rPr>
              <w:t xml:space="preserve"> term.</w:t>
            </w:r>
          </w:p>
          <w:p w14:paraId="6996DFA8" w14:textId="71A8778B" w:rsidR="00E50388" w:rsidRPr="00873749" w:rsidRDefault="00E50388" w:rsidP="00C6576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</w:rPr>
              <w:t>TRAEs: Treatment-related adverse events.</w:t>
            </w:r>
          </w:p>
        </w:tc>
      </w:tr>
    </w:tbl>
    <w:p w14:paraId="1F991410" w14:textId="77777777" w:rsidR="009102CD" w:rsidRPr="00873749" w:rsidRDefault="009102CD" w:rsidP="00431960">
      <w:pPr>
        <w:spacing w:line="360" w:lineRule="auto"/>
        <w:rPr>
          <w:rFonts w:ascii="Arial" w:hAnsi="Arial" w:cs="Arial"/>
          <w:lang w:val="en-US"/>
        </w:rPr>
      </w:pPr>
    </w:p>
    <w:p w14:paraId="4EA36934" w14:textId="77777777" w:rsidR="009102CD" w:rsidRPr="00873749" w:rsidRDefault="009102CD" w:rsidP="00431960">
      <w:pPr>
        <w:spacing w:line="360" w:lineRule="auto"/>
        <w:rPr>
          <w:rFonts w:ascii="Arial" w:hAnsi="Arial" w:cs="Arial"/>
          <w:lang w:val="en-US"/>
        </w:rPr>
      </w:pPr>
      <w:r w:rsidRPr="00873749">
        <w:rPr>
          <w:rFonts w:ascii="Arial" w:hAnsi="Arial" w:cs="Arial"/>
          <w:lang w:val="en-US"/>
        </w:rPr>
        <w:br w:type="page"/>
      </w:r>
    </w:p>
    <w:p w14:paraId="6E07BCFD" w14:textId="77777777" w:rsidR="009102CD" w:rsidRPr="00873749" w:rsidRDefault="009102CD" w:rsidP="00431960">
      <w:pPr>
        <w:spacing w:line="360" w:lineRule="auto"/>
        <w:rPr>
          <w:rFonts w:ascii="Arial" w:hAnsi="Arial" w:cs="Arial"/>
          <w:b/>
          <w:lang w:val="en-US"/>
        </w:rPr>
        <w:sectPr w:rsidR="009102CD" w:rsidRPr="00873749" w:rsidSect="00331C24">
          <w:footerReference w:type="default" r:id="rId7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39EA3297" w14:textId="3679003C" w:rsidR="009102CD" w:rsidRPr="00873749" w:rsidRDefault="009102CD" w:rsidP="00431960">
      <w:pPr>
        <w:spacing w:line="360" w:lineRule="auto"/>
        <w:rPr>
          <w:rFonts w:ascii="Arial" w:hAnsi="Arial" w:cs="Arial"/>
          <w:b/>
          <w:lang w:val="en-US"/>
        </w:rPr>
      </w:pPr>
      <w:r w:rsidRPr="00873749">
        <w:rPr>
          <w:rFonts w:ascii="Arial" w:hAnsi="Arial" w:cs="Arial"/>
          <w:b/>
          <w:lang w:val="en-US"/>
        </w:rPr>
        <w:lastRenderedPageBreak/>
        <w:t xml:space="preserve">Supplementary Table 2. Subgroup </w:t>
      </w:r>
      <w:r w:rsidR="00987037" w:rsidRPr="00873749">
        <w:rPr>
          <w:rFonts w:ascii="Arial" w:hAnsi="Arial" w:cs="Arial"/>
          <w:b/>
          <w:lang w:val="en-US"/>
        </w:rPr>
        <w:t>a</w:t>
      </w:r>
      <w:r w:rsidRPr="00873749">
        <w:rPr>
          <w:rFonts w:ascii="Arial" w:hAnsi="Arial" w:cs="Arial"/>
          <w:b/>
          <w:lang w:val="en-US"/>
        </w:rPr>
        <w:t xml:space="preserve">nalysis of TTSP and PFS in </w:t>
      </w:r>
      <w:r w:rsidR="00987037" w:rsidRPr="00873749">
        <w:rPr>
          <w:rFonts w:ascii="Arial" w:hAnsi="Arial" w:cs="Arial"/>
          <w:b/>
          <w:lang w:val="en-US"/>
        </w:rPr>
        <w:t>b</w:t>
      </w:r>
      <w:r w:rsidRPr="00873749">
        <w:rPr>
          <w:rFonts w:ascii="Arial" w:hAnsi="Arial" w:cs="Arial"/>
          <w:b/>
          <w:lang w:val="en-US"/>
        </w:rPr>
        <w:t xml:space="preserve">iomarker </w:t>
      </w:r>
      <w:r w:rsidR="00987037" w:rsidRPr="00873749">
        <w:rPr>
          <w:rFonts w:ascii="Arial" w:hAnsi="Arial" w:cs="Arial"/>
          <w:b/>
          <w:lang w:val="en-US"/>
        </w:rPr>
        <w:t>g</w:t>
      </w:r>
      <w:r w:rsidRPr="00873749">
        <w:rPr>
          <w:rFonts w:ascii="Arial" w:hAnsi="Arial" w:cs="Arial"/>
          <w:b/>
          <w:lang w:val="en-US"/>
        </w:rPr>
        <w:t>roup</w:t>
      </w:r>
      <w:r w:rsidR="00987037" w:rsidRPr="00873749">
        <w:rPr>
          <w:rFonts w:ascii="Arial" w:hAnsi="Arial" w:cs="Arial"/>
          <w:b/>
          <w:lang w:val="en-US"/>
        </w:rPr>
        <w:t>.</w:t>
      </w:r>
    </w:p>
    <w:tbl>
      <w:tblPr>
        <w:tblStyle w:val="TableGrid"/>
        <w:tblW w:w="14031" w:type="dxa"/>
        <w:tblBorders>
          <w:top w:val="single" w:sz="4" w:space="0" w:color="E1E1FF"/>
          <w:left w:val="single" w:sz="4" w:space="0" w:color="E1E1FF"/>
          <w:bottom w:val="single" w:sz="4" w:space="0" w:color="E1E1FF"/>
          <w:right w:val="single" w:sz="4" w:space="0" w:color="E1E1FF"/>
          <w:insideH w:val="single" w:sz="4" w:space="0" w:color="E1E1F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551"/>
        <w:gridCol w:w="1276"/>
        <w:gridCol w:w="2567"/>
        <w:gridCol w:w="3843"/>
      </w:tblGrid>
      <w:tr w:rsidR="009102CD" w:rsidRPr="00873749" w14:paraId="54DD1140" w14:textId="77777777" w:rsidTr="00A90EB4">
        <w:tc>
          <w:tcPr>
            <w:tcW w:w="2518" w:type="dxa"/>
            <w:shd w:val="clear" w:color="auto" w:fill="4723AD"/>
          </w:tcPr>
          <w:p w14:paraId="68A3AE48" w14:textId="77777777" w:rsidR="009102CD" w:rsidRPr="00873749" w:rsidRDefault="009102CD" w:rsidP="00431960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3827" w:type="dxa"/>
            <w:gridSpan w:val="2"/>
            <w:shd w:val="clear" w:color="auto" w:fill="4723AD"/>
          </w:tcPr>
          <w:p w14:paraId="6A6201C8" w14:textId="0611D255" w:rsidR="009102CD" w:rsidRPr="00873749" w:rsidRDefault="009102CD" w:rsidP="00431960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Biomarker 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a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nalysis 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g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roup (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n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= 64)</w:t>
            </w:r>
          </w:p>
        </w:tc>
        <w:tc>
          <w:tcPr>
            <w:tcW w:w="3843" w:type="dxa"/>
            <w:gridSpan w:val="2"/>
            <w:shd w:val="clear" w:color="auto" w:fill="4723AD"/>
          </w:tcPr>
          <w:p w14:paraId="4CEB38A3" w14:textId="566CEACC" w:rsidR="009102CD" w:rsidRPr="00873749" w:rsidRDefault="009102CD" w:rsidP="00431960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Overall 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p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opulation (</w:t>
            </w:r>
            <w:r w:rsidR="00987037"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>n</w:t>
            </w:r>
            <w:r w:rsidRPr="0087374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= 541)</w:t>
            </w:r>
          </w:p>
        </w:tc>
        <w:tc>
          <w:tcPr>
            <w:tcW w:w="3843" w:type="dxa"/>
            <w:shd w:val="clear" w:color="auto" w:fill="4723AD"/>
          </w:tcPr>
          <w:p w14:paraId="76E89D07" w14:textId="4B1A0DED" w:rsidR="009102CD" w:rsidRPr="00873749" w:rsidRDefault="009102CD" w:rsidP="00431960">
            <w:pPr>
              <w:spacing w:line="360" w:lineRule="auto"/>
              <w:rPr>
                <w:rStyle w:val="CommentReference"/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873749">
              <w:rPr>
                <w:rStyle w:val="CommentReference"/>
                <w:rFonts w:ascii="Arial" w:eastAsia="DengXian" w:hAnsi="Arial" w:cs="Arial"/>
                <w:b/>
                <w:color w:val="FFFFFF" w:themeColor="background1"/>
                <w:sz w:val="20"/>
                <w:lang w:val="en-US" w:eastAsia="zh-CN"/>
              </w:rPr>
              <w:t xml:space="preserve">HR </w:t>
            </w:r>
            <w:r w:rsidRPr="00873749">
              <w:rPr>
                <w:rStyle w:val="CommentReference"/>
                <w:rFonts w:ascii="Arial" w:eastAsia="DengXian" w:hAnsi="Arial" w:cs="Arial" w:hint="eastAsia"/>
                <w:b/>
                <w:color w:val="FFFFFF" w:themeColor="background1"/>
                <w:sz w:val="20"/>
                <w:lang w:val="en-US" w:eastAsia="zh-CN"/>
              </w:rPr>
              <w:t>(</w:t>
            </w:r>
            <w:r w:rsidRPr="00873749">
              <w:rPr>
                <w:rStyle w:val="CommentReference"/>
                <w:rFonts w:ascii="Arial" w:eastAsia="DengXian" w:hAnsi="Arial" w:cs="Arial"/>
                <w:b/>
                <w:color w:val="FFFFFF" w:themeColor="background1"/>
                <w:sz w:val="20"/>
                <w:lang w:val="en-US" w:eastAsia="zh-CN"/>
              </w:rPr>
              <w:t>95%</w:t>
            </w:r>
            <w:r w:rsidR="00987037" w:rsidRPr="00873749">
              <w:rPr>
                <w:rStyle w:val="CommentReference"/>
                <w:rFonts w:ascii="Arial" w:eastAsia="DengXian" w:hAnsi="Arial" w:cs="Arial"/>
                <w:b/>
                <w:color w:val="FFFFFF" w:themeColor="background1"/>
                <w:sz w:val="20"/>
                <w:lang w:val="en-US" w:eastAsia="zh-CN"/>
              </w:rPr>
              <w:t xml:space="preserve"> </w:t>
            </w:r>
            <w:r w:rsidRPr="00873749">
              <w:rPr>
                <w:rStyle w:val="CommentReference"/>
                <w:rFonts w:ascii="Arial" w:eastAsia="DengXian" w:hAnsi="Arial" w:cs="Arial"/>
                <w:b/>
                <w:color w:val="FFFFFF" w:themeColor="background1"/>
                <w:sz w:val="20"/>
                <w:lang w:val="en-US" w:eastAsia="zh-CN"/>
              </w:rPr>
              <w:t xml:space="preserve">CI), </w:t>
            </w:r>
            <w:r w:rsidR="00987037" w:rsidRPr="00873749">
              <w:rPr>
                <w:rStyle w:val="CommentReference"/>
                <w:rFonts w:ascii="Arial" w:eastAsia="DengXian" w:hAnsi="Arial" w:cs="Arial"/>
                <w:b/>
                <w:iCs/>
                <w:color w:val="FFFFFF" w:themeColor="background1"/>
                <w:sz w:val="20"/>
                <w:lang w:val="en-US" w:eastAsia="zh-CN"/>
              </w:rPr>
              <w:t>p</w:t>
            </w:r>
            <w:r w:rsidRPr="00873749">
              <w:rPr>
                <w:rStyle w:val="CommentReference"/>
                <w:rFonts w:ascii="Arial" w:eastAsia="DengXian" w:hAnsi="Arial" w:cs="Arial"/>
                <w:b/>
                <w:i/>
                <w:color w:val="FFFFFF" w:themeColor="background1"/>
                <w:sz w:val="20"/>
                <w:lang w:val="en-US" w:eastAsia="zh-CN"/>
              </w:rPr>
              <w:t>-</w:t>
            </w:r>
            <w:r w:rsidRPr="00873749">
              <w:rPr>
                <w:rStyle w:val="CommentReference"/>
                <w:rFonts w:ascii="Arial" w:eastAsia="DengXian" w:hAnsi="Arial" w:cs="Arial"/>
                <w:b/>
                <w:color w:val="FFFFFF" w:themeColor="background1"/>
                <w:sz w:val="20"/>
                <w:lang w:val="en-US" w:eastAsia="zh-CN"/>
              </w:rPr>
              <w:t>value</w:t>
            </w:r>
          </w:p>
        </w:tc>
      </w:tr>
      <w:tr w:rsidR="009102CD" w:rsidRPr="00873749" w14:paraId="63B11FD7" w14:textId="77777777" w:rsidTr="00A90EB4">
        <w:tc>
          <w:tcPr>
            <w:tcW w:w="2518" w:type="dxa"/>
            <w:shd w:val="clear" w:color="auto" w:fill="E1E1FF"/>
          </w:tcPr>
          <w:p w14:paraId="3FEB99E5" w14:textId="2B7865DC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Subgroup at </w:t>
            </w:r>
            <w:r w:rsidR="00987037" w:rsidRPr="00873749">
              <w:rPr>
                <w:rFonts w:ascii="Arial" w:hAnsi="Arial" w:cs="Arial"/>
                <w:b/>
                <w:lang w:val="en-US"/>
              </w:rPr>
              <w:t>b</w:t>
            </w:r>
            <w:r w:rsidRPr="00873749">
              <w:rPr>
                <w:rFonts w:ascii="Arial" w:hAnsi="Arial" w:cs="Arial"/>
                <w:b/>
                <w:lang w:val="en-US"/>
              </w:rPr>
              <w:t>aseline</w:t>
            </w:r>
          </w:p>
        </w:tc>
        <w:tc>
          <w:tcPr>
            <w:tcW w:w="1276" w:type="dxa"/>
            <w:shd w:val="clear" w:color="auto" w:fill="E1E1FF"/>
          </w:tcPr>
          <w:p w14:paraId="4C7BB145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n in subgroup</w:t>
            </w:r>
          </w:p>
        </w:tc>
        <w:tc>
          <w:tcPr>
            <w:tcW w:w="2551" w:type="dxa"/>
            <w:shd w:val="clear" w:color="auto" w:fill="E1E1FF"/>
          </w:tcPr>
          <w:p w14:paraId="404C7E0E" w14:textId="44E862EB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Median TTSP, </w:t>
            </w:r>
            <w:r w:rsidR="00987037" w:rsidRPr="00873749">
              <w:rPr>
                <w:rFonts w:ascii="Arial" w:hAnsi="Arial" w:cs="Arial"/>
                <w:b/>
                <w:lang w:val="en-US"/>
              </w:rPr>
              <w:t>m</w:t>
            </w:r>
            <w:r w:rsidRPr="00873749">
              <w:rPr>
                <w:rFonts w:ascii="Arial" w:hAnsi="Arial" w:cs="Arial"/>
                <w:b/>
                <w:lang w:val="en-US"/>
              </w:rPr>
              <w:t>onths (95% CI)</w:t>
            </w:r>
          </w:p>
        </w:tc>
        <w:tc>
          <w:tcPr>
            <w:tcW w:w="1276" w:type="dxa"/>
            <w:shd w:val="clear" w:color="auto" w:fill="E1E1FF"/>
          </w:tcPr>
          <w:p w14:paraId="518CBEB2" w14:textId="22279B7A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n in </w:t>
            </w:r>
            <w:r w:rsidR="00987037" w:rsidRPr="00873749">
              <w:rPr>
                <w:rFonts w:ascii="Arial" w:hAnsi="Arial" w:cs="Arial"/>
                <w:b/>
                <w:lang w:val="en-US"/>
              </w:rPr>
              <w:t>s</w:t>
            </w:r>
            <w:r w:rsidRPr="00873749">
              <w:rPr>
                <w:rFonts w:ascii="Arial" w:hAnsi="Arial" w:cs="Arial"/>
                <w:b/>
                <w:lang w:val="en-US"/>
              </w:rPr>
              <w:t>ubgroup</w:t>
            </w:r>
          </w:p>
        </w:tc>
        <w:tc>
          <w:tcPr>
            <w:tcW w:w="2567" w:type="dxa"/>
            <w:shd w:val="clear" w:color="auto" w:fill="E1E1FF"/>
          </w:tcPr>
          <w:p w14:paraId="1F7C83D0" w14:textId="6484637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Median TTSP, </w:t>
            </w:r>
            <w:r w:rsidR="00987037" w:rsidRPr="00873749">
              <w:rPr>
                <w:rFonts w:ascii="Arial" w:hAnsi="Arial" w:cs="Arial"/>
                <w:b/>
                <w:lang w:val="en-US"/>
              </w:rPr>
              <w:t>m</w:t>
            </w:r>
            <w:r w:rsidRPr="00873749">
              <w:rPr>
                <w:rFonts w:ascii="Arial" w:hAnsi="Arial" w:cs="Arial"/>
                <w:b/>
                <w:lang w:val="en-US"/>
              </w:rPr>
              <w:t>onths (95% CI)</w:t>
            </w:r>
          </w:p>
        </w:tc>
        <w:tc>
          <w:tcPr>
            <w:tcW w:w="3843" w:type="dxa"/>
            <w:shd w:val="clear" w:color="auto" w:fill="E1E1FF"/>
          </w:tcPr>
          <w:p w14:paraId="06D9918A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102CD" w:rsidRPr="00873749" w14:paraId="53572A47" w14:textId="77777777" w:rsidTr="00A90EB4">
        <w:tc>
          <w:tcPr>
            <w:tcW w:w="2518" w:type="dxa"/>
          </w:tcPr>
          <w:p w14:paraId="1D1F6A9A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All</w:t>
            </w:r>
          </w:p>
        </w:tc>
        <w:tc>
          <w:tcPr>
            <w:tcW w:w="1276" w:type="dxa"/>
          </w:tcPr>
          <w:p w14:paraId="59495436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551" w:type="dxa"/>
          </w:tcPr>
          <w:p w14:paraId="6D307348" w14:textId="45E7FB3C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13.53 (10.90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18.00)</w:t>
            </w:r>
          </w:p>
        </w:tc>
        <w:tc>
          <w:tcPr>
            <w:tcW w:w="1276" w:type="dxa"/>
          </w:tcPr>
          <w:p w14:paraId="76C37EEC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541</w:t>
            </w:r>
          </w:p>
        </w:tc>
        <w:tc>
          <w:tcPr>
            <w:tcW w:w="2567" w:type="dxa"/>
          </w:tcPr>
          <w:p w14:paraId="44E927FC" w14:textId="6F9DF91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13.99 (12.91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15.93)</w:t>
            </w:r>
          </w:p>
        </w:tc>
        <w:tc>
          <w:tcPr>
            <w:tcW w:w="3843" w:type="dxa"/>
          </w:tcPr>
          <w:p w14:paraId="3FAFB8F3" w14:textId="1A69244C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1.09 (0.81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1.45), 0.5832</w:t>
            </w:r>
          </w:p>
        </w:tc>
      </w:tr>
      <w:tr w:rsidR="009102CD" w:rsidRPr="00873749" w14:paraId="59584834" w14:textId="77777777" w:rsidTr="00A90EB4">
        <w:tc>
          <w:tcPr>
            <w:tcW w:w="2518" w:type="dxa"/>
          </w:tcPr>
          <w:p w14:paraId="51FDC420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276" w:type="dxa"/>
          </w:tcPr>
          <w:p w14:paraId="0F59F3C4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08E96E83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E4155ED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</w:tcPr>
          <w:p w14:paraId="2B8A6A1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</w:tcPr>
          <w:p w14:paraId="78150471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1B62E7AE" w14:textId="77777777" w:rsidTr="00A90EB4">
        <w:tc>
          <w:tcPr>
            <w:tcW w:w="2518" w:type="dxa"/>
          </w:tcPr>
          <w:p w14:paraId="2AD6D520" w14:textId="4EA23BB8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&lt;65 years</w:t>
            </w:r>
          </w:p>
        </w:tc>
        <w:tc>
          <w:tcPr>
            <w:tcW w:w="1276" w:type="dxa"/>
          </w:tcPr>
          <w:p w14:paraId="0EBAE520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551" w:type="dxa"/>
          </w:tcPr>
          <w:p w14:paraId="32F4AE74" w14:textId="40D9DFF4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12.51 (10.11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16.55)</w:t>
            </w:r>
          </w:p>
        </w:tc>
        <w:tc>
          <w:tcPr>
            <w:tcW w:w="1276" w:type="dxa"/>
          </w:tcPr>
          <w:p w14:paraId="6FD569F6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2567" w:type="dxa"/>
          </w:tcPr>
          <w:p w14:paraId="694EE9B1" w14:textId="017172E1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13.63 (12.22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15.27)</w:t>
            </w:r>
          </w:p>
        </w:tc>
        <w:tc>
          <w:tcPr>
            <w:tcW w:w="3843" w:type="dxa"/>
          </w:tcPr>
          <w:p w14:paraId="136817BA" w14:textId="7850D00A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1.18 (0.86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1.64), 0.3097</w:t>
            </w:r>
          </w:p>
        </w:tc>
      </w:tr>
      <w:tr w:rsidR="009102CD" w:rsidRPr="00873749" w14:paraId="2651DDCD" w14:textId="77777777" w:rsidTr="00A90EB4">
        <w:tc>
          <w:tcPr>
            <w:tcW w:w="2518" w:type="dxa"/>
          </w:tcPr>
          <w:p w14:paraId="3C5EBF06" w14:textId="4F4A1994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>–</w:t>
            </w:r>
            <w:r w:rsidR="009102CD" w:rsidRPr="00873749">
              <w:rPr>
                <w:rFonts w:ascii="Arial" w:hAnsi="Arial" w:cs="Arial"/>
                <w:lang w:val="en-US"/>
              </w:rPr>
              <w:t xml:space="preserve"> ≥65 years</w:t>
            </w:r>
          </w:p>
        </w:tc>
        <w:tc>
          <w:tcPr>
            <w:tcW w:w="1276" w:type="dxa"/>
          </w:tcPr>
          <w:p w14:paraId="19D3279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551" w:type="dxa"/>
          </w:tcPr>
          <w:p w14:paraId="54A2A099" w14:textId="68C4113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21.87 (10.90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NE)</w:t>
            </w:r>
          </w:p>
        </w:tc>
        <w:tc>
          <w:tcPr>
            <w:tcW w:w="1276" w:type="dxa"/>
          </w:tcPr>
          <w:p w14:paraId="7DF7F820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2567" w:type="dxa"/>
          </w:tcPr>
          <w:p w14:paraId="2CF6EF11" w14:textId="44D54BA3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17.01 (13.69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21.71)</w:t>
            </w:r>
          </w:p>
        </w:tc>
        <w:tc>
          <w:tcPr>
            <w:tcW w:w="3843" w:type="dxa"/>
          </w:tcPr>
          <w:p w14:paraId="183E3A5E" w14:textId="45C39231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0.76 (0.38</w:t>
            </w:r>
            <w:r w:rsidR="004046B7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1.51), 0.4280</w:t>
            </w:r>
          </w:p>
        </w:tc>
      </w:tr>
      <w:tr w:rsidR="009102CD" w:rsidRPr="00873749" w14:paraId="3234284D" w14:textId="77777777" w:rsidTr="00A90EB4">
        <w:tc>
          <w:tcPr>
            <w:tcW w:w="2518" w:type="dxa"/>
          </w:tcPr>
          <w:p w14:paraId="2DB6B70C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ECOG PS</w:t>
            </w:r>
          </w:p>
        </w:tc>
        <w:tc>
          <w:tcPr>
            <w:tcW w:w="1276" w:type="dxa"/>
          </w:tcPr>
          <w:p w14:paraId="55991C54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6DE09B9A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CBE6206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</w:tcPr>
          <w:p w14:paraId="0EC35C6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</w:tcPr>
          <w:p w14:paraId="77BD3F5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33094423" w14:textId="77777777" w:rsidTr="00A90EB4">
        <w:tc>
          <w:tcPr>
            <w:tcW w:w="2518" w:type="dxa"/>
          </w:tcPr>
          <w:p w14:paraId="15FAEC44" w14:textId="7ACC43CE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56469B75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551" w:type="dxa"/>
          </w:tcPr>
          <w:p w14:paraId="6DC6BE87" w14:textId="09522628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16.19 (10.87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19.21)</w:t>
            </w:r>
          </w:p>
        </w:tc>
        <w:tc>
          <w:tcPr>
            <w:tcW w:w="1276" w:type="dxa"/>
          </w:tcPr>
          <w:p w14:paraId="7C8837E0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2567" w:type="dxa"/>
          </w:tcPr>
          <w:p w14:paraId="10D48FE1" w14:textId="2F8E8ACC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16.42 (13.04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21.87)</w:t>
            </w:r>
          </w:p>
        </w:tc>
        <w:tc>
          <w:tcPr>
            <w:tcW w:w="3843" w:type="dxa"/>
          </w:tcPr>
          <w:p w14:paraId="45A055D2" w14:textId="0A6F8BC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1.25 (0.83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1.86), 0.2859</w:t>
            </w:r>
          </w:p>
        </w:tc>
      </w:tr>
      <w:tr w:rsidR="009102CD" w:rsidRPr="00873749" w14:paraId="48E1C387" w14:textId="77777777" w:rsidTr="00A90EB4">
        <w:tc>
          <w:tcPr>
            <w:tcW w:w="2518" w:type="dxa"/>
          </w:tcPr>
          <w:p w14:paraId="0587CD4F" w14:textId="745218B2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14:paraId="45DBF3F7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551" w:type="dxa"/>
          </w:tcPr>
          <w:p w14:paraId="222B2146" w14:textId="0C8A68D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10.95 (6.54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18.16)</w:t>
            </w:r>
          </w:p>
        </w:tc>
        <w:tc>
          <w:tcPr>
            <w:tcW w:w="1276" w:type="dxa"/>
          </w:tcPr>
          <w:p w14:paraId="6BA84C66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431</w:t>
            </w:r>
          </w:p>
        </w:tc>
        <w:tc>
          <w:tcPr>
            <w:tcW w:w="2567" w:type="dxa"/>
          </w:tcPr>
          <w:p w14:paraId="3287DA52" w14:textId="34E4C378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13.76 (12.22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15.63)</w:t>
            </w:r>
          </w:p>
        </w:tc>
        <w:tc>
          <w:tcPr>
            <w:tcW w:w="3843" w:type="dxa"/>
          </w:tcPr>
          <w:p w14:paraId="20CF399B" w14:textId="472B916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1.38 (0.78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2.47), 0.2695</w:t>
            </w:r>
          </w:p>
        </w:tc>
      </w:tr>
      <w:tr w:rsidR="009102CD" w:rsidRPr="00873749" w14:paraId="2CF0BE4B" w14:textId="77777777" w:rsidTr="00A90EB4">
        <w:tc>
          <w:tcPr>
            <w:tcW w:w="2518" w:type="dxa"/>
          </w:tcPr>
          <w:p w14:paraId="1816F22E" w14:textId="6D753EAE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</w:tcPr>
          <w:p w14:paraId="435583E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51" w:type="dxa"/>
          </w:tcPr>
          <w:p w14:paraId="42B25A23" w14:textId="45F2907F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26.88 (25.71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28.05)</w:t>
            </w:r>
          </w:p>
        </w:tc>
        <w:tc>
          <w:tcPr>
            <w:tcW w:w="1276" w:type="dxa"/>
          </w:tcPr>
          <w:p w14:paraId="4F38B80C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567" w:type="dxa"/>
          </w:tcPr>
          <w:p w14:paraId="4DF97B33" w14:textId="059E3893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15.44 (7.29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25.71)</w:t>
            </w:r>
          </w:p>
        </w:tc>
        <w:tc>
          <w:tcPr>
            <w:tcW w:w="3843" w:type="dxa"/>
          </w:tcPr>
          <w:p w14:paraId="76F8415F" w14:textId="21ED0A1D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0.42 (0.09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2.04), 0.2830</w:t>
            </w:r>
          </w:p>
        </w:tc>
      </w:tr>
      <w:tr w:rsidR="009102CD" w:rsidRPr="00873749" w14:paraId="320FE897" w14:textId="77777777" w:rsidTr="00A90EB4">
        <w:tc>
          <w:tcPr>
            <w:tcW w:w="2518" w:type="dxa"/>
          </w:tcPr>
          <w:p w14:paraId="2AC10290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31960">
              <w:rPr>
                <w:rFonts w:ascii="Arial" w:hAnsi="Arial" w:cs="Arial"/>
                <w:i/>
                <w:iCs/>
                <w:lang w:val="en-US"/>
              </w:rPr>
              <w:t>EGFR</w:t>
            </w:r>
            <w:r w:rsidRPr="00873749">
              <w:rPr>
                <w:rFonts w:ascii="Arial" w:hAnsi="Arial" w:cs="Arial"/>
                <w:lang w:val="en-US"/>
              </w:rPr>
              <w:t xml:space="preserve"> mutation type</w:t>
            </w:r>
          </w:p>
        </w:tc>
        <w:tc>
          <w:tcPr>
            <w:tcW w:w="1276" w:type="dxa"/>
          </w:tcPr>
          <w:p w14:paraId="498C147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</w:tcPr>
          <w:p w14:paraId="1DF933D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C47153F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</w:tcPr>
          <w:p w14:paraId="4E07170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</w:tcPr>
          <w:p w14:paraId="010B859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738BB552" w14:textId="77777777" w:rsidTr="00A90EB4">
        <w:tc>
          <w:tcPr>
            <w:tcW w:w="2518" w:type="dxa"/>
          </w:tcPr>
          <w:p w14:paraId="275AA553" w14:textId="1DA9C28B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Common</w:t>
            </w:r>
          </w:p>
        </w:tc>
        <w:tc>
          <w:tcPr>
            <w:tcW w:w="1276" w:type="dxa"/>
          </w:tcPr>
          <w:p w14:paraId="5B85368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2551" w:type="dxa"/>
          </w:tcPr>
          <w:p w14:paraId="2089EBA4" w14:textId="14991754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14.32 (10.94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18.16)</w:t>
            </w:r>
          </w:p>
        </w:tc>
        <w:tc>
          <w:tcPr>
            <w:tcW w:w="1276" w:type="dxa"/>
          </w:tcPr>
          <w:p w14:paraId="6621C7D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477</w:t>
            </w:r>
          </w:p>
        </w:tc>
        <w:tc>
          <w:tcPr>
            <w:tcW w:w="2567" w:type="dxa"/>
          </w:tcPr>
          <w:p w14:paraId="38FC9E6F" w14:textId="5020BA45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14.42 (13.40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16.39)</w:t>
            </w:r>
          </w:p>
        </w:tc>
        <w:tc>
          <w:tcPr>
            <w:tcW w:w="3843" w:type="dxa"/>
          </w:tcPr>
          <w:p w14:paraId="4E56D08E" w14:textId="1296D138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1.09 (0.80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1.49), 0.5657</w:t>
            </w:r>
          </w:p>
        </w:tc>
      </w:tr>
      <w:tr w:rsidR="009102CD" w:rsidRPr="00873749" w14:paraId="6BA2043C" w14:textId="77777777" w:rsidTr="00A90EB4">
        <w:tc>
          <w:tcPr>
            <w:tcW w:w="2518" w:type="dxa"/>
          </w:tcPr>
          <w:p w14:paraId="51B7ED8B" w14:textId="3EE51741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Uncommon</w:t>
            </w:r>
          </w:p>
        </w:tc>
        <w:tc>
          <w:tcPr>
            <w:tcW w:w="1276" w:type="dxa"/>
          </w:tcPr>
          <w:p w14:paraId="1820D6EC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1" w:type="dxa"/>
          </w:tcPr>
          <w:p w14:paraId="3EE1E504" w14:textId="75B9DE25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5.50 (3.38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37.83)</w:t>
            </w:r>
          </w:p>
        </w:tc>
        <w:tc>
          <w:tcPr>
            <w:tcW w:w="1276" w:type="dxa"/>
          </w:tcPr>
          <w:p w14:paraId="7B1B96A7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567" w:type="dxa"/>
          </w:tcPr>
          <w:p w14:paraId="6C6F7A74" w14:textId="768C20DB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9.23 (6.01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20.66)</w:t>
            </w:r>
          </w:p>
        </w:tc>
        <w:tc>
          <w:tcPr>
            <w:tcW w:w="3843" w:type="dxa"/>
          </w:tcPr>
          <w:p w14:paraId="0BB9A2AA" w14:textId="78D575A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1.13 (0.43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2.95), 0.8075</w:t>
            </w:r>
          </w:p>
        </w:tc>
      </w:tr>
      <w:tr w:rsidR="009102CD" w:rsidRPr="00873749" w14:paraId="3ECFCA38" w14:textId="77777777" w:rsidTr="00A90EB4">
        <w:tc>
          <w:tcPr>
            <w:tcW w:w="2518" w:type="dxa"/>
          </w:tcPr>
          <w:p w14:paraId="41895FA4" w14:textId="300F90DD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Subgroup at </w:t>
            </w:r>
            <w:r w:rsidR="004046B7" w:rsidRPr="00873749">
              <w:rPr>
                <w:rFonts w:ascii="Arial" w:hAnsi="Arial" w:cs="Arial"/>
                <w:b/>
                <w:lang w:val="en-US"/>
              </w:rPr>
              <w:t>b</w:t>
            </w:r>
            <w:r w:rsidRPr="00873749">
              <w:rPr>
                <w:rFonts w:ascii="Arial" w:hAnsi="Arial" w:cs="Arial"/>
                <w:b/>
                <w:lang w:val="en-US"/>
              </w:rPr>
              <w:t>aseline</w:t>
            </w:r>
          </w:p>
        </w:tc>
        <w:tc>
          <w:tcPr>
            <w:tcW w:w="1276" w:type="dxa"/>
            <w:vAlign w:val="center"/>
          </w:tcPr>
          <w:p w14:paraId="4E26FB8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>n in subgroup</w:t>
            </w:r>
          </w:p>
        </w:tc>
        <w:tc>
          <w:tcPr>
            <w:tcW w:w="2551" w:type="dxa"/>
            <w:vAlign w:val="center"/>
          </w:tcPr>
          <w:p w14:paraId="488B7767" w14:textId="6035383D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Median PFS, </w:t>
            </w:r>
            <w:r w:rsidR="004046B7" w:rsidRPr="00873749">
              <w:rPr>
                <w:rFonts w:ascii="Arial" w:hAnsi="Arial" w:cs="Arial"/>
                <w:b/>
                <w:lang w:val="en-US"/>
              </w:rPr>
              <w:t>m</w:t>
            </w:r>
            <w:r w:rsidRPr="00873749">
              <w:rPr>
                <w:rFonts w:ascii="Arial" w:hAnsi="Arial" w:cs="Arial"/>
                <w:b/>
                <w:lang w:val="en-US"/>
              </w:rPr>
              <w:t>onths (95% CI)</w:t>
            </w:r>
          </w:p>
        </w:tc>
        <w:tc>
          <w:tcPr>
            <w:tcW w:w="1276" w:type="dxa"/>
            <w:vAlign w:val="center"/>
          </w:tcPr>
          <w:p w14:paraId="297087B5" w14:textId="74BB60B6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n in </w:t>
            </w:r>
            <w:r w:rsidR="004046B7" w:rsidRPr="00873749">
              <w:rPr>
                <w:rFonts w:ascii="Arial" w:hAnsi="Arial" w:cs="Arial"/>
                <w:b/>
                <w:lang w:val="en-US"/>
              </w:rPr>
              <w:t>s</w:t>
            </w:r>
            <w:r w:rsidRPr="00873749">
              <w:rPr>
                <w:rFonts w:ascii="Arial" w:hAnsi="Arial" w:cs="Arial"/>
                <w:b/>
                <w:lang w:val="en-US"/>
              </w:rPr>
              <w:t>ubgroup</w:t>
            </w:r>
          </w:p>
        </w:tc>
        <w:tc>
          <w:tcPr>
            <w:tcW w:w="2567" w:type="dxa"/>
            <w:vAlign w:val="center"/>
          </w:tcPr>
          <w:p w14:paraId="5D12E3B3" w14:textId="537A1D2D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b/>
                <w:lang w:val="en-US"/>
              </w:rPr>
              <w:t xml:space="preserve">Median PFS, </w:t>
            </w:r>
            <w:r w:rsidR="004046B7" w:rsidRPr="00873749">
              <w:rPr>
                <w:rFonts w:ascii="Arial" w:hAnsi="Arial" w:cs="Arial"/>
                <w:b/>
                <w:lang w:val="en-US"/>
              </w:rPr>
              <w:t>m</w:t>
            </w:r>
            <w:r w:rsidRPr="00873749">
              <w:rPr>
                <w:rFonts w:ascii="Arial" w:hAnsi="Arial" w:cs="Arial"/>
                <w:b/>
                <w:lang w:val="en-US"/>
              </w:rPr>
              <w:t>onths (95% CI)</w:t>
            </w:r>
          </w:p>
        </w:tc>
        <w:tc>
          <w:tcPr>
            <w:tcW w:w="3843" w:type="dxa"/>
            <w:vAlign w:val="center"/>
          </w:tcPr>
          <w:p w14:paraId="38B625AA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9102CD" w:rsidRPr="00873749" w14:paraId="69BE2E30" w14:textId="77777777" w:rsidTr="00A90EB4">
        <w:tc>
          <w:tcPr>
            <w:tcW w:w="2518" w:type="dxa"/>
          </w:tcPr>
          <w:p w14:paraId="448D898E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431960">
              <w:rPr>
                <w:rFonts w:ascii="Arial" w:hAnsi="Arial" w:cs="Arial"/>
                <w:bCs/>
                <w:lang w:val="en-US"/>
              </w:rPr>
              <w:t>All</w:t>
            </w:r>
          </w:p>
        </w:tc>
        <w:tc>
          <w:tcPr>
            <w:tcW w:w="1276" w:type="dxa"/>
            <w:vAlign w:val="center"/>
          </w:tcPr>
          <w:p w14:paraId="04E2E3CE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431960">
              <w:rPr>
                <w:rFonts w:ascii="Arial" w:hAnsi="Arial" w:cs="Arial"/>
                <w:bCs/>
                <w:lang w:val="en-US"/>
              </w:rPr>
              <w:t>64</w:t>
            </w:r>
          </w:p>
        </w:tc>
        <w:tc>
          <w:tcPr>
            <w:tcW w:w="2551" w:type="dxa"/>
            <w:vAlign w:val="center"/>
          </w:tcPr>
          <w:p w14:paraId="0F4A19CD" w14:textId="32A99678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873749">
              <w:rPr>
                <w:rFonts w:ascii="Arial" w:hAnsi="Arial" w:cs="Arial"/>
                <w:bCs/>
                <w:lang w:val="en-US"/>
              </w:rPr>
              <w:t>11.03 (10.11</w:t>
            </w:r>
            <w:r w:rsidR="00A57C9B" w:rsidRPr="00873749">
              <w:rPr>
                <w:rFonts w:cs="Arial"/>
                <w:bCs/>
                <w:lang w:val="en-US"/>
              </w:rPr>
              <w:t>–</w:t>
            </w:r>
            <w:r w:rsidRPr="00873749">
              <w:rPr>
                <w:rFonts w:ascii="Arial" w:hAnsi="Arial" w:cs="Arial"/>
                <w:bCs/>
                <w:lang w:val="en-US"/>
              </w:rPr>
              <w:t>16.55)</w:t>
            </w:r>
          </w:p>
        </w:tc>
        <w:tc>
          <w:tcPr>
            <w:tcW w:w="1276" w:type="dxa"/>
            <w:vAlign w:val="center"/>
          </w:tcPr>
          <w:p w14:paraId="28CC774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431960">
              <w:rPr>
                <w:rFonts w:ascii="Arial" w:hAnsi="Arial" w:cs="Arial"/>
                <w:bCs/>
                <w:lang w:val="en-US"/>
              </w:rPr>
              <w:t>541</w:t>
            </w:r>
          </w:p>
        </w:tc>
        <w:tc>
          <w:tcPr>
            <w:tcW w:w="2567" w:type="dxa"/>
            <w:vAlign w:val="center"/>
          </w:tcPr>
          <w:p w14:paraId="4708ECA2" w14:textId="2EFE3C5B" w:rsidR="009102CD" w:rsidRPr="00431960" w:rsidRDefault="009102CD" w:rsidP="00A57C9B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431960">
              <w:rPr>
                <w:rFonts w:ascii="Arial" w:hAnsi="Arial" w:cs="Arial"/>
                <w:bCs/>
                <w:lang w:val="en-US"/>
              </w:rPr>
              <w:t>12.05 (11.03</w:t>
            </w:r>
            <w:r w:rsidR="00A57C9B" w:rsidRPr="00873749">
              <w:rPr>
                <w:rFonts w:cs="Arial"/>
                <w:bCs/>
                <w:lang w:val="en-US"/>
              </w:rPr>
              <w:t>–</w:t>
            </w:r>
            <w:r w:rsidRPr="00431960">
              <w:rPr>
                <w:rFonts w:ascii="Arial" w:hAnsi="Arial" w:cs="Arial"/>
                <w:bCs/>
                <w:lang w:val="en-US"/>
              </w:rPr>
              <w:t>13.60)</w:t>
            </w:r>
          </w:p>
        </w:tc>
        <w:tc>
          <w:tcPr>
            <w:tcW w:w="3843" w:type="dxa"/>
            <w:vAlign w:val="center"/>
          </w:tcPr>
          <w:p w14:paraId="3C6AD6C6" w14:textId="6A5E42D3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0.95 (0.71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1.27), 0.7351</w:t>
            </w:r>
          </w:p>
        </w:tc>
      </w:tr>
      <w:tr w:rsidR="009102CD" w:rsidRPr="00873749" w14:paraId="2999679B" w14:textId="77777777" w:rsidTr="00A90EB4">
        <w:tc>
          <w:tcPr>
            <w:tcW w:w="2518" w:type="dxa"/>
          </w:tcPr>
          <w:p w14:paraId="3FFED37C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276" w:type="dxa"/>
            <w:vAlign w:val="center"/>
          </w:tcPr>
          <w:p w14:paraId="2E04130A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D5B3C0C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01B9B4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  <w:vAlign w:val="center"/>
          </w:tcPr>
          <w:p w14:paraId="1E20196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  <w:vAlign w:val="center"/>
          </w:tcPr>
          <w:p w14:paraId="507B69DF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2CFAB5F7" w14:textId="77777777" w:rsidTr="00A90EB4">
        <w:tc>
          <w:tcPr>
            <w:tcW w:w="2518" w:type="dxa"/>
          </w:tcPr>
          <w:p w14:paraId="7D2865BE" w14:textId="3D369BB4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&lt;65 years</w:t>
            </w:r>
          </w:p>
        </w:tc>
        <w:tc>
          <w:tcPr>
            <w:tcW w:w="1276" w:type="dxa"/>
            <w:vAlign w:val="center"/>
          </w:tcPr>
          <w:p w14:paraId="11D4325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14:paraId="149B36DA" w14:textId="73001650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10.94 (8.14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16.52)</w:t>
            </w:r>
          </w:p>
        </w:tc>
        <w:tc>
          <w:tcPr>
            <w:tcW w:w="1276" w:type="dxa"/>
            <w:vAlign w:val="center"/>
          </w:tcPr>
          <w:p w14:paraId="2194127A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2567" w:type="dxa"/>
            <w:vAlign w:val="center"/>
          </w:tcPr>
          <w:p w14:paraId="48959E86" w14:textId="6564F7AB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11.53 (10.87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13.56)</w:t>
            </w:r>
          </w:p>
        </w:tc>
        <w:tc>
          <w:tcPr>
            <w:tcW w:w="3843" w:type="dxa"/>
            <w:vAlign w:val="center"/>
          </w:tcPr>
          <w:p w14:paraId="2EEF4A1B" w14:textId="6D7E37A8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1.07 (0.77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1.47), 0.6927</w:t>
            </w:r>
          </w:p>
        </w:tc>
      </w:tr>
      <w:tr w:rsidR="009102CD" w:rsidRPr="00873749" w14:paraId="12F4A7EF" w14:textId="77777777" w:rsidTr="00A90EB4">
        <w:tc>
          <w:tcPr>
            <w:tcW w:w="2518" w:type="dxa"/>
          </w:tcPr>
          <w:p w14:paraId="29239B80" w14:textId="1E2A0E63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≥65 years</w:t>
            </w:r>
          </w:p>
        </w:tc>
        <w:tc>
          <w:tcPr>
            <w:tcW w:w="1276" w:type="dxa"/>
            <w:vAlign w:val="center"/>
          </w:tcPr>
          <w:p w14:paraId="56113E03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14:paraId="6E84E1FD" w14:textId="4E76A43C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21.90 (10.77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NE)</w:t>
            </w:r>
          </w:p>
        </w:tc>
        <w:tc>
          <w:tcPr>
            <w:tcW w:w="1276" w:type="dxa"/>
            <w:vAlign w:val="center"/>
          </w:tcPr>
          <w:p w14:paraId="7ADE8C23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2567" w:type="dxa"/>
            <w:vAlign w:val="center"/>
          </w:tcPr>
          <w:p w14:paraId="46B303D7" w14:textId="38877B7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13.56 (11.07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15.67)</w:t>
            </w:r>
          </w:p>
        </w:tc>
        <w:tc>
          <w:tcPr>
            <w:tcW w:w="3843" w:type="dxa"/>
            <w:vAlign w:val="center"/>
          </w:tcPr>
          <w:p w14:paraId="5CA722F3" w14:textId="4097A299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0.60 (0.29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1.23), 0.1600</w:t>
            </w:r>
          </w:p>
        </w:tc>
      </w:tr>
      <w:tr w:rsidR="009102CD" w:rsidRPr="00873749" w14:paraId="2AD1E4CC" w14:textId="77777777" w:rsidTr="00A90EB4">
        <w:tc>
          <w:tcPr>
            <w:tcW w:w="2518" w:type="dxa"/>
          </w:tcPr>
          <w:p w14:paraId="4EDB45A1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ECOG PS</w:t>
            </w:r>
          </w:p>
        </w:tc>
        <w:tc>
          <w:tcPr>
            <w:tcW w:w="1276" w:type="dxa"/>
            <w:vAlign w:val="center"/>
          </w:tcPr>
          <w:p w14:paraId="4D0B081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B42CCC0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B5AC8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  <w:vAlign w:val="center"/>
          </w:tcPr>
          <w:p w14:paraId="30A89B86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  <w:vAlign w:val="center"/>
          </w:tcPr>
          <w:p w14:paraId="4F632D6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1F94AE8A" w14:textId="77777777" w:rsidTr="00A90EB4">
        <w:tc>
          <w:tcPr>
            <w:tcW w:w="2518" w:type="dxa"/>
          </w:tcPr>
          <w:p w14:paraId="51431CCE" w14:textId="1445ADCA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16B4FB9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551" w:type="dxa"/>
            <w:vAlign w:val="center"/>
          </w:tcPr>
          <w:p w14:paraId="38252AF2" w14:textId="5028C891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14.48 (9.23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19.21)</w:t>
            </w:r>
          </w:p>
        </w:tc>
        <w:tc>
          <w:tcPr>
            <w:tcW w:w="1276" w:type="dxa"/>
            <w:vAlign w:val="center"/>
          </w:tcPr>
          <w:p w14:paraId="04ED6441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2567" w:type="dxa"/>
            <w:vAlign w:val="center"/>
          </w:tcPr>
          <w:p w14:paraId="222BB907" w14:textId="47A346A1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14.84 (12.25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19.31)</w:t>
            </w:r>
          </w:p>
        </w:tc>
        <w:tc>
          <w:tcPr>
            <w:tcW w:w="3843" w:type="dxa"/>
            <w:vAlign w:val="center"/>
          </w:tcPr>
          <w:p w14:paraId="026609DA" w14:textId="5DD9742A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1.18 (0.79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1.76), 0.4258</w:t>
            </w:r>
          </w:p>
        </w:tc>
      </w:tr>
      <w:tr w:rsidR="009102CD" w:rsidRPr="00873749" w14:paraId="766D4688" w14:textId="77777777" w:rsidTr="00A90EB4">
        <w:tc>
          <w:tcPr>
            <w:tcW w:w="2518" w:type="dxa"/>
          </w:tcPr>
          <w:p w14:paraId="25F89C69" w14:textId="7A4A5BC0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D951C1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14:paraId="6C62B3A8" w14:textId="11AED58E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10.77 (5.55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18.19)</w:t>
            </w:r>
          </w:p>
        </w:tc>
        <w:tc>
          <w:tcPr>
            <w:tcW w:w="1276" w:type="dxa"/>
            <w:vAlign w:val="center"/>
          </w:tcPr>
          <w:p w14:paraId="21931B0F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431</w:t>
            </w:r>
          </w:p>
        </w:tc>
        <w:tc>
          <w:tcPr>
            <w:tcW w:w="2567" w:type="dxa"/>
            <w:vAlign w:val="center"/>
          </w:tcPr>
          <w:p w14:paraId="2381DF00" w14:textId="7B436559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11.33 (10.87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13.04)</w:t>
            </w:r>
          </w:p>
        </w:tc>
        <w:tc>
          <w:tcPr>
            <w:tcW w:w="3843" w:type="dxa"/>
            <w:vAlign w:val="center"/>
          </w:tcPr>
          <w:p w14:paraId="4854C097" w14:textId="6394137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1.22 (0.69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2.18), 0.4931</w:t>
            </w:r>
          </w:p>
        </w:tc>
      </w:tr>
      <w:tr w:rsidR="009102CD" w:rsidRPr="00873749" w14:paraId="74AFA5EE" w14:textId="77777777" w:rsidTr="00A90EB4">
        <w:tc>
          <w:tcPr>
            <w:tcW w:w="2518" w:type="dxa"/>
          </w:tcPr>
          <w:p w14:paraId="5937BBE7" w14:textId="42BAF007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A30675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3DF9F11D" w14:textId="189720CD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NE (2.69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NE)</w:t>
            </w:r>
          </w:p>
        </w:tc>
        <w:tc>
          <w:tcPr>
            <w:tcW w:w="1276" w:type="dxa"/>
            <w:vAlign w:val="center"/>
          </w:tcPr>
          <w:p w14:paraId="38A3C45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567" w:type="dxa"/>
            <w:vAlign w:val="center"/>
          </w:tcPr>
          <w:p w14:paraId="7DAF4F02" w14:textId="78D20D4B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10.57 (5.68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19.84)</w:t>
            </w:r>
          </w:p>
        </w:tc>
        <w:tc>
          <w:tcPr>
            <w:tcW w:w="3843" w:type="dxa"/>
            <w:vAlign w:val="center"/>
          </w:tcPr>
          <w:p w14:paraId="4976FC08" w14:textId="2D54F89F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0.58 (0.07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4.73), 0.6144</w:t>
            </w:r>
          </w:p>
        </w:tc>
      </w:tr>
      <w:tr w:rsidR="009102CD" w:rsidRPr="00873749" w14:paraId="2CD4783F" w14:textId="77777777" w:rsidTr="00A90EB4">
        <w:tc>
          <w:tcPr>
            <w:tcW w:w="2518" w:type="dxa"/>
          </w:tcPr>
          <w:p w14:paraId="117D924D" w14:textId="77777777" w:rsidR="009102CD" w:rsidRPr="00873749" w:rsidRDefault="009102CD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i/>
                <w:lang w:val="en-US"/>
              </w:rPr>
              <w:t>EGFR</w:t>
            </w:r>
            <w:r w:rsidRPr="00873749">
              <w:rPr>
                <w:rFonts w:ascii="Arial" w:hAnsi="Arial" w:cs="Arial"/>
                <w:lang w:val="en-US"/>
              </w:rPr>
              <w:t xml:space="preserve"> mutation type</w:t>
            </w:r>
          </w:p>
        </w:tc>
        <w:tc>
          <w:tcPr>
            <w:tcW w:w="1276" w:type="dxa"/>
            <w:vAlign w:val="center"/>
          </w:tcPr>
          <w:p w14:paraId="19624ABF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ADA52C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A5C05B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7" w:type="dxa"/>
            <w:vAlign w:val="center"/>
          </w:tcPr>
          <w:p w14:paraId="75D141D7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843" w:type="dxa"/>
            <w:vAlign w:val="center"/>
          </w:tcPr>
          <w:p w14:paraId="77D7CCB0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102CD" w:rsidRPr="00873749" w14:paraId="15619B09" w14:textId="77777777" w:rsidTr="00A90EB4">
        <w:tc>
          <w:tcPr>
            <w:tcW w:w="2518" w:type="dxa"/>
          </w:tcPr>
          <w:p w14:paraId="6E15C98C" w14:textId="2FD2C7B3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lastRenderedPageBreak/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>Common</w:t>
            </w:r>
          </w:p>
        </w:tc>
        <w:tc>
          <w:tcPr>
            <w:tcW w:w="1276" w:type="dxa"/>
            <w:vAlign w:val="center"/>
          </w:tcPr>
          <w:p w14:paraId="54E1F6B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2551" w:type="dxa"/>
            <w:vAlign w:val="center"/>
          </w:tcPr>
          <w:p w14:paraId="7BC1E7CC" w14:textId="4443F2FF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12.48 (10.77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18.19)</w:t>
            </w:r>
          </w:p>
        </w:tc>
        <w:tc>
          <w:tcPr>
            <w:tcW w:w="1276" w:type="dxa"/>
            <w:vAlign w:val="center"/>
          </w:tcPr>
          <w:p w14:paraId="58E674D8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477</w:t>
            </w:r>
          </w:p>
        </w:tc>
        <w:tc>
          <w:tcPr>
            <w:tcW w:w="2567" w:type="dxa"/>
            <w:vAlign w:val="center"/>
          </w:tcPr>
          <w:p w14:paraId="1C1D6680" w14:textId="7DCDF9B9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12.68 (11.10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13.83)</w:t>
            </w:r>
          </w:p>
        </w:tc>
        <w:tc>
          <w:tcPr>
            <w:tcW w:w="3843" w:type="dxa"/>
            <w:vAlign w:val="center"/>
          </w:tcPr>
          <w:p w14:paraId="2EF202C9" w14:textId="61F22D49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0.95 (0.70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1.30), 0.7661</w:t>
            </w:r>
          </w:p>
        </w:tc>
      </w:tr>
      <w:tr w:rsidR="009102CD" w:rsidRPr="00873749" w14:paraId="6C1DEC56" w14:textId="77777777" w:rsidTr="00A90EB4">
        <w:tc>
          <w:tcPr>
            <w:tcW w:w="2518" w:type="dxa"/>
          </w:tcPr>
          <w:p w14:paraId="5C855CB8" w14:textId="22C025C2" w:rsidR="009102CD" w:rsidRPr="00873749" w:rsidRDefault="00253B32" w:rsidP="00E503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cs="Arial"/>
                <w:lang w:val="en-US"/>
              </w:rPr>
              <w:t xml:space="preserve">– </w:t>
            </w:r>
            <w:r w:rsidR="009102CD" w:rsidRPr="00873749">
              <w:rPr>
                <w:rFonts w:ascii="Arial" w:hAnsi="Arial" w:cs="Arial"/>
                <w:lang w:val="en-US"/>
              </w:rPr>
              <w:t xml:space="preserve"> Uncommon</w:t>
            </w:r>
          </w:p>
        </w:tc>
        <w:tc>
          <w:tcPr>
            <w:tcW w:w="1276" w:type="dxa"/>
            <w:vAlign w:val="center"/>
          </w:tcPr>
          <w:p w14:paraId="0342DE62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14:paraId="3759F96B" w14:textId="40754DF5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5.47 (3.81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37.83)</w:t>
            </w:r>
          </w:p>
        </w:tc>
        <w:tc>
          <w:tcPr>
            <w:tcW w:w="1276" w:type="dxa"/>
            <w:vAlign w:val="center"/>
          </w:tcPr>
          <w:p w14:paraId="11C250F9" w14:textId="77777777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567" w:type="dxa"/>
            <w:vAlign w:val="center"/>
          </w:tcPr>
          <w:p w14:paraId="66A9156E" w14:textId="6F3C789B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9.06 (5.58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12.94)</w:t>
            </w:r>
          </w:p>
        </w:tc>
        <w:tc>
          <w:tcPr>
            <w:tcW w:w="3843" w:type="dxa"/>
            <w:vAlign w:val="center"/>
          </w:tcPr>
          <w:p w14:paraId="7FA806E8" w14:textId="7DEBD2E2" w:rsidR="009102CD" w:rsidRPr="00873749" w:rsidRDefault="009102CD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  <w:lang w:val="en-US"/>
              </w:rPr>
              <w:t>0.99 (0.39</w:t>
            </w:r>
            <w:r w:rsidR="00A57C9B" w:rsidRPr="00873749">
              <w:rPr>
                <w:rFonts w:cs="Arial"/>
                <w:lang w:val="en-US"/>
              </w:rPr>
              <w:t>–</w:t>
            </w:r>
            <w:r w:rsidRPr="00873749">
              <w:rPr>
                <w:rFonts w:ascii="Arial" w:hAnsi="Arial" w:cs="Arial"/>
                <w:lang w:val="en-US"/>
              </w:rPr>
              <w:t>2.56), 0.9916</w:t>
            </w:r>
          </w:p>
        </w:tc>
      </w:tr>
      <w:tr w:rsidR="00253B32" w:rsidRPr="00873749" w14:paraId="4A7F02AA" w14:textId="77777777" w:rsidTr="00C5388A">
        <w:tc>
          <w:tcPr>
            <w:tcW w:w="14031" w:type="dxa"/>
            <w:gridSpan w:val="6"/>
          </w:tcPr>
          <w:p w14:paraId="27B79FED" w14:textId="6DAF35B8" w:rsidR="00253B32" w:rsidRPr="00873749" w:rsidRDefault="00253B32" w:rsidP="00A57C9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73749">
              <w:rPr>
                <w:rFonts w:ascii="Arial" w:hAnsi="Arial" w:cs="Arial"/>
              </w:rPr>
              <w:t xml:space="preserve">CI: Confidence interval; </w:t>
            </w:r>
            <w:r w:rsidRPr="00873749">
              <w:rPr>
                <w:rFonts w:ascii="Arial" w:hAnsi="Arial" w:cs="Arial"/>
                <w:lang w:val="en-US"/>
              </w:rPr>
              <w:t xml:space="preserve">ECOG PS: Eastern Cooperative Oncology Group performance status; </w:t>
            </w:r>
            <w:r w:rsidRPr="00873749">
              <w:rPr>
                <w:rFonts w:ascii="Arial" w:hAnsi="Arial" w:cs="Arial"/>
                <w:i/>
                <w:lang w:val="en-US"/>
              </w:rPr>
              <w:t>EGFR</w:t>
            </w:r>
            <w:r w:rsidRPr="00873749">
              <w:rPr>
                <w:rFonts w:ascii="Arial" w:hAnsi="Arial" w:cs="Arial"/>
                <w:lang w:val="en-US"/>
              </w:rPr>
              <w:t>: Epidermal growth factor receptor; HR: Hazard ratio; NE: Not estimable; PFS: Progression-free survival; TTSP: Time to symptomatic progression.</w:t>
            </w:r>
          </w:p>
        </w:tc>
      </w:tr>
    </w:tbl>
    <w:p w14:paraId="59567125" w14:textId="77777777" w:rsidR="009102CD" w:rsidRPr="00B67BD6" w:rsidRDefault="009102CD" w:rsidP="00E50388">
      <w:pPr>
        <w:spacing w:line="360" w:lineRule="auto"/>
        <w:rPr>
          <w:rFonts w:ascii="Arial" w:hAnsi="Arial" w:cs="Arial"/>
          <w:lang w:val="en-US"/>
        </w:rPr>
      </w:pPr>
    </w:p>
    <w:p w14:paraId="643F7128" w14:textId="77777777" w:rsidR="009102CD" w:rsidRPr="003F79CE" w:rsidRDefault="009102CD" w:rsidP="002E3EE0">
      <w:pPr>
        <w:spacing w:line="360" w:lineRule="auto"/>
        <w:rPr>
          <w:rFonts w:ascii="Arial" w:hAnsi="Arial" w:cs="Arial"/>
          <w:lang w:val="en-US"/>
        </w:rPr>
      </w:pPr>
    </w:p>
    <w:p w14:paraId="0E6345C3" w14:textId="77777777" w:rsidR="00AA1471" w:rsidRPr="009102CD" w:rsidRDefault="00AA1471" w:rsidP="00E139C8">
      <w:pPr>
        <w:spacing w:line="360" w:lineRule="auto"/>
        <w:rPr>
          <w:lang w:val="en-US"/>
        </w:rPr>
      </w:pPr>
    </w:p>
    <w:sectPr w:rsidR="00AA1471" w:rsidRPr="009102CD" w:rsidSect="004836C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543D" w14:textId="77777777" w:rsidR="00A14FB5" w:rsidRDefault="00A14FB5">
      <w:pPr>
        <w:spacing w:after="0" w:line="240" w:lineRule="auto"/>
      </w:pPr>
      <w:r>
        <w:separator/>
      </w:r>
    </w:p>
  </w:endnote>
  <w:endnote w:type="continuationSeparator" w:id="0">
    <w:p w14:paraId="7F11D3B0" w14:textId="77777777" w:rsidR="00A14FB5" w:rsidRDefault="00A1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05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4E7C4" w14:textId="50483084" w:rsidR="009931C8" w:rsidRDefault="00F10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9C3B0C" w14:textId="77777777" w:rsidR="009931C8" w:rsidRDefault="00A14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5E1D" w14:textId="77777777" w:rsidR="00A14FB5" w:rsidRDefault="00A14FB5">
      <w:pPr>
        <w:spacing w:after="0" w:line="240" w:lineRule="auto"/>
      </w:pPr>
      <w:r>
        <w:separator/>
      </w:r>
    </w:p>
  </w:footnote>
  <w:footnote w:type="continuationSeparator" w:id="0">
    <w:p w14:paraId="40C65C15" w14:textId="77777777" w:rsidR="00A14FB5" w:rsidRDefault="00A1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7620"/>
    <w:multiLevelType w:val="hybridMultilevel"/>
    <w:tmpl w:val="D2E0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CD"/>
    <w:rsid w:val="00082E1F"/>
    <w:rsid w:val="001511E9"/>
    <w:rsid w:val="001E07EE"/>
    <w:rsid w:val="00253B32"/>
    <w:rsid w:val="00280E0A"/>
    <w:rsid w:val="002E3EE0"/>
    <w:rsid w:val="003029A9"/>
    <w:rsid w:val="00361243"/>
    <w:rsid w:val="003B10FA"/>
    <w:rsid w:val="004046B7"/>
    <w:rsid w:val="00431960"/>
    <w:rsid w:val="005549C1"/>
    <w:rsid w:val="006E4774"/>
    <w:rsid w:val="00844850"/>
    <w:rsid w:val="00873749"/>
    <w:rsid w:val="0088013F"/>
    <w:rsid w:val="009102CD"/>
    <w:rsid w:val="00954ED8"/>
    <w:rsid w:val="00987037"/>
    <w:rsid w:val="00A14FB5"/>
    <w:rsid w:val="00A57C9B"/>
    <w:rsid w:val="00A90EB4"/>
    <w:rsid w:val="00AA1471"/>
    <w:rsid w:val="00BB7726"/>
    <w:rsid w:val="00C65769"/>
    <w:rsid w:val="00DF4BF5"/>
    <w:rsid w:val="00E139C8"/>
    <w:rsid w:val="00E50388"/>
    <w:rsid w:val="00E5344E"/>
    <w:rsid w:val="00F1057B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E505F"/>
  <w15:chartTrackingRefBased/>
  <w15:docId w15:val="{049B24D7-13DB-44C0-9F98-7077DDA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CD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02CD"/>
    <w:pPr>
      <w:ind w:left="720"/>
      <w:contextualSpacing/>
    </w:pPr>
  </w:style>
  <w:style w:type="table" w:styleId="TableGrid">
    <w:name w:val="Table Grid"/>
    <w:basedOn w:val="TableNormal"/>
    <w:uiPriority w:val="59"/>
    <w:rsid w:val="009102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102CD"/>
    <w:rPr>
      <w:rFonts w:eastAsia="SimSu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02C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CD"/>
    <w:rPr>
      <w:rFonts w:eastAsia="SimSu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E0"/>
    <w:rPr>
      <w:rFonts w:ascii="Segoe UI" w:eastAsia="SimSu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50388"/>
    <w:pPr>
      <w:spacing w:after="0" w:line="240" w:lineRule="auto"/>
    </w:pPr>
    <w:rPr>
      <w:rFonts w:eastAsia="SimSu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26"/>
    <w:rPr>
      <w:rFonts w:eastAsia="SimSu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9C1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9C1"/>
    <w:rPr>
      <w:rFonts w:eastAsia="SimSu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Zoppi</dc:creator>
  <cp:keywords/>
  <dc:description/>
  <cp:lastModifiedBy>Johanna Todd</cp:lastModifiedBy>
  <cp:revision>2</cp:revision>
  <dcterms:created xsi:type="dcterms:W3CDTF">2022-01-12T15:10:00Z</dcterms:created>
  <dcterms:modified xsi:type="dcterms:W3CDTF">2022-01-12T15:10:00Z</dcterms:modified>
</cp:coreProperties>
</file>