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2DC83" w14:textId="77777777" w:rsidR="0021542C" w:rsidRDefault="0021542C" w:rsidP="00D818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outlineLvl w:val="0"/>
        <w:rPr>
          <w:color w:val="000000"/>
          <w:lang w:val="en-US"/>
        </w:rPr>
      </w:pPr>
      <w:r w:rsidRPr="0021542C">
        <w:rPr>
          <w:b/>
          <w:color w:val="000000"/>
          <w:lang w:val="en-US"/>
        </w:rPr>
        <w:t>Supplementary Materials:</w:t>
      </w:r>
      <w:r w:rsidRPr="0021542C">
        <w:rPr>
          <w:color w:val="000000"/>
          <w:lang w:val="en-US"/>
        </w:rPr>
        <w:t xml:space="preserve"> </w:t>
      </w:r>
    </w:p>
    <w:p w14:paraId="4FD293F0" w14:textId="22DBB3BB" w:rsidR="00AB3F49" w:rsidRPr="008B0442" w:rsidRDefault="008B0442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 xml:space="preserve">Figure </w:t>
      </w:r>
      <w:r w:rsidR="00E91F91">
        <w:rPr>
          <w:b/>
          <w:color w:val="000000"/>
          <w:lang w:val="en-US"/>
        </w:rPr>
        <w:t>S1</w:t>
      </w:r>
      <w:r w:rsidR="00CC6B8D" w:rsidRPr="00B36A74">
        <w:rPr>
          <w:b/>
          <w:color w:val="000000"/>
          <w:lang w:val="en-US"/>
        </w:rPr>
        <w:t>:</w:t>
      </w:r>
      <w:r w:rsidR="00CC6B8D" w:rsidRPr="00CC6B8D">
        <w:rPr>
          <w:color w:val="000000"/>
          <w:lang w:val="en-US"/>
        </w:rPr>
        <w:t xml:space="preserve"> </w:t>
      </w:r>
      <w:r w:rsidRPr="008B0442">
        <w:rPr>
          <w:color w:val="000000" w:themeColor="text1"/>
          <w:lang w:val="en-US"/>
        </w:rPr>
        <w:t>Analysis of the physicochemical profile of the gp46 protein. The analysis suggests that the L55P mutation may generate an important change in hydrophilicity, hydropathy, antigenicity, accessibility, and membrane buried-helix.</w:t>
      </w:r>
    </w:p>
    <w:p w14:paraId="1E8B4BD8" w14:textId="60E972E3" w:rsidR="007A4627" w:rsidRPr="00250B35" w:rsidRDefault="007A4627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76E94B00" wp14:editId="689E835F">
            <wp:extent cx="5600024" cy="7199284"/>
            <wp:effectExtent l="0" t="0" r="0" b="0"/>
            <wp:docPr id="2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403" cy="7297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003B3" w14:textId="5A5C4A6D" w:rsidR="00B6012D" w:rsidRPr="008B0442" w:rsidRDefault="00E91F91" w:rsidP="00B6012D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Figure S2</w:t>
      </w:r>
      <w:r w:rsidR="00AB3F49" w:rsidRPr="00B36A74">
        <w:rPr>
          <w:b/>
          <w:color w:val="000000"/>
          <w:lang w:val="en-US"/>
        </w:rPr>
        <w:t>:</w:t>
      </w:r>
      <w:r w:rsidR="00AB3F49" w:rsidRPr="00AB3F49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gp46 protein. The analysis suggests that the Q64H and S72G mutations may generate an important change in antigenicity, accessibility, and membrane buried-helix. It also suggests that the V247I mutation may generate an important change in antigenicity</w:t>
      </w:r>
      <w:r w:rsidR="008B0442">
        <w:rPr>
          <w:color w:val="000000" w:themeColor="text1"/>
          <w:lang w:val="en-US"/>
        </w:rPr>
        <w:t>.</w:t>
      </w:r>
    </w:p>
    <w:p w14:paraId="493F1646" w14:textId="14465F76" w:rsidR="007A4627" w:rsidRPr="00250B35" w:rsidRDefault="007A4627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6AC8F826" wp14:editId="61FD7BF9">
            <wp:extent cx="5374552" cy="7427884"/>
            <wp:effectExtent l="0" t="0" r="10795" b="0"/>
            <wp:docPr id="2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362" cy="7459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9DFD0" w14:textId="234A354E" w:rsidR="00B6012D" w:rsidRDefault="00E91F91" w:rsidP="008B0442">
      <w:pPr>
        <w:pBdr>
          <w:top w:val="nil"/>
          <w:left w:val="nil"/>
          <w:bottom w:val="nil"/>
          <w:right w:val="nil"/>
          <w:between w:val="nil"/>
        </w:pBdr>
        <w:spacing w:before="240"/>
        <w:ind w:left="360"/>
        <w:jc w:val="both"/>
        <w:rPr>
          <w:color w:val="000000" w:themeColor="text1"/>
          <w:lang w:val="en-US"/>
        </w:rPr>
      </w:pPr>
      <w:r w:rsidRPr="008B0442">
        <w:rPr>
          <w:b/>
          <w:color w:val="000000"/>
          <w:lang w:val="en-US"/>
        </w:rPr>
        <w:lastRenderedPageBreak/>
        <w:t>Figure S3</w:t>
      </w:r>
      <w:r w:rsidR="00AB3F49" w:rsidRPr="008B0442">
        <w:rPr>
          <w:b/>
          <w:color w:val="000000"/>
          <w:lang w:val="en-US"/>
        </w:rPr>
        <w:t>:</w:t>
      </w:r>
      <w:r w:rsidR="00AB3F49" w:rsidRPr="008B0442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HBZ protein. The analysis suggests that the G90R mutation may generate an important change in hydrophilicity, hydropathy, antigenicity, accessibility, and membrane buried-helix. It also suggests that the K169R mutation may alter accessibility.</w:t>
      </w:r>
      <w:bookmarkStart w:id="0" w:name="_GoBack"/>
      <w:bookmarkEnd w:id="0"/>
    </w:p>
    <w:p w14:paraId="06C2DD8F" w14:textId="77777777" w:rsidR="008B0442" w:rsidRPr="008B0442" w:rsidRDefault="008B0442" w:rsidP="008B0442">
      <w:pPr>
        <w:pBdr>
          <w:top w:val="nil"/>
          <w:left w:val="nil"/>
          <w:bottom w:val="nil"/>
          <w:right w:val="nil"/>
          <w:between w:val="nil"/>
        </w:pBdr>
        <w:spacing w:before="240"/>
        <w:ind w:left="360"/>
        <w:jc w:val="both"/>
        <w:rPr>
          <w:color w:val="000000" w:themeColor="text1"/>
          <w:lang w:val="en-US"/>
        </w:rPr>
      </w:pPr>
    </w:p>
    <w:p w14:paraId="2494DABF" w14:textId="7D98A7B3" w:rsidR="007A4627" w:rsidRPr="00250B35" w:rsidRDefault="007A4627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646687D2" wp14:editId="634D9EE9">
            <wp:extent cx="5259545" cy="7422896"/>
            <wp:effectExtent l="0" t="0" r="0" b="0"/>
            <wp:docPr id="2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34" cy="7488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B5878" w14:textId="0421AC1F" w:rsidR="00B36A74" w:rsidRPr="008B0442" w:rsidRDefault="00E91F91" w:rsidP="00B36A74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Figure S4</w:t>
      </w:r>
      <w:r w:rsidR="00AB3F49" w:rsidRPr="00B36A74">
        <w:rPr>
          <w:b/>
          <w:color w:val="000000"/>
          <w:lang w:val="en-US"/>
        </w:rPr>
        <w:t>:</w:t>
      </w:r>
      <w:r w:rsidR="00AB3F49" w:rsidRPr="00AB3F49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p14 protein. The analysis suggests that the G244D mutation may generate an important change in hydrophilicity, hydropathy, antigenicity, accessibility, and membrane buried-helix.</w:t>
      </w:r>
    </w:p>
    <w:p w14:paraId="330C5285" w14:textId="7AC6900E" w:rsidR="007A4627" w:rsidRPr="00AB3F49" w:rsidRDefault="007A4627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2E915DD3" wp14:editId="1BE64939">
            <wp:extent cx="5488348" cy="7651496"/>
            <wp:effectExtent l="0" t="0" r="0" b="0"/>
            <wp:docPr id="2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856" cy="7687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4AAC7" w14:textId="7DE5D64E" w:rsidR="00B36A74" w:rsidRDefault="00E91F91" w:rsidP="00B36A74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 w:themeColor="text1"/>
          <w:lang w:val="en-US"/>
        </w:rPr>
      </w:pPr>
      <w:r>
        <w:rPr>
          <w:b/>
          <w:color w:val="000000"/>
          <w:lang w:val="en-US"/>
        </w:rPr>
        <w:lastRenderedPageBreak/>
        <w:t>Figure S5</w:t>
      </w:r>
      <w:r w:rsidR="00AB3F49" w:rsidRPr="00B36A74">
        <w:rPr>
          <w:b/>
          <w:color w:val="000000"/>
          <w:lang w:val="en-US"/>
        </w:rPr>
        <w:t>:</w:t>
      </w:r>
      <w:r w:rsidR="00AB3F49" w:rsidRPr="00AB3F49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p15 protein. The analysis suggests that the Q3P mutation may generate an important change in hydropathy, antigenicity, and accessibility.</w:t>
      </w:r>
    </w:p>
    <w:p w14:paraId="755B762E" w14:textId="77777777" w:rsidR="008B0442" w:rsidRPr="008B0442" w:rsidRDefault="008B0442" w:rsidP="00B36A74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</w:p>
    <w:p w14:paraId="659D3B3A" w14:textId="5BF61BDA" w:rsidR="00A45545" w:rsidRPr="00250B35" w:rsidRDefault="00A45545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0B9756BC" wp14:editId="058052B1">
            <wp:extent cx="5488400" cy="7537196"/>
            <wp:effectExtent l="0" t="0" r="0" b="6985"/>
            <wp:docPr id="2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064" cy="7569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693A4" w14:textId="3C46BDF2" w:rsidR="00AB3F49" w:rsidRDefault="00E91F91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 w:themeColor="text1"/>
          <w:lang w:val="en-US"/>
        </w:rPr>
      </w:pPr>
      <w:r>
        <w:rPr>
          <w:b/>
          <w:color w:val="000000"/>
          <w:lang w:val="en-US"/>
        </w:rPr>
        <w:lastRenderedPageBreak/>
        <w:t>Figure S6</w:t>
      </w:r>
      <w:r w:rsidR="00B36A74" w:rsidRPr="00B36A74">
        <w:rPr>
          <w:b/>
          <w:color w:val="000000"/>
          <w:lang w:val="en-US"/>
        </w:rPr>
        <w:t>:</w:t>
      </w:r>
      <w:r w:rsidR="00B36A74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p30 protein. The analysis suggests that the R37C mutation may generate an important change in hydrophilicity, hydropathy, accessibility, and membrane buried-helix</w:t>
      </w:r>
      <w:r w:rsidR="008B0442">
        <w:rPr>
          <w:color w:val="000000" w:themeColor="text1"/>
          <w:lang w:val="en-US"/>
        </w:rPr>
        <w:t>.</w:t>
      </w:r>
    </w:p>
    <w:p w14:paraId="00F1B5AC" w14:textId="77777777" w:rsidR="008B0442" w:rsidRPr="008B0442" w:rsidRDefault="008B0442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</w:p>
    <w:p w14:paraId="21EE98E1" w14:textId="596BB532" w:rsidR="00A45545" w:rsidRPr="00250B35" w:rsidRDefault="00A45545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1413279E" wp14:editId="0238861A">
            <wp:extent cx="5374099" cy="7537196"/>
            <wp:effectExtent l="0" t="0" r="10795" b="6985"/>
            <wp:docPr id="2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023" cy="756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AA0A5" w14:textId="0B9876CB" w:rsidR="00AB3F49" w:rsidRDefault="00E91F91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 w:themeColor="text1"/>
          <w:lang w:val="en-US"/>
        </w:rPr>
      </w:pPr>
      <w:r>
        <w:rPr>
          <w:b/>
          <w:color w:val="000000"/>
          <w:lang w:val="en-US"/>
        </w:rPr>
        <w:lastRenderedPageBreak/>
        <w:t>Figure S7</w:t>
      </w:r>
      <w:r w:rsidR="00AB3F49" w:rsidRPr="007D73F1">
        <w:rPr>
          <w:b/>
          <w:color w:val="000000"/>
          <w:lang w:val="en-US"/>
        </w:rPr>
        <w:t>:</w:t>
      </w:r>
      <w:r w:rsidR="00AB3F49" w:rsidRPr="00AB3F49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p40 protein. The analysis suggests that the P136S mutation may generate an important change in membrane buried-helix</w:t>
      </w:r>
      <w:r w:rsidR="008B0442">
        <w:rPr>
          <w:color w:val="000000" w:themeColor="text1"/>
          <w:lang w:val="en-US"/>
        </w:rPr>
        <w:t>.</w:t>
      </w:r>
    </w:p>
    <w:p w14:paraId="50594427" w14:textId="77777777" w:rsidR="008B0442" w:rsidRPr="008B0442" w:rsidRDefault="008B0442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</w:p>
    <w:p w14:paraId="591E479F" w14:textId="79AE83B0" w:rsidR="00A45545" w:rsidRPr="00250B35" w:rsidRDefault="00A45545" w:rsidP="00250B35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36FEEA7A" wp14:editId="7FB27BB2">
            <wp:extent cx="5140960" cy="7778629"/>
            <wp:effectExtent l="0" t="0" r="0" b="0"/>
            <wp:docPr id="2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319" cy="778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197E8" w14:textId="5C434FB6" w:rsidR="00AB3F49" w:rsidRPr="008B0442" w:rsidRDefault="00E91F91" w:rsidP="007D73F1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Figure S8</w:t>
      </w:r>
      <w:r w:rsidR="007D73F1" w:rsidRPr="007D73F1">
        <w:rPr>
          <w:b/>
          <w:color w:val="000000"/>
          <w:lang w:val="en-US"/>
        </w:rPr>
        <w:t>:</w:t>
      </w:r>
      <w:r w:rsidR="007D73F1">
        <w:rPr>
          <w:color w:val="000000"/>
          <w:lang w:val="en-US"/>
        </w:rPr>
        <w:t xml:space="preserve"> </w:t>
      </w:r>
      <w:r w:rsidR="008B0442" w:rsidRPr="008B0442">
        <w:rPr>
          <w:color w:val="000000" w:themeColor="text1"/>
          <w:lang w:val="en-US"/>
        </w:rPr>
        <w:t>Analysis of the physicochemical profile of the p12 protein. The analysis suggests that the P34L mutation may generate an important change in hydrophilicity, hydropathy, antigenicity, flexibility, accessibility, and membrane buried-helix.</w:t>
      </w:r>
    </w:p>
    <w:p w14:paraId="427D8170" w14:textId="2A1CF1A7" w:rsidR="007C7B62" w:rsidRPr="00AB3F49" w:rsidRDefault="00A45545" w:rsidP="00CC6B8D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lang w:val="en-US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5DE2889B" wp14:editId="78CB4B84">
            <wp:extent cx="5374223" cy="7651496"/>
            <wp:effectExtent l="0" t="0" r="10795" b="0"/>
            <wp:docPr id="2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825" cy="767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C7B62" w:rsidRPr="00AB3F49" w:rsidSect="00E9065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87554"/>
    <w:multiLevelType w:val="hybridMultilevel"/>
    <w:tmpl w:val="B89E2B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E1DF2"/>
    <w:multiLevelType w:val="hybridMultilevel"/>
    <w:tmpl w:val="71AAEFD2"/>
    <w:lvl w:ilvl="0" w:tplc="13422A6E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7F"/>
    <w:rsid w:val="00023553"/>
    <w:rsid w:val="000634DA"/>
    <w:rsid w:val="000C697A"/>
    <w:rsid w:val="000C765E"/>
    <w:rsid w:val="000E572A"/>
    <w:rsid w:val="000F1E49"/>
    <w:rsid w:val="000F52E3"/>
    <w:rsid w:val="0012280B"/>
    <w:rsid w:val="0012394E"/>
    <w:rsid w:val="001402C4"/>
    <w:rsid w:val="0014478A"/>
    <w:rsid w:val="00171665"/>
    <w:rsid w:val="00186574"/>
    <w:rsid w:val="00191439"/>
    <w:rsid w:val="001C34CE"/>
    <w:rsid w:val="001E5E63"/>
    <w:rsid w:val="00203C17"/>
    <w:rsid w:val="00210C41"/>
    <w:rsid w:val="0021542C"/>
    <w:rsid w:val="002159C5"/>
    <w:rsid w:val="0021792A"/>
    <w:rsid w:val="00233487"/>
    <w:rsid w:val="00234B1B"/>
    <w:rsid w:val="00250B35"/>
    <w:rsid w:val="002D3F49"/>
    <w:rsid w:val="002E1C63"/>
    <w:rsid w:val="002F5A82"/>
    <w:rsid w:val="00352621"/>
    <w:rsid w:val="00354BFF"/>
    <w:rsid w:val="00384F41"/>
    <w:rsid w:val="00392693"/>
    <w:rsid w:val="003B3F4B"/>
    <w:rsid w:val="003B544F"/>
    <w:rsid w:val="003C6CCB"/>
    <w:rsid w:val="003D2146"/>
    <w:rsid w:val="003E5730"/>
    <w:rsid w:val="003F35A5"/>
    <w:rsid w:val="003F7C66"/>
    <w:rsid w:val="004152A6"/>
    <w:rsid w:val="004239D7"/>
    <w:rsid w:val="004332AF"/>
    <w:rsid w:val="004507BA"/>
    <w:rsid w:val="00454F26"/>
    <w:rsid w:val="00456ED1"/>
    <w:rsid w:val="00473890"/>
    <w:rsid w:val="00481ECC"/>
    <w:rsid w:val="004970E7"/>
    <w:rsid w:val="004A05E6"/>
    <w:rsid w:val="004F3080"/>
    <w:rsid w:val="0052006A"/>
    <w:rsid w:val="00544E19"/>
    <w:rsid w:val="0055707B"/>
    <w:rsid w:val="00573493"/>
    <w:rsid w:val="00574F9B"/>
    <w:rsid w:val="005826A2"/>
    <w:rsid w:val="005E4D20"/>
    <w:rsid w:val="005E63EC"/>
    <w:rsid w:val="00687BB8"/>
    <w:rsid w:val="00695170"/>
    <w:rsid w:val="006A34F0"/>
    <w:rsid w:val="006C0C9F"/>
    <w:rsid w:val="006C4CFF"/>
    <w:rsid w:val="006E5310"/>
    <w:rsid w:val="00700638"/>
    <w:rsid w:val="0070737F"/>
    <w:rsid w:val="00726CB8"/>
    <w:rsid w:val="00790E5B"/>
    <w:rsid w:val="007A4627"/>
    <w:rsid w:val="007B1E9D"/>
    <w:rsid w:val="007C5418"/>
    <w:rsid w:val="007C7B62"/>
    <w:rsid w:val="007D73F1"/>
    <w:rsid w:val="00804C37"/>
    <w:rsid w:val="008119D1"/>
    <w:rsid w:val="008163E1"/>
    <w:rsid w:val="008821DC"/>
    <w:rsid w:val="008A75ED"/>
    <w:rsid w:val="008B0442"/>
    <w:rsid w:val="009347E2"/>
    <w:rsid w:val="009B7F2E"/>
    <w:rsid w:val="009E6961"/>
    <w:rsid w:val="00A00B1D"/>
    <w:rsid w:val="00A06977"/>
    <w:rsid w:val="00A13CBC"/>
    <w:rsid w:val="00A21EAE"/>
    <w:rsid w:val="00A45545"/>
    <w:rsid w:val="00A766F6"/>
    <w:rsid w:val="00A77920"/>
    <w:rsid w:val="00A94D91"/>
    <w:rsid w:val="00AB3F49"/>
    <w:rsid w:val="00AD3A3D"/>
    <w:rsid w:val="00AD77F0"/>
    <w:rsid w:val="00B36A74"/>
    <w:rsid w:val="00B6012D"/>
    <w:rsid w:val="00B61795"/>
    <w:rsid w:val="00B7227C"/>
    <w:rsid w:val="00B73952"/>
    <w:rsid w:val="00B96751"/>
    <w:rsid w:val="00BA67F4"/>
    <w:rsid w:val="00C378C1"/>
    <w:rsid w:val="00C77CB9"/>
    <w:rsid w:val="00C9009D"/>
    <w:rsid w:val="00CC5036"/>
    <w:rsid w:val="00CC6B8D"/>
    <w:rsid w:val="00CD0893"/>
    <w:rsid w:val="00CD634B"/>
    <w:rsid w:val="00CF2F9D"/>
    <w:rsid w:val="00D00A9F"/>
    <w:rsid w:val="00D13258"/>
    <w:rsid w:val="00D56467"/>
    <w:rsid w:val="00D63BE1"/>
    <w:rsid w:val="00D66701"/>
    <w:rsid w:val="00D70261"/>
    <w:rsid w:val="00D7669C"/>
    <w:rsid w:val="00D81879"/>
    <w:rsid w:val="00D9418C"/>
    <w:rsid w:val="00DA2D60"/>
    <w:rsid w:val="00DB1171"/>
    <w:rsid w:val="00DB73BA"/>
    <w:rsid w:val="00DD7299"/>
    <w:rsid w:val="00DF4D7F"/>
    <w:rsid w:val="00E177C3"/>
    <w:rsid w:val="00E90655"/>
    <w:rsid w:val="00E91F91"/>
    <w:rsid w:val="00EA530D"/>
    <w:rsid w:val="00ED33B9"/>
    <w:rsid w:val="00E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D7313"/>
  <w15:chartTrackingRefBased/>
  <w15:docId w15:val="{D3BF0489-D099-7B40-80E0-8A805A0B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4D7F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4D7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2E1C63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1C63"/>
    <w:rPr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1C63"/>
    <w:rPr>
      <w:rFonts w:ascii="Times New Roman" w:eastAsia="Times New Roman" w:hAnsi="Times New Roman" w:cs="Times New Roman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C63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C63"/>
    <w:rPr>
      <w:rFonts w:ascii="Times New Roman" w:eastAsia="Times New Roman" w:hAnsi="Times New Roman" w:cs="Times New Roman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Thessika Hialla Almeida Araújo - Biomédica</dc:creator>
  <cp:keywords/>
  <dc:description/>
  <cp:lastModifiedBy>Fernanda Khouri</cp:lastModifiedBy>
  <cp:revision>12</cp:revision>
  <dcterms:created xsi:type="dcterms:W3CDTF">2020-11-26T14:23:00Z</dcterms:created>
  <dcterms:modified xsi:type="dcterms:W3CDTF">2021-01-18T17:35:00Z</dcterms:modified>
</cp:coreProperties>
</file>