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0F8" w14:textId="77777777" w:rsidR="001179EA" w:rsidRPr="00186336" w:rsidRDefault="001179EA" w:rsidP="001179EA">
      <w:pPr>
        <w:keepNext/>
        <w:spacing w:line="360" w:lineRule="auto"/>
        <w:jc w:val="both"/>
        <w:rPr>
          <w:rFonts w:asciiTheme="minorHAnsi" w:hAnsiTheme="minorHAnsi" w:cs="Times New Roman"/>
        </w:rPr>
      </w:pPr>
      <w:r w:rsidRPr="00991CD9">
        <w:rPr>
          <w:rFonts w:asciiTheme="minorHAnsi" w:hAnsiTheme="minorHAnsi" w:cs="Times New Roman"/>
          <w:noProof/>
        </w:rPr>
        <w:drawing>
          <wp:inline distT="0" distB="0" distL="0" distR="0" wp14:anchorId="3A26EC53" wp14:editId="02450CD0">
            <wp:extent cx="5731510" cy="4414345"/>
            <wp:effectExtent l="0" t="0" r="2540" b="571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2CA9008-CE5E-4D64-9FF9-B2C3BFC1CD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1A8F760" w14:textId="1207B272" w:rsidR="001179EA" w:rsidRPr="00186336" w:rsidRDefault="00951B4C" w:rsidP="001179EA">
      <w:pPr>
        <w:pStyle w:val="Caption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Supplementary Material </w:t>
      </w:r>
      <w:r w:rsidR="00010079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  <w:r w:rsidR="001179EA" w:rsidRPr="00186336">
        <w:rPr>
          <w:rFonts w:asciiTheme="minorHAnsi" w:hAnsiTheme="minorHAnsi"/>
        </w:rPr>
        <w:t xml:space="preserve"> Forecasted demand level for prod</w:t>
      </w:r>
      <w:r w:rsidR="001179EA" w:rsidRPr="00C904BC">
        <w:rPr>
          <w:rFonts w:asciiTheme="minorHAnsi" w:hAnsiTheme="minorHAnsi"/>
        </w:rPr>
        <w:t>ucts over 20 years. Dotted lines refer to the scenario with fast</w:t>
      </w:r>
      <w:r w:rsidR="008459C2">
        <w:rPr>
          <w:rFonts w:asciiTheme="minorHAnsi" w:hAnsiTheme="minorHAnsi"/>
        </w:rPr>
        <w:t>-</w:t>
      </w:r>
      <w:r w:rsidR="001179EA" w:rsidRPr="00C904BC">
        <w:rPr>
          <w:rFonts w:asciiTheme="minorHAnsi" w:hAnsiTheme="minorHAnsi"/>
        </w:rPr>
        <w:t xml:space="preserve">track designations, solid lines refer to the </w:t>
      </w:r>
      <w:r w:rsidR="001179EA" w:rsidRPr="00186336">
        <w:rPr>
          <w:rFonts w:asciiTheme="minorHAnsi" w:hAnsiTheme="minorHAnsi"/>
        </w:rPr>
        <w:t xml:space="preserve">scenario without </w:t>
      </w:r>
      <w:r w:rsidR="007A0EFD" w:rsidRPr="00186336">
        <w:rPr>
          <w:rFonts w:asciiTheme="minorHAnsi" w:hAnsiTheme="minorHAnsi"/>
        </w:rPr>
        <w:t>fast-track</w:t>
      </w:r>
      <w:r w:rsidR="001179EA" w:rsidRPr="00186336">
        <w:rPr>
          <w:rFonts w:asciiTheme="minorHAnsi" w:hAnsiTheme="minorHAnsi"/>
        </w:rPr>
        <w:t xml:space="preserve"> designations.</w:t>
      </w:r>
    </w:p>
    <w:p w14:paraId="6915F01C" w14:textId="77777777" w:rsidR="00A47FB5" w:rsidRDefault="007A0EFD"/>
    <w:sectPr w:rsidR="00A4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NAdSBkBkYmimpKMUnFpcnJmfB1JgVAsAKU580ywAAAA="/>
  </w:docVars>
  <w:rsids>
    <w:rsidRoot w:val="001179EA"/>
    <w:rsid w:val="00010079"/>
    <w:rsid w:val="001179EA"/>
    <w:rsid w:val="004769ED"/>
    <w:rsid w:val="00587A06"/>
    <w:rsid w:val="00717476"/>
    <w:rsid w:val="00761329"/>
    <w:rsid w:val="007A0EFD"/>
    <w:rsid w:val="008459C2"/>
    <w:rsid w:val="009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BCD9"/>
  <w15:chartTrackingRefBased/>
  <w15:docId w15:val="{1D9CDD22-7451-4387-B00B-9230904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9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179EA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loria\Dropbox\OPTIMIZATION%20LITERATURE%20REVIEW\Confirmation%20report\product%20demand%20leve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Demand scenario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'Base value'!$A$4</c:f>
              <c:strCache>
                <c:ptCount val="1"/>
                <c:pt idx="0">
                  <c:v>P1 (FT)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value'!$B$4:$V$4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30</c:v>
                </c:pt>
                <c:pt idx="5">
                  <c:v>30</c:v>
                </c:pt>
                <c:pt idx="6">
                  <c:v>60</c:v>
                </c:pt>
                <c:pt idx="7">
                  <c:v>125</c:v>
                </c:pt>
                <c:pt idx="8">
                  <c:v>250</c:v>
                </c:pt>
                <c:pt idx="9">
                  <c:v>375</c:v>
                </c:pt>
                <c:pt idx="10">
                  <c:v>500</c:v>
                </c:pt>
                <c:pt idx="11">
                  <c:v>500</c:v>
                </c:pt>
                <c:pt idx="12">
                  <c:v>500</c:v>
                </c:pt>
                <c:pt idx="13">
                  <c:v>500</c:v>
                </c:pt>
                <c:pt idx="14">
                  <c:v>500</c:v>
                </c:pt>
                <c:pt idx="15">
                  <c:v>500</c:v>
                </c:pt>
                <c:pt idx="16">
                  <c:v>500</c:v>
                </c:pt>
                <c:pt idx="17">
                  <c:v>500</c:v>
                </c:pt>
                <c:pt idx="18">
                  <c:v>500</c:v>
                </c:pt>
                <c:pt idx="19">
                  <c:v>500</c:v>
                </c:pt>
                <c:pt idx="20">
                  <c:v>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2CE-4963-853A-4A13FD705C42}"/>
            </c:ext>
          </c:extLst>
        </c:ser>
        <c:ser>
          <c:idx val="1"/>
          <c:order val="1"/>
          <c:tx>
            <c:strRef>
              <c:f>'Base value'!$A$5</c:f>
              <c:strCache>
                <c:ptCount val="1"/>
                <c:pt idx="0">
                  <c:v>P2 (FT)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squar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value'!$B$5:$V$5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30</c:v>
                </c:pt>
                <c:pt idx="5">
                  <c:v>30</c:v>
                </c:pt>
                <c:pt idx="6">
                  <c:v>12</c:v>
                </c:pt>
                <c:pt idx="7">
                  <c:v>25</c:v>
                </c:pt>
                <c:pt idx="8">
                  <c:v>50</c:v>
                </c:pt>
                <c:pt idx="9">
                  <c:v>75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2CE-4963-853A-4A13FD705C42}"/>
            </c:ext>
          </c:extLst>
        </c:ser>
        <c:ser>
          <c:idx val="2"/>
          <c:order val="2"/>
          <c:tx>
            <c:strRef>
              <c:f>'Base value'!$A$6</c:f>
              <c:strCache>
                <c:ptCount val="1"/>
                <c:pt idx="0">
                  <c:v>P3 (FT)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diamond"/>
            <c:size val="4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value'!$B$6:$V$6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40</c:v>
                </c:pt>
                <c:pt idx="5">
                  <c:v>40</c:v>
                </c:pt>
                <c:pt idx="6">
                  <c:v>25</c:v>
                </c:pt>
                <c:pt idx="7">
                  <c:v>50</c:v>
                </c:pt>
                <c:pt idx="8">
                  <c:v>100</c:v>
                </c:pt>
                <c:pt idx="9">
                  <c:v>150</c:v>
                </c:pt>
                <c:pt idx="10">
                  <c:v>200</c:v>
                </c:pt>
                <c:pt idx="11">
                  <c:v>200</c:v>
                </c:pt>
                <c:pt idx="12">
                  <c:v>200</c:v>
                </c:pt>
                <c:pt idx="13">
                  <c:v>200</c:v>
                </c:pt>
                <c:pt idx="14">
                  <c:v>200</c:v>
                </c:pt>
                <c:pt idx="15">
                  <c:v>200</c:v>
                </c:pt>
                <c:pt idx="16">
                  <c:v>200</c:v>
                </c:pt>
                <c:pt idx="17">
                  <c:v>200</c:v>
                </c:pt>
                <c:pt idx="18">
                  <c:v>200</c:v>
                </c:pt>
                <c:pt idx="19">
                  <c:v>200</c:v>
                </c:pt>
                <c:pt idx="20">
                  <c:v>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2CE-4963-853A-4A13FD705C42}"/>
            </c:ext>
          </c:extLst>
        </c:ser>
        <c:ser>
          <c:idx val="6"/>
          <c:order val="3"/>
          <c:tx>
            <c:strRef>
              <c:f>'Base value'!$A$7</c:f>
              <c:strCache>
                <c:ptCount val="1"/>
                <c:pt idx="0">
                  <c:v>P4(FT)</c:v>
                </c:pt>
              </c:strCache>
            </c:strRef>
          </c:tx>
          <c:spPr>
            <a:ln w="19050" cap="rnd">
              <a:solidFill>
                <a:schemeClr val="bg2">
                  <a:lumMod val="25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4"/>
            <c:spPr>
              <a:solidFill>
                <a:schemeClr val="bg2">
                  <a:lumMod val="25000"/>
                </a:schemeClr>
              </a:solidFill>
              <a:ln w="9525">
                <a:solidFill>
                  <a:schemeClr val="bg2">
                    <a:lumMod val="25000"/>
                  </a:schemeClr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value'!$B$7:$V$7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30</c:v>
                </c:pt>
                <c:pt idx="5">
                  <c:v>30</c:v>
                </c:pt>
                <c:pt idx="6">
                  <c:v>200</c:v>
                </c:pt>
                <c:pt idx="7">
                  <c:v>525</c:v>
                </c:pt>
                <c:pt idx="8">
                  <c:v>1050</c:v>
                </c:pt>
                <c:pt idx="9">
                  <c:v>1575</c:v>
                </c:pt>
                <c:pt idx="10">
                  <c:v>2100</c:v>
                </c:pt>
                <c:pt idx="11">
                  <c:v>2100</c:v>
                </c:pt>
                <c:pt idx="12">
                  <c:v>2100</c:v>
                </c:pt>
                <c:pt idx="13">
                  <c:v>2100</c:v>
                </c:pt>
                <c:pt idx="14">
                  <c:v>2100</c:v>
                </c:pt>
                <c:pt idx="15">
                  <c:v>2100</c:v>
                </c:pt>
                <c:pt idx="16">
                  <c:v>2100</c:v>
                </c:pt>
                <c:pt idx="17">
                  <c:v>2100</c:v>
                </c:pt>
                <c:pt idx="18">
                  <c:v>2100</c:v>
                </c:pt>
                <c:pt idx="19">
                  <c:v>2100</c:v>
                </c:pt>
                <c:pt idx="20">
                  <c:v>2100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2CE-4963-853A-4A13FD705C42}"/>
            </c:ext>
          </c:extLst>
        </c:ser>
        <c:ser>
          <c:idx val="7"/>
          <c:order val="4"/>
          <c:tx>
            <c:strRef>
              <c:f>'Base value'!$A$8</c:f>
              <c:strCache>
                <c:ptCount val="1"/>
                <c:pt idx="0">
                  <c:v>P5(FT)</c:v>
                </c:pt>
              </c:strCache>
            </c:strRef>
          </c:tx>
          <c:spPr>
            <a:ln w="19050" cap="rnd">
              <a:solidFill>
                <a:schemeClr val="accent4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4"/>
            <c:spPr>
              <a:noFill/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Pt>
            <c:idx val="9"/>
            <c:marker>
              <c:symbol val="circle"/>
              <c:size val="5"/>
              <c:spPr>
                <a:noFill/>
                <a:ln w="9525">
                  <a:solidFill>
                    <a:schemeClr val="accent4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12CE-4963-853A-4A13FD705C42}"/>
              </c:ext>
            </c:extLst>
          </c:dPt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value'!$B$8:$V$8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50</c:v>
                </c:pt>
                <c:pt idx="5">
                  <c:v>50</c:v>
                </c:pt>
                <c:pt idx="6">
                  <c:v>500</c:v>
                </c:pt>
                <c:pt idx="7">
                  <c:v>1375</c:v>
                </c:pt>
                <c:pt idx="8">
                  <c:v>2750</c:v>
                </c:pt>
                <c:pt idx="9">
                  <c:v>4125</c:v>
                </c:pt>
                <c:pt idx="10">
                  <c:v>5500</c:v>
                </c:pt>
                <c:pt idx="11">
                  <c:v>5500</c:v>
                </c:pt>
                <c:pt idx="12">
                  <c:v>5500</c:v>
                </c:pt>
                <c:pt idx="13">
                  <c:v>5500</c:v>
                </c:pt>
                <c:pt idx="14">
                  <c:v>5500</c:v>
                </c:pt>
                <c:pt idx="15">
                  <c:v>5500</c:v>
                </c:pt>
                <c:pt idx="16">
                  <c:v>5500</c:v>
                </c:pt>
                <c:pt idx="17">
                  <c:v>5500</c:v>
                </c:pt>
                <c:pt idx="18">
                  <c:v>5500</c:v>
                </c:pt>
                <c:pt idx="19">
                  <c:v>5500</c:v>
                </c:pt>
                <c:pt idx="20">
                  <c:v>5500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2CE-4963-853A-4A13FD705C42}"/>
            </c:ext>
          </c:extLst>
        </c:ser>
        <c:ser>
          <c:idx val="3"/>
          <c:order val="5"/>
          <c:tx>
            <c:strRef>
              <c:f>'Base value'!$A$9</c:f>
              <c:strCache>
                <c:ptCount val="1"/>
                <c:pt idx="0">
                  <c:v>P1 (NFT)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value'!$B$9:$V$9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25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0</c:v>
                </c:pt>
                <c:pt idx="9">
                  <c:v>125</c:v>
                </c:pt>
                <c:pt idx="10">
                  <c:v>250</c:v>
                </c:pt>
                <c:pt idx="11">
                  <c:v>375</c:v>
                </c:pt>
                <c:pt idx="12">
                  <c:v>500</c:v>
                </c:pt>
                <c:pt idx="13">
                  <c:v>500</c:v>
                </c:pt>
                <c:pt idx="14">
                  <c:v>500</c:v>
                </c:pt>
                <c:pt idx="15">
                  <c:v>500</c:v>
                </c:pt>
                <c:pt idx="16">
                  <c:v>500</c:v>
                </c:pt>
                <c:pt idx="17">
                  <c:v>500</c:v>
                </c:pt>
                <c:pt idx="18">
                  <c:v>500</c:v>
                </c:pt>
                <c:pt idx="19">
                  <c:v>500</c:v>
                </c:pt>
                <c:pt idx="20">
                  <c:v>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12CE-4963-853A-4A13FD705C42}"/>
            </c:ext>
          </c:extLst>
        </c:ser>
        <c:ser>
          <c:idx val="4"/>
          <c:order val="6"/>
          <c:tx>
            <c:strRef>
              <c:f>'Base value'!$A$10</c:f>
              <c:strCache>
                <c:ptCount val="1"/>
                <c:pt idx="0">
                  <c:v>P2 (NFT)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value'!$B$10:$V$10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25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0</c:v>
                </c:pt>
                <c:pt idx="9">
                  <c:v>25</c:v>
                </c:pt>
                <c:pt idx="10">
                  <c:v>50</c:v>
                </c:pt>
                <c:pt idx="11">
                  <c:v>75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2CE-4963-853A-4A13FD705C42}"/>
            </c:ext>
          </c:extLst>
        </c:ser>
        <c:ser>
          <c:idx val="5"/>
          <c:order val="7"/>
          <c:tx>
            <c:strRef>
              <c:f>'Base value'!$A$11</c:f>
              <c:strCache>
                <c:ptCount val="1"/>
                <c:pt idx="0">
                  <c:v>P3 (NFT)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diamond"/>
            <c:size val="4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value'!$B$11:$V$11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25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0</c:v>
                </c:pt>
                <c:pt idx="9">
                  <c:v>50</c:v>
                </c:pt>
                <c:pt idx="10">
                  <c:v>100</c:v>
                </c:pt>
                <c:pt idx="11">
                  <c:v>150</c:v>
                </c:pt>
                <c:pt idx="12">
                  <c:v>200</c:v>
                </c:pt>
                <c:pt idx="13">
                  <c:v>200</c:v>
                </c:pt>
                <c:pt idx="14">
                  <c:v>200</c:v>
                </c:pt>
                <c:pt idx="15">
                  <c:v>200</c:v>
                </c:pt>
                <c:pt idx="16">
                  <c:v>200</c:v>
                </c:pt>
                <c:pt idx="17">
                  <c:v>200</c:v>
                </c:pt>
                <c:pt idx="18">
                  <c:v>200</c:v>
                </c:pt>
                <c:pt idx="19">
                  <c:v>200</c:v>
                </c:pt>
                <c:pt idx="20">
                  <c:v>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12CE-4963-853A-4A13FD705C42}"/>
            </c:ext>
          </c:extLst>
        </c:ser>
        <c:ser>
          <c:idx val="8"/>
          <c:order val="8"/>
          <c:tx>
            <c:strRef>
              <c:f>'Base value'!$A$12</c:f>
              <c:strCache>
                <c:ptCount val="1"/>
                <c:pt idx="0">
                  <c:v>P4 (NFT)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bg2">
                  <a:lumMod val="25000"/>
                </a:schemeClr>
              </a:solidFill>
              <a:ln w="9525">
                <a:solidFill>
                  <a:schemeClr val="tx1">
                    <a:lumMod val="85000"/>
                    <a:lumOff val="15000"/>
                  </a:schemeClr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value'!$B$12:$V$12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25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0</c:v>
                </c:pt>
                <c:pt idx="9">
                  <c:v>525</c:v>
                </c:pt>
                <c:pt idx="10">
                  <c:v>1050</c:v>
                </c:pt>
                <c:pt idx="11">
                  <c:v>1575</c:v>
                </c:pt>
                <c:pt idx="12">
                  <c:v>2100</c:v>
                </c:pt>
                <c:pt idx="13">
                  <c:v>2100</c:v>
                </c:pt>
                <c:pt idx="14">
                  <c:v>2100</c:v>
                </c:pt>
                <c:pt idx="15">
                  <c:v>2100</c:v>
                </c:pt>
                <c:pt idx="16">
                  <c:v>2100</c:v>
                </c:pt>
                <c:pt idx="17">
                  <c:v>2100</c:v>
                </c:pt>
                <c:pt idx="18">
                  <c:v>2100</c:v>
                </c:pt>
                <c:pt idx="19">
                  <c:v>2100</c:v>
                </c:pt>
                <c:pt idx="20">
                  <c:v>2100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12CE-4963-853A-4A13FD705C42}"/>
            </c:ext>
          </c:extLst>
        </c:ser>
        <c:ser>
          <c:idx val="9"/>
          <c:order val="9"/>
          <c:tx>
            <c:strRef>
              <c:f>'Base value'!$A$13</c:f>
              <c:strCache>
                <c:ptCount val="1"/>
                <c:pt idx="0">
                  <c:v>P5 (NFT)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'Base value'!$B$3:$V$3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'Base value'!$B$13:$V$13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25</c:v>
                </c:pt>
                <c:pt idx="4">
                  <c:v>25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0</c:v>
                </c:pt>
                <c:pt idx="9">
                  <c:v>1375</c:v>
                </c:pt>
                <c:pt idx="10">
                  <c:v>2750</c:v>
                </c:pt>
                <c:pt idx="11">
                  <c:v>4125</c:v>
                </c:pt>
                <c:pt idx="12">
                  <c:v>5500</c:v>
                </c:pt>
                <c:pt idx="13">
                  <c:v>5500</c:v>
                </c:pt>
                <c:pt idx="14">
                  <c:v>5500</c:v>
                </c:pt>
                <c:pt idx="15">
                  <c:v>5500</c:v>
                </c:pt>
                <c:pt idx="16">
                  <c:v>5500</c:v>
                </c:pt>
                <c:pt idx="17">
                  <c:v>5500</c:v>
                </c:pt>
                <c:pt idx="18">
                  <c:v>5500</c:v>
                </c:pt>
                <c:pt idx="19">
                  <c:v>5500</c:v>
                </c:pt>
                <c:pt idx="20">
                  <c:v>5500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12CE-4963-853A-4A13FD705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9020751"/>
        <c:axId val="1955961695"/>
      </c:scatterChart>
      <c:valAx>
        <c:axId val="1769020751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Time horizon</a:t>
                </a:r>
                <a:r>
                  <a:rPr lang="en-GB" baseline="0"/>
                  <a:t> (years)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5961695"/>
        <c:crosses val="autoZero"/>
        <c:crossBetween val="midCat"/>
      </c:valAx>
      <c:valAx>
        <c:axId val="1955961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Annual demand (treatments per year)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9020751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7585184358048751"/>
          <c:y val="0.20241443237316856"/>
          <c:w val="0.19962435728106556"/>
          <c:h val="0.3761600266099293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Lam</dc:creator>
  <cp:keywords/>
  <dc:description/>
  <cp:lastModifiedBy>Alice Soteriou</cp:lastModifiedBy>
  <cp:revision>5</cp:revision>
  <dcterms:created xsi:type="dcterms:W3CDTF">2021-05-05T14:08:00Z</dcterms:created>
  <dcterms:modified xsi:type="dcterms:W3CDTF">2022-01-10T13:02:00Z</dcterms:modified>
</cp:coreProperties>
</file>