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5515" w14:textId="77777777" w:rsidR="009C0DEC" w:rsidRPr="00FF1C50" w:rsidRDefault="009C0DEC" w:rsidP="009C0DE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lang w:val="en-US"/>
        </w:rPr>
      </w:pPr>
      <w:r w:rsidRPr="00FF1C50">
        <w:rPr>
          <w:rFonts w:ascii="Arial" w:eastAsia="Calibri" w:hAnsi="Arial" w:cs="Arial"/>
          <w:lang w:val="en-US"/>
        </w:rPr>
        <w:t>Supplemental Table S1. Summary of safety findings from REFLECTIONS B328-06</w:t>
      </w:r>
      <w:r w:rsidRPr="00FF1C50">
        <w:rPr>
          <w:rFonts w:ascii="Arial" w:eastAsia="Calibri" w:hAnsi="Arial" w:cs="Arial"/>
          <w:b/>
          <w:lang w:val="en-US"/>
        </w:rPr>
        <w:t xml:space="preserve"> </w:t>
      </w:r>
      <w:r w:rsidRPr="00FF1C50">
        <w:rPr>
          <w:rFonts w:ascii="Arial" w:eastAsia="Calibri" w:hAnsi="Arial" w:cs="Arial"/>
          <w:lang w:val="en-US"/>
        </w:rPr>
        <w:t xml:space="preserve">study </w:t>
      </w:r>
      <w:r>
        <w:rPr>
          <w:rFonts w:ascii="Arial" w:eastAsia="Calibri" w:hAnsi="Arial" w:cs="Arial"/>
          <w:noProof/>
          <w:lang w:val="en-US"/>
        </w:rPr>
        <w:t>[2]</w:t>
      </w:r>
      <w:r w:rsidRPr="00FF1C50">
        <w:rPr>
          <w:rFonts w:ascii="Arial" w:eastAsia="Calibri" w:hAnsi="Arial" w:cs="Arial"/>
          <w:lang w:val="en-US"/>
        </w:rPr>
        <w:t xml:space="preserve">. </w:t>
      </w:r>
      <w:r w:rsidRPr="00650516">
        <w:rPr>
          <w:rFonts w:ascii="Arial" w:hAnsi="Arial" w:cs="Arial"/>
        </w:rPr>
        <w:t>(© The Author(s) 2019. https://creativecommons.org/licenses/by-nc/4.0/)</w:t>
      </w:r>
    </w:p>
    <w:p w14:paraId="391BE484" w14:textId="77777777" w:rsidR="009C0DEC" w:rsidRPr="00FF1C50" w:rsidRDefault="009C0DEC" w:rsidP="009C0DE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126"/>
      </w:tblGrid>
      <w:tr w:rsidR="009C0DEC" w:rsidRPr="00FF1C50" w14:paraId="1DF24C83" w14:textId="77777777" w:rsidTr="00805F4A">
        <w:tc>
          <w:tcPr>
            <w:tcW w:w="4106" w:type="dxa"/>
          </w:tcPr>
          <w:p w14:paraId="7E1A664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lang w:val="en-US"/>
              </w:rPr>
            </w:pPr>
            <w:r w:rsidRPr="00FF1C50">
              <w:rPr>
                <w:rFonts w:ascii="Arial" w:eastAsia="Calibri" w:hAnsi="Arial" w:cs="Arial"/>
                <w:b/>
                <w:lang w:val="en-US"/>
              </w:rPr>
              <w:t>Category</w:t>
            </w:r>
          </w:p>
        </w:tc>
        <w:tc>
          <w:tcPr>
            <w:tcW w:w="2268" w:type="dxa"/>
          </w:tcPr>
          <w:p w14:paraId="55D2B930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FF1C50">
              <w:rPr>
                <w:rFonts w:ascii="Arial" w:eastAsia="Calibri" w:hAnsi="Arial" w:cs="Arial"/>
                <w:b/>
                <w:lang w:val="en-US"/>
              </w:rPr>
              <w:t>RTX-</w:t>
            </w:r>
            <w:proofErr w:type="spellStart"/>
            <w:r w:rsidRPr="00FF1C50">
              <w:rPr>
                <w:rFonts w:ascii="Arial" w:eastAsia="Calibri" w:hAnsi="Arial" w:cs="Arial"/>
                <w:b/>
                <w:lang w:val="en-US"/>
              </w:rPr>
              <w:t>PF</w:t>
            </w:r>
            <w:r w:rsidRPr="00FF1C50">
              <w:rPr>
                <w:rFonts w:ascii="Arial" w:eastAsia="Calibri" w:hAnsi="Arial" w:cs="Arial"/>
                <w:b/>
                <w:vertAlign w:val="superscript"/>
                <w:lang w:val="en-US"/>
              </w:rPr>
              <w:t>a</w:t>
            </w:r>
            <w:proofErr w:type="spellEnd"/>
          </w:p>
          <w:p w14:paraId="101748F9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FF1C50">
              <w:rPr>
                <w:rFonts w:ascii="Arial" w:eastAsia="Calibri" w:hAnsi="Arial" w:cs="Arial"/>
                <w:b/>
                <w:lang w:val="en-US"/>
              </w:rPr>
              <w:t>(N = 196)</w:t>
            </w:r>
          </w:p>
        </w:tc>
        <w:tc>
          <w:tcPr>
            <w:tcW w:w="2126" w:type="dxa"/>
          </w:tcPr>
          <w:p w14:paraId="68572676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FF1C50">
              <w:rPr>
                <w:rFonts w:ascii="Arial" w:eastAsia="Calibri" w:hAnsi="Arial" w:cs="Arial"/>
                <w:b/>
                <w:lang w:val="en-US"/>
              </w:rPr>
              <w:t>RTX-</w:t>
            </w:r>
            <w:proofErr w:type="spellStart"/>
            <w:r w:rsidRPr="00FF1C50">
              <w:rPr>
                <w:rFonts w:ascii="Arial" w:eastAsia="Calibri" w:hAnsi="Arial" w:cs="Arial"/>
                <w:b/>
                <w:lang w:val="en-US"/>
              </w:rPr>
              <w:t>EU</w:t>
            </w:r>
            <w:r w:rsidRPr="00FF1C50">
              <w:rPr>
                <w:rFonts w:ascii="Arial" w:eastAsia="Calibri" w:hAnsi="Arial" w:cs="Arial"/>
                <w:b/>
                <w:vertAlign w:val="superscript"/>
                <w:lang w:val="en-US"/>
              </w:rPr>
              <w:t>a</w:t>
            </w:r>
            <w:proofErr w:type="spellEnd"/>
          </w:p>
          <w:p w14:paraId="726B6AEF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FF1C50">
              <w:rPr>
                <w:rFonts w:ascii="Arial" w:eastAsia="Calibri" w:hAnsi="Arial" w:cs="Arial"/>
                <w:b/>
                <w:i/>
                <w:iCs/>
                <w:lang w:val="en-US"/>
              </w:rPr>
              <w:t>(</w:t>
            </w:r>
            <w:r w:rsidRPr="00FF1C50">
              <w:rPr>
                <w:rFonts w:ascii="Arial" w:eastAsia="Calibri" w:hAnsi="Arial" w:cs="Arial"/>
                <w:b/>
                <w:iCs/>
                <w:lang w:val="en-US"/>
              </w:rPr>
              <w:t>N</w:t>
            </w:r>
            <w:r w:rsidRPr="00FF1C50">
              <w:rPr>
                <w:rFonts w:ascii="Arial" w:eastAsia="Calibri" w:hAnsi="Arial" w:cs="Arial"/>
                <w:b/>
                <w:i/>
                <w:iCs/>
                <w:lang w:val="en-US"/>
              </w:rPr>
              <w:t xml:space="preserve"> </w:t>
            </w:r>
            <w:r w:rsidRPr="00FF1C50">
              <w:rPr>
                <w:rFonts w:ascii="Arial" w:eastAsia="Calibri" w:hAnsi="Arial" w:cs="Arial"/>
                <w:b/>
                <w:lang w:val="en-US"/>
              </w:rPr>
              <w:t>= 197)</w:t>
            </w:r>
          </w:p>
        </w:tc>
      </w:tr>
      <w:tr w:rsidR="009C0DEC" w:rsidRPr="00FF1C50" w14:paraId="5BAEEBE2" w14:textId="77777777" w:rsidTr="00805F4A">
        <w:tc>
          <w:tcPr>
            <w:tcW w:w="8500" w:type="dxa"/>
            <w:gridSpan w:val="3"/>
          </w:tcPr>
          <w:p w14:paraId="736DF07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TEAEs, all-causality, n (%)</w:t>
            </w:r>
          </w:p>
        </w:tc>
      </w:tr>
      <w:tr w:rsidR="009C0DEC" w:rsidRPr="00FF1C50" w14:paraId="652126E5" w14:textId="77777777" w:rsidTr="00805F4A">
        <w:trPr>
          <w:trHeight w:val="353"/>
        </w:trPr>
        <w:tc>
          <w:tcPr>
            <w:tcW w:w="4106" w:type="dxa"/>
          </w:tcPr>
          <w:p w14:paraId="609C113F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 xml:space="preserve">Subjects with AEs </w:t>
            </w:r>
          </w:p>
        </w:tc>
        <w:tc>
          <w:tcPr>
            <w:tcW w:w="2268" w:type="dxa"/>
          </w:tcPr>
          <w:p w14:paraId="5E4E770D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156 (79.6)</w:t>
            </w:r>
          </w:p>
        </w:tc>
        <w:tc>
          <w:tcPr>
            <w:tcW w:w="2126" w:type="dxa"/>
          </w:tcPr>
          <w:p w14:paraId="033A0D69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145 (73.6)</w:t>
            </w:r>
          </w:p>
        </w:tc>
      </w:tr>
      <w:tr w:rsidR="009C0DEC" w:rsidRPr="00FF1C50" w14:paraId="791C1473" w14:textId="77777777" w:rsidTr="00805F4A">
        <w:tc>
          <w:tcPr>
            <w:tcW w:w="4106" w:type="dxa"/>
          </w:tcPr>
          <w:p w14:paraId="43DE1069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SAEs</w:t>
            </w:r>
          </w:p>
        </w:tc>
        <w:tc>
          <w:tcPr>
            <w:tcW w:w="2268" w:type="dxa"/>
          </w:tcPr>
          <w:p w14:paraId="3928683B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17 (8.7)</w:t>
            </w:r>
          </w:p>
        </w:tc>
        <w:tc>
          <w:tcPr>
            <w:tcW w:w="2126" w:type="dxa"/>
          </w:tcPr>
          <w:p w14:paraId="5E338256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15 (7.6)</w:t>
            </w:r>
          </w:p>
        </w:tc>
      </w:tr>
      <w:tr w:rsidR="009C0DEC" w:rsidRPr="00FF1C50" w14:paraId="28891646" w14:textId="77777777" w:rsidTr="00805F4A">
        <w:tc>
          <w:tcPr>
            <w:tcW w:w="4106" w:type="dxa"/>
          </w:tcPr>
          <w:p w14:paraId="45497F9B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 xml:space="preserve">Grade </w:t>
            </w:r>
            <w:r w:rsidRPr="00FF1C50">
              <w:rPr>
                <w:rFonts w:ascii="Arial" w:eastAsia="Calibri" w:hAnsi="Arial" w:cs="Arial"/>
                <w:lang w:val="en-US"/>
              </w:rPr>
              <w:sym w:font="Symbol" w:char="F0B3"/>
            </w:r>
            <w:r w:rsidRPr="00FF1C50">
              <w:rPr>
                <w:rFonts w:ascii="Arial" w:eastAsia="Calibri" w:hAnsi="Arial" w:cs="Arial"/>
                <w:lang w:val="en-US"/>
              </w:rPr>
              <w:t xml:space="preserve">3 </w:t>
            </w:r>
            <w:proofErr w:type="spellStart"/>
            <w:r w:rsidRPr="00FF1C50">
              <w:rPr>
                <w:rFonts w:ascii="Arial" w:eastAsia="Calibri" w:hAnsi="Arial" w:cs="Arial"/>
                <w:lang w:val="en-US"/>
              </w:rPr>
              <w:t>AEs</w:t>
            </w:r>
            <w:r w:rsidRPr="00FF1C50">
              <w:rPr>
                <w:rFonts w:ascii="Arial" w:eastAsia="Calibri" w:hAnsi="Arial" w:cs="Arial"/>
                <w:vertAlign w:val="superscript"/>
                <w:lang w:val="en-US"/>
              </w:rPr>
              <w:t>b</w:t>
            </w:r>
            <w:proofErr w:type="spellEnd"/>
            <w:r w:rsidRPr="00FF1C50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2FB132A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28 (14.3)</w:t>
            </w:r>
          </w:p>
        </w:tc>
        <w:tc>
          <w:tcPr>
            <w:tcW w:w="2126" w:type="dxa"/>
          </w:tcPr>
          <w:p w14:paraId="3BF1063D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26 (13.2)</w:t>
            </w:r>
          </w:p>
        </w:tc>
      </w:tr>
      <w:tr w:rsidR="009C0DEC" w:rsidRPr="00FF1C50" w14:paraId="66D141B0" w14:textId="77777777" w:rsidTr="00805F4A">
        <w:tc>
          <w:tcPr>
            <w:tcW w:w="4106" w:type="dxa"/>
          </w:tcPr>
          <w:p w14:paraId="2E28332E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 xml:space="preserve">AEs leading to infusion </w:t>
            </w:r>
            <w:proofErr w:type="spellStart"/>
            <w:r w:rsidRPr="00FF1C50">
              <w:rPr>
                <w:rFonts w:ascii="Arial" w:eastAsia="Calibri" w:hAnsi="Arial" w:cs="Arial"/>
                <w:lang w:val="en-US"/>
              </w:rPr>
              <w:t>interruption</w:t>
            </w:r>
            <w:r w:rsidRPr="00FF1C50">
              <w:rPr>
                <w:rFonts w:ascii="Arial" w:eastAsia="Calibri" w:hAnsi="Arial" w:cs="Arial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268" w:type="dxa"/>
          </w:tcPr>
          <w:p w14:paraId="57402495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37 (18.9)</w:t>
            </w:r>
          </w:p>
        </w:tc>
        <w:tc>
          <w:tcPr>
            <w:tcW w:w="2126" w:type="dxa"/>
          </w:tcPr>
          <w:p w14:paraId="52C83CCC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51 (25.9)</w:t>
            </w:r>
          </w:p>
        </w:tc>
      </w:tr>
      <w:tr w:rsidR="009C0DEC" w:rsidRPr="00FF1C50" w14:paraId="0376A775" w14:textId="77777777" w:rsidTr="00805F4A">
        <w:tc>
          <w:tcPr>
            <w:tcW w:w="8500" w:type="dxa"/>
            <w:gridSpan w:val="3"/>
          </w:tcPr>
          <w:p w14:paraId="04D1E624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TEAEs by preferred term, all-causality, n (</w:t>
            </w:r>
            <w:proofErr w:type="gramStart"/>
            <w:r w:rsidRPr="00FF1C50">
              <w:rPr>
                <w:rFonts w:ascii="Arial" w:eastAsia="Calibri" w:hAnsi="Arial" w:cs="Arial"/>
                <w:lang w:val="en-US"/>
              </w:rPr>
              <w:t>%)</w:t>
            </w:r>
            <w:r w:rsidRPr="00FF1C50">
              <w:rPr>
                <w:rFonts w:ascii="Arial" w:eastAsia="Calibri" w:hAnsi="Arial" w:cs="Arial"/>
                <w:vertAlign w:val="superscript"/>
                <w:lang w:val="en-US"/>
              </w:rPr>
              <w:t>d</w:t>
            </w:r>
            <w:proofErr w:type="gramEnd"/>
            <w:r w:rsidRPr="00FF1C50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9C0DEC" w:rsidRPr="00FF1C50" w14:paraId="698262ED" w14:textId="77777777" w:rsidTr="00805F4A">
        <w:tc>
          <w:tcPr>
            <w:tcW w:w="4106" w:type="dxa"/>
          </w:tcPr>
          <w:p w14:paraId="7A02E5B4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 xml:space="preserve">Infusion-related reaction </w:t>
            </w:r>
          </w:p>
        </w:tc>
        <w:tc>
          <w:tcPr>
            <w:tcW w:w="2268" w:type="dxa"/>
          </w:tcPr>
          <w:p w14:paraId="5C331F0D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49 (25.0)</w:t>
            </w:r>
          </w:p>
        </w:tc>
        <w:tc>
          <w:tcPr>
            <w:tcW w:w="2126" w:type="dxa"/>
          </w:tcPr>
          <w:p w14:paraId="303B2EE2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59 (29.9)</w:t>
            </w:r>
          </w:p>
        </w:tc>
      </w:tr>
      <w:tr w:rsidR="009C0DEC" w:rsidRPr="00FF1C50" w14:paraId="3E505C36" w14:textId="77777777" w:rsidTr="00805F4A">
        <w:tc>
          <w:tcPr>
            <w:tcW w:w="4106" w:type="dxa"/>
          </w:tcPr>
          <w:p w14:paraId="4A19FB3C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Nausea</w:t>
            </w:r>
          </w:p>
        </w:tc>
        <w:tc>
          <w:tcPr>
            <w:tcW w:w="2268" w:type="dxa"/>
          </w:tcPr>
          <w:p w14:paraId="61C7FE2B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15 (7.7)</w:t>
            </w:r>
          </w:p>
        </w:tc>
        <w:tc>
          <w:tcPr>
            <w:tcW w:w="2126" w:type="dxa"/>
          </w:tcPr>
          <w:p w14:paraId="506E9B80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17 (8.6)</w:t>
            </w:r>
          </w:p>
        </w:tc>
      </w:tr>
      <w:tr w:rsidR="009C0DEC" w:rsidRPr="00FF1C50" w14:paraId="40464CC9" w14:textId="77777777" w:rsidTr="00805F4A">
        <w:tc>
          <w:tcPr>
            <w:tcW w:w="4106" w:type="dxa"/>
          </w:tcPr>
          <w:p w14:paraId="2BEE4DDF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F1C50">
              <w:rPr>
                <w:rFonts w:ascii="Arial" w:eastAsia="Calibri" w:hAnsi="Arial" w:cs="Arial"/>
                <w:color w:val="000000"/>
              </w:rPr>
              <w:t>Diarrhea</w:t>
            </w:r>
            <w:proofErr w:type="spellEnd"/>
          </w:p>
        </w:tc>
        <w:tc>
          <w:tcPr>
            <w:tcW w:w="2268" w:type="dxa"/>
          </w:tcPr>
          <w:p w14:paraId="702E3E13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14 (7.1)</w:t>
            </w:r>
          </w:p>
        </w:tc>
        <w:tc>
          <w:tcPr>
            <w:tcW w:w="2126" w:type="dxa"/>
          </w:tcPr>
          <w:p w14:paraId="3910457B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12 (6.1)</w:t>
            </w:r>
          </w:p>
        </w:tc>
      </w:tr>
      <w:tr w:rsidR="009C0DEC" w:rsidRPr="00FF1C50" w14:paraId="04B94A85" w14:textId="77777777" w:rsidTr="00805F4A">
        <w:tc>
          <w:tcPr>
            <w:tcW w:w="4106" w:type="dxa"/>
          </w:tcPr>
          <w:p w14:paraId="63FC9156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 xml:space="preserve">Throat irritation </w:t>
            </w:r>
          </w:p>
        </w:tc>
        <w:tc>
          <w:tcPr>
            <w:tcW w:w="2268" w:type="dxa"/>
          </w:tcPr>
          <w:p w14:paraId="6B6073AB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14 (7.1)</w:t>
            </w:r>
          </w:p>
        </w:tc>
        <w:tc>
          <w:tcPr>
            <w:tcW w:w="2126" w:type="dxa"/>
          </w:tcPr>
          <w:p w14:paraId="6E4268BF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10 (5.1)</w:t>
            </w:r>
          </w:p>
        </w:tc>
      </w:tr>
      <w:tr w:rsidR="009C0DEC" w:rsidRPr="00FF1C50" w14:paraId="72458701" w14:textId="77777777" w:rsidTr="00805F4A">
        <w:tc>
          <w:tcPr>
            <w:tcW w:w="4106" w:type="dxa"/>
          </w:tcPr>
          <w:p w14:paraId="536C8FC8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 xml:space="preserve">Cough </w:t>
            </w:r>
          </w:p>
        </w:tc>
        <w:tc>
          <w:tcPr>
            <w:tcW w:w="2268" w:type="dxa"/>
          </w:tcPr>
          <w:p w14:paraId="06D4BFBB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11 (5.6)</w:t>
            </w:r>
          </w:p>
        </w:tc>
        <w:tc>
          <w:tcPr>
            <w:tcW w:w="2126" w:type="dxa"/>
          </w:tcPr>
          <w:p w14:paraId="2ACC14C5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11 (5.6)</w:t>
            </w:r>
          </w:p>
        </w:tc>
      </w:tr>
      <w:tr w:rsidR="009C0DEC" w:rsidRPr="00FF1C50" w14:paraId="6F17FF83" w14:textId="77777777" w:rsidTr="00805F4A">
        <w:tc>
          <w:tcPr>
            <w:tcW w:w="4106" w:type="dxa"/>
          </w:tcPr>
          <w:p w14:paraId="70592F7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Oropharyngeal pain</w:t>
            </w:r>
          </w:p>
        </w:tc>
        <w:tc>
          <w:tcPr>
            <w:tcW w:w="2268" w:type="dxa"/>
          </w:tcPr>
          <w:p w14:paraId="287EDD0C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2 (1.0)</w:t>
            </w:r>
          </w:p>
        </w:tc>
        <w:tc>
          <w:tcPr>
            <w:tcW w:w="2126" w:type="dxa"/>
          </w:tcPr>
          <w:p w14:paraId="25F2CFBB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10 (5.1)</w:t>
            </w:r>
          </w:p>
        </w:tc>
      </w:tr>
      <w:tr w:rsidR="009C0DEC" w:rsidRPr="00FF1C50" w14:paraId="15178069" w14:textId="77777777" w:rsidTr="00805F4A">
        <w:tc>
          <w:tcPr>
            <w:tcW w:w="4106" w:type="dxa"/>
          </w:tcPr>
          <w:p w14:paraId="06B248D8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Fatigue</w:t>
            </w:r>
          </w:p>
        </w:tc>
        <w:tc>
          <w:tcPr>
            <w:tcW w:w="2268" w:type="dxa"/>
          </w:tcPr>
          <w:p w14:paraId="00A12A83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12 (6.1)</w:t>
            </w:r>
          </w:p>
        </w:tc>
        <w:tc>
          <w:tcPr>
            <w:tcW w:w="2126" w:type="dxa"/>
          </w:tcPr>
          <w:p w14:paraId="41E8A53A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13 (6.6)</w:t>
            </w:r>
          </w:p>
        </w:tc>
      </w:tr>
      <w:tr w:rsidR="009C0DEC" w:rsidRPr="00FF1C50" w14:paraId="1B49A016" w14:textId="77777777" w:rsidTr="00805F4A">
        <w:tc>
          <w:tcPr>
            <w:tcW w:w="4106" w:type="dxa"/>
          </w:tcPr>
          <w:p w14:paraId="41A5EF05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Asthenia</w:t>
            </w:r>
          </w:p>
        </w:tc>
        <w:tc>
          <w:tcPr>
            <w:tcW w:w="2268" w:type="dxa"/>
          </w:tcPr>
          <w:p w14:paraId="15CF7979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9 (4.6)</w:t>
            </w:r>
          </w:p>
        </w:tc>
        <w:tc>
          <w:tcPr>
            <w:tcW w:w="2126" w:type="dxa"/>
          </w:tcPr>
          <w:p w14:paraId="5373C496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13 (6.6)</w:t>
            </w:r>
          </w:p>
        </w:tc>
      </w:tr>
      <w:tr w:rsidR="009C0DEC" w:rsidRPr="00FF1C50" w14:paraId="5F873EE1" w14:textId="77777777" w:rsidTr="00805F4A">
        <w:tc>
          <w:tcPr>
            <w:tcW w:w="4106" w:type="dxa"/>
          </w:tcPr>
          <w:p w14:paraId="728F2D8D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Pyrexia</w:t>
            </w:r>
          </w:p>
        </w:tc>
        <w:tc>
          <w:tcPr>
            <w:tcW w:w="2268" w:type="dxa"/>
          </w:tcPr>
          <w:p w14:paraId="79D377F3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12 (6.1)</w:t>
            </w:r>
          </w:p>
        </w:tc>
        <w:tc>
          <w:tcPr>
            <w:tcW w:w="2126" w:type="dxa"/>
          </w:tcPr>
          <w:p w14:paraId="40AD9DB0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11 (5.6)</w:t>
            </w:r>
          </w:p>
        </w:tc>
      </w:tr>
      <w:tr w:rsidR="009C0DEC" w:rsidRPr="00FF1C50" w14:paraId="155424FB" w14:textId="77777777" w:rsidTr="00805F4A">
        <w:tc>
          <w:tcPr>
            <w:tcW w:w="4106" w:type="dxa"/>
          </w:tcPr>
          <w:p w14:paraId="628424B0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 xml:space="preserve">Pruritus </w:t>
            </w:r>
          </w:p>
        </w:tc>
        <w:tc>
          <w:tcPr>
            <w:tcW w:w="2268" w:type="dxa"/>
          </w:tcPr>
          <w:p w14:paraId="028063CF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13 (6.6)</w:t>
            </w:r>
          </w:p>
        </w:tc>
        <w:tc>
          <w:tcPr>
            <w:tcW w:w="2126" w:type="dxa"/>
          </w:tcPr>
          <w:p w14:paraId="1281B6F2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22 (11.2)</w:t>
            </w:r>
          </w:p>
        </w:tc>
      </w:tr>
      <w:tr w:rsidR="009C0DEC" w:rsidRPr="00FF1C50" w14:paraId="74482C56" w14:textId="77777777" w:rsidTr="00805F4A">
        <w:tc>
          <w:tcPr>
            <w:tcW w:w="4106" w:type="dxa"/>
          </w:tcPr>
          <w:p w14:paraId="581B6B1A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 xml:space="preserve">Rash </w:t>
            </w:r>
          </w:p>
        </w:tc>
        <w:tc>
          <w:tcPr>
            <w:tcW w:w="2268" w:type="dxa"/>
          </w:tcPr>
          <w:p w14:paraId="2EE8ADF2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10 (5.1)</w:t>
            </w:r>
          </w:p>
        </w:tc>
        <w:tc>
          <w:tcPr>
            <w:tcW w:w="2126" w:type="dxa"/>
          </w:tcPr>
          <w:p w14:paraId="2F65ED2A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8 (4.1)</w:t>
            </w:r>
          </w:p>
        </w:tc>
      </w:tr>
      <w:tr w:rsidR="009C0DEC" w:rsidRPr="00FF1C50" w14:paraId="134A178D" w14:textId="77777777" w:rsidTr="00805F4A">
        <w:tc>
          <w:tcPr>
            <w:tcW w:w="4106" w:type="dxa"/>
          </w:tcPr>
          <w:p w14:paraId="0FD9D568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Back pain</w:t>
            </w:r>
          </w:p>
        </w:tc>
        <w:tc>
          <w:tcPr>
            <w:tcW w:w="2268" w:type="dxa"/>
          </w:tcPr>
          <w:p w14:paraId="32DCBB7E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8 (4.1)</w:t>
            </w:r>
          </w:p>
        </w:tc>
        <w:tc>
          <w:tcPr>
            <w:tcW w:w="2126" w:type="dxa"/>
          </w:tcPr>
          <w:p w14:paraId="591199E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10 (5.1)</w:t>
            </w:r>
          </w:p>
        </w:tc>
      </w:tr>
      <w:tr w:rsidR="009C0DEC" w:rsidRPr="00FF1C50" w14:paraId="0EA3EC38" w14:textId="77777777" w:rsidTr="00805F4A">
        <w:tc>
          <w:tcPr>
            <w:tcW w:w="4106" w:type="dxa"/>
          </w:tcPr>
          <w:p w14:paraId="1C762D8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Headache</w:t>
            </w:r>
          </w:p>
        </w:tc>
        <w:tc>
          <w:tcPr>
            <w:tcW w:w="2268" w:type="dxa"/>
          </w:tcPr>
          <w:p w14:paraId="7CBD5B72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16 (8.2)</w:t>
            </w:r>
          </w:p>
        </w:tc>
        <w:tc>
          <w:tcPr>
            <w:tcW w:w="2126" w:type="dxa"/>
          </w:tcPr>
          <w:p w14:paraId="076A289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19 (9.6)</w:t>
            </w:r>
          </w:p>
        </w:tc>
      </w:tr>
      <w:tr w:rsidR="009C0DEC" w:rsidRPr="00FF1C50" w14:paraId="2C13BD52" w14:textId="77777777" w:rsidTr="00805F4A">
        <w:tc>
          <w:tcPr>
            <w:tcW w:w="4106" w:type="dxa"/>
          </w:tcPr>
          <w:p w14:paraId="41A9DF22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TEAEs, treatment-related, n (%)</w:t>
            </w:r>
          </w:p>
        </w:tc>
        <w:tc>
          <w:tcPr>
            <w:tcW w:w="2268" w:type="dxa"/>
          </w:tcPr>
          <w:p w14:paraId="2CE1FD6F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126" w:type="dxa"/>
          </w:tcPr>
          <w:p w14:paraId="74C45C3E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9C0DEC" w:rsidRPr="00FF1C50" w14:paraId="79C7AB38" w14:textId="77777777" w:rsidTr="00805F4A">
        <w:tc>
          <w:tcPr>
            <w:tcW w:w="4106" w:type="dxa"/>
          </w:tcPr>
          <w:p w14:paraId="0C52C3F1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 xml:space="preserve">Subjects with AEs </w:t>
            </w:r>
          </w:p>
        </w:tc>
        <w:tc>
          <w:tcPr>
            <w:tcW w:w="2268" w:type="dxa"/>
          </w:tcPr>
          <w:p w14:paraId="5E339D29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86 (43.9)</w:t>
            </w:r>
          </w:p>
        </w:tc>
        <w:tc>
          <w:tcPr>
            <w:tcW w:w="2126" w:type="dxa"/>
          </w:tcPr>
          <w:p w14:paraId="7D2118F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94 (47.7)</w:t>
            </w:r>
          </w:p>
        </w:tc>
      </w:tr>
      <w:tr w:rsidR="009C0DEC" w:rsidRPr="00FF1C50" w14:paraId="6E8F944B" w14:textId="77777777" w:rsidTr="00805F4A">
        <w:tc>
          <w:tcPr>
            <w:tcW w:w="4106" w:type="dxa"/>
          </w:tcPr>
          <w:p w14:paraId="7C008E55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lastRenderedPageBreak/>
              <w:t>SAEs</w:t>
            </w:r>
          </w:p>
        </w:tc>
        <w:tc>
          <w:tcPr>
            <w:tcW w:w="2268" w:type="dxa"/>
          </w:tcPr>
          <w:p w14:paraId="3C6150FC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2 (1.0)</w:t>
            </w:r>
          </w:p>
        </w:tc>
        <w:tc>
          <w:tcPr>
            <w:tcW w:w="2126" w:type="dxa"/>
          </w:tcPr>
          <w:p w14:paraId="7C6CA1FE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2 (1.0)</w:t>
            </w:r>
          </w:p>
        </w:tc>
      </w:tr>
      <w:tr w:rsidR="009C0DEC" w:rsidRPr="00FF1C50" w14:paraId="51BE7E2C" w14:textId="77777777" w:rsidTr="00805F4A">
        <w:tc>
          <w:tcPr>
            <w:tcW w:w="4106" w:type="dxa"/>
          </w:tcPr>
          <w:p w14:paraId="1538E760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 xml:space="preserve">Grade </w:t>
            </w:r>
            <w:r w:rsidRPr="00FF1C50">
              <w:rPr>
                <w:rFonts w:ascii="Arial" w:eastAsia="Calibri" w:hAnsi="Arial" w:cs="Arial"/>
                <w:color w:val="000000"/>
              </w:rPr>
              <w:sym w:font="Symbol" w:char="F0B3"/>
            </w:r>
            <w:r w:rsidRPr="00FF1C50">
              <w:rPr>
                <w:rFonts w:ascii="Arial" w:eastAsia="Calibri" w:hAnsi="Arial" w:cs="Arial"/>
                <w:color w:val="000000"/>
              </w:rPr>
              <w:t>3 AEs</w:t>
            </w:r>
          </w:p>
        </w:tc>
        <w:tc>
          <w:tcPr>
            <w:tcW w:w="2268" w:type="dxa"/>
          </w:tcPr>
          <w:p w14:paraId="43111788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9 (4.6)</w:t>
            </w:r>
          </w:p>
        </w:tc>
        <w:tc>
          <w:tcPr>
            <w:tcW w:w="2126" w:type="dxa"/>
          </w:tcPr>
          <w:p w14:paraId="01C0851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8 (4.1)</w:t>
            </w:r>
          </w:p>
        </w:tc>
      </w:tr>
      <w:tr w:rsidR="009C0DEC" w:rsidRPr="00FF1C50" w14:paraId="03C67431" w14:textId="77777777" w:rsidTr="00805F4A">
        <w:tc>
          <w:tcPr>
            <w:tcW w:w="4106" w:type="dxa"/>
          </w:tcPr>
          <w:p w14:paraId="13FB4E62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ind w:left="340"/>
              <w:rPr>
                <w:rFonts w:ascii="Arial" w:eastAsia="Calibri" w:hAnsi="Arial" w:cs="Arial"/>
                <w:color w:val="000000"/>
              </w:rPr>
            </w:pPr>
            <w:r w:rsidRPr="00FF1C50">
              <w:rPr>
                <w:rFonts w:ascii="Arial" w:eastAsia="Calibri" w:hAnsi="Arial" w:cs="Arial"/>
                <w:color w:val="000000"/>
              </w:rPr>
              <w:t>AEs leading to temporary treatment discontinuation</w:t>
            </w:r>
          </w:p>
        </w:tc>
        <w:tc>
          <w:tcPr>
            <w:tcW w:w="2268" w:type="dxa"/>
          </w:tcPr>
          <w:p w14:paraId="2AFABB67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34 (17.3)</w:t>
            </w:r>
          </w:p>
        </w:tc>
        <w:tc>
          <w:tcPr>
            <w:tcW w:w="2126" w:type="dxa"/>
          </w:tcPr>
          <w:p w14:paraId="6FF421ED" w14:textId="77777777" w:rsidR="009C0DEC" w:rsidRPr="00FF1C50" w:rsidRDefault="009C0DEC" w:rsidP="00805F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FF1C50">
              <w:rPr>
                <w:rFonts w:ascii="Arial" w:eastAsia="Calibri" w:hAnsi="Arial" w:cs="Arial"/>
                <w:lang w:val="en-US"/>
              </w:rPr>
              <w:t>50 (25.4)</w:t>
            </w:r>
          </w:p>
        </w:tc>
      </w:tr>
    </w:tbl>
    <w:p w14:paraId="6F642F46" w14:textId="77777777" w:rsidR="009C0DEC" w:rsidRPr="00FF1C50" w:rsidRDefault="009C0DEC" w:rsidP="009C0DE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lang w:val="en-US"/>
        </w:rPr>
      </w:pPr>
      <w:proofErr w:type="spellStart"/>
      <w:r w:rsidRPr="00FF1C50">
        <w:rPr>
          <w:rFonts w:ascii="Arial" w:eastAsia="Calibri" w:hAnsi="Arial" w:cs="Arial"/>
          <w:vertAlign w:val="superscript"/>
          <w:lang w:val="en-US"/>
        </w:rPr>
        <w:t>a</w:t>
      </w:r>
      <w:r w:rsidRPr="00FF1C50">
        <w:rPr>
          <w:rFonts w:ascii="Arial" w:eastAsia="Calibri" w:hAnsi="Arial" w:cs="Arial"/>
          <w:lang w:val="en-US"/>
        </w:rPr>
        <w:t>Safety</w:t>
      </w:r>
      <w:proofErr w:type="spellEnd"/>
      <w:r w:rsidRPr="00FF1C50">
        <w:rPr>
          <w:rFonts w:ascii="Arial" w:eastAsia="Calibri" w:hAnsi="Arial" w:cs="Arial"/>
          <w:lang w:val="en-US"/>
        </w:rPr>
        <w:t xml:space="preserve"> population.</w:t>
      </w:r>
    </w:p>
    <w:p w14:paraId="71768876" w14:textId="77777777" w:rsidR="009C0DEC" w:rsidRPr="00FF1C50" w:rsidRDefault="009C0DEC" w:rsidP="009C0DE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lang w:val="en-US"/>
        </w:rPr>
      </w:pPr>
      <w:proofErr w:type="spellStart"/>
      <w:r w:rsidRPr="00FF1C50">
        <w:rPr>
          <w:rFonts w:ascii="Arial" w:eastAsia="Calibri" w:hAnsi="Arial" w:cs="Arial"/>
          <w:vertAlign w:val="superscript"/>
          <w:lang w:val="en-US"/>
        </w:rPr>
        <w:t>b</w:t>
      </w:r>
      <w:r w:rsidRPr="00FF1C50">
        <w:rPr>
          <w:rFonts w:ascii="Arial" w:eastAsia="Calibri" w:hAnsi="Arial" w:cs="Arial"/>
          <w:lang w:val="en-US"/>
        </w:rPr>
        <w:t>Includes</w:t>
      </w:r>
      <w:proofErr w:type="spellEnd"/>
      <w:r w:rsidRPr="00FF1C50">
        <w:rPr>
          <w:rFonts w:ascii="Arial" w:eastAsia="Calibri" w:hAnsi="Arial" w:cs="Arial"/>
          <w:lang w:val="en-US"/>
        </w:rPr>
        <w:t xml:space="preserve"> 1 (0.5%) death in each treatment group, due to disease progression.</w:t>
      </w:r>
    </w:p>
    <w:p w14:paraId="6B5E16C4" w14:textId="77777777" w:rsidR="009C0DEC" w:rsidRPr="00FF1C50" w:rsidRDefault="009C0DEC" w:rsidP="009C0DE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lang w:val="en-US"/>
        </w:rPr>
      </w:pPr>
      <w:proofErr w:type="spellStart"/>
      <w:r w:rsidRPr="00FF1C50">
        <w:rPr>
          <w:rFonts w:ascii="Arial" w:eastAsia="Calibri" w:hAnsi="Arial" w:cs="Arial"/>
          <w:vertAlign w:val="superscript"/>
          <w:lang w:val="en-US"/>
        </w:rPr>
        <w:t>c</w:t>
      </w:r>
      <w:r w:rsidRPr="00FF1C50">
        <w:rPr>
          <w:rFonts w:ascii="Arial" w:eastAsia="Calibri" w:hAnsi="Arial" w:cs="Arial"/>
          <w:lang w:val="en-US"/>
        </w:rPr>
        <w:t>Subjects</w:t>
      </w:r>
      <w:proofErr w:type="spellEnd"/>
      <w:r w:rsidRPr="00FF1C50">
        <w:rPr>
          <w:rFonts w:ascii="Arial" w:eastAsia="Calibri" w:hAnsi="Arial" w:cs="Arial"/>
          <w:lang w:val="en-US"/>
        </w:rPr>
        <w:t xml:space="preserve"> who had AEs leading to a temporary treatment interruption.</w:t>
      </w:r>
    </w:p>
    <w:p w14:paraId="139C5FCE" w14:textId="77777777" w:rsidR="009C0DEC" w:rsidRPr="00FF1C50" w:rsidRDefault="009C0DEC" w:rsidP="009C0DE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lang w:val="en-US"/>
        </w:rPr>
      </w:pPr>
      <w:r w:rsidRPr="00FF1C50">
        <w:rPr>
          <w:rFonts w:ascii="Arial" w:eastAsia="Calibri" w:hAnsi="Arial" w:cs="Arial"/>
          <w:vertAlign w:val="superscript"/>
          <w:lang w:val="en-US"/>
        </w:rPr>
        <w:t>d</w:t>
      </w:r>
      <w:r w:rsidRPr="00FF1C50">
        <w:rPr>
          <w:rFonts w:ascii="Arial" w:eastAsia="Calibri" w:hAnsi="Arial" w:cs="Arial"/>
          <w:lang w:val="en-US"/>
        </w:rPr>
        <w:t>≥5% of subjects in either treatment group.</w:t>
      </w:r>
    </w:p>
    <w:p w14:paraId="71142C63" w14:textId="77777777" w:rsidR="009C0DEC" w:rsidRPr="00FF1C50" w:rsidRDefault="009C0DEC" w:rsidP="009C0DEC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lang w:val="en-US"/>
        </w:rPr>
      </w:pPr>
      <w:r w:rsidRPr="00FF1C50">
        <w:rPr>
          <w:rFonts w:ascii="Arial" w:eastAsia="Calibri" w:hAnsi="Arial" w:cs="Arial"/>
          <w:lang w:val="en-US"/>
        </w:rPr>
        <w:t>AE: adverse event; SAE: serious adverse event; RTX-EU: rituximab reference product (</w:t>
      </w:r>
      <w:proofErr w:type="spellStart"/>
      <w:r w:rsidRPr="00FF1C50">
        <w:rPr>
          <w:rFonts w:ascii="Arial" w:eastAsia="Calibri" w:hAnsi="Arial" w:cs="Arial"/>
          <w:lang w:val="en-US"/>
        </w:rPr>
        <w:t>MabThera</w:t>
      </w:r>
      <w:proofErr w:type="spellEnd"/>
      <w:r w:rsidRPr="00FF1C50">
        <w:rPr>
          <w:rFonts w:ascii="Arial" w:eastAsia="Calibri" w:hAnsi="Arial" w:cs="Arial"/>
          <w:lang w:val="en-US"/>
        </w:rPr>
        <w:t>®) sourced from the European Union; RTX-PF: PF-05280586; TEAE: treatment-emergent adverse event.</w:t>
      </w:r>
    </w:p>
    <w:p w14:paraId="72966601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7B6AAD98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7F60E0BD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41E6CFF7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7642436D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12E35B28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4A2364D7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1CB9B1D7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5BBB07AF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1BB35130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767A73F2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036B4E7C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321302BA" w14:textId="77777777" w:rsidR="009C0DEC" w:rsidRDefault="009C0DEC" w:rsidP="009C0DEC">
      <w:pPr>
        <w:spacing w:line="480" w:lineRule="auto"/>
        <w:rPr>
          <w:rFonts w:ascii="Arial" w:hAnsi="Arial" w:cs="Arial"/>
          <w:b/>
          <w:bCs/>
        </w:rPr>
      </w:pPr>
    </w:p>
    <w:p w14:paraId="38908616" w14:textId="46AE918F" w:rsidR="009C0DEC" w:rsidRPr="0093276A" w:rsidRDefault="009C0DEC" w:rsidP="009C0DEC">
      <w:pPr>
        <w:spacing w:line="480" w:lineRule="auto"/>
        <w:rPr>
          <w:rFonts w:ascii="Arial" w:hAnsi="Arial" w:cs="Arial"/>
          <w:b/>
          <w:bCs/>
        </w:rPr>
      </w:pPr>
      <w:r w:rsidRPr="0093276A">
        <w:rPr>
          <w:rFonts w:ascii="Arial" w:hAnsi="Arial" w:cs="Arial"/>
          <w:b/>
          <w:bCs/>
        </w:rPr>
        <w:lastRenderedPageBreak/>
        <w:t>References</w:t>
      </w:r>
    </w:p>
    <w:p w14:paraId="1B74D1A9" w14:textId="77777777" w:rsidR="009C0DEC" w:rsidRPr="0093276A" w:rsidRDefault="009C0DEC" w:rsidP="009C0DEC">
      <w:pPr>
        <w:pStyle w:val="EndNoteBibliography"/>
        <w:spacing w:after="0" w:line="480" w:lineRule="auto"/>
        <w:ind w:left="720" w:hanging="720"/>
        <w:rPr>
          <w:rFonts w:ascii="Arial" w:hAnsi="Arial" w:cs="Arial"/>
        </w:rPr>
      </w:pPr>
      <w:r w:rsidRPr="0093276A">
        <w:rPr>
          <w:rFonts w:ascii="Arial" w:hAnsi="Arial" w:cs="Arial"/>
        </w:rPr>
        <w:t>1.</w:t>
      </w:r>
      <w:r w:rsidRPr="0093276A">
        <w:rPr>
          <w:rFonts w:ascii="Arial" w:hAnsi="Arial" w:cs="Arial"/>
        </w:rPr>
        <w:tab/>
        <w:t>Cohen S, Emery P, Greenwald M</w:t>
      </w:r>
      <w:r w:rsidRPr="0093276A">
        <w:rPr>
          <w:rFonts w:ascii="Arial" w:hAnsi="Arial" w:cs="Arial"/>
          <w:i/>
        </w:rPr>
        <w:t xml:space="preserve"> et al</w:t>
      </w:r>
      <w:r w:rsidRPr="0093276A">
        <w:rPr>
          <w:rFonts w:ascii="Arial" w:hAnsi="Arial" w:cs="Arial"/>
        </w:rPr>
        <w:t>. A phase I pharmacokinetics trial comparing PF-05280586 (a potential biosimilar) and rituximab in patients with active rheumatoid arthritis</w:t>
      </w:r>
      <w:r w:rsidRPr="0093276A">
        <w:rPr>
          <w:rFonts w:ascii="Arial" w:hAnsi="Arial" w:cs="Arial"/>
          <w:i/>
        </w:rPr>
        <w:t>.</w:t>
      </w:r>
      <w:r w:rsidRPr="0093276A">
        <w:rPr>
          <w:rFonts w:ascii="Arial" w:hAnsi="Arial" w:cs="Arial"/>
        </w:rPr>
        <w:t xml:space="preserve"> </w:t>
      </w:r>
      <w:r w:rsidRPr="0093276A">
        <w:rPr>
          <w:rFonts w:ascii="Arial" w:hAnsi="Arial" w:cs="Arial"/>
          <w:i/>
        </w:rPr>
        <w:t xml:space="preserve">Br. J. Clin. Pharmacol. </w:t>
      </w:r>
      <w:r w:rsidRPr="0093276A">
        <w:rPr>
          <w:rFonts w:ascii="Arial" w:hAnsi="Arial" w:cs="Arial"/>
        </w:rPr>
        <w:t>82(1), 129-138 (2016).</w:t>
      </w:r>
    </w:p>
    <w:p w14:paraId="6B9C07CD" w14:textId="77777777" w:rsidR="009C0DEC" w:rsidRPr="0093276A" w:rsidRDefault="009C0DEC" w:rsidP="009C0DEC">
      <w:pPr>
        <w:pStyle w:val="EndNoteBibliography"/>
        <w:spacing w:line="480" w:lineRule="auto"/>
        <w:ind w:left="720" w:hanging="720"/>
        <w:rPr>
          <w:rFonts w:ascii="Arial" w:hAnsi="Arial" w:cs="Arial"/>
        </w:rPr>
      </w:pPr>
      <w:r w:rsidRPr="0093276A">
        <w:rPr>
          <w:rFonts w:ascii="Arial" w:hAnsi="Arial" w:cs="Arial"/>
        </w:rPr>
        <w:t>2.</w:t>
      </w:r>
      <w:r w:rsidRPr="0093276A">
        <w:rPr>
          <w:rFonts w:ascii="Arial" w:hAnsi="Arial" w:cs="Arial"/>
        </w:rPr>
        <w:tab/>
        <w:t>Sharman JP, Liberati AM, Ishizawa K</w:t>
      </w:r>
      <w:r w:rsidRPr="0093276A">
        <w:rPr>
          <w:rFonts w:ascii="Arial" w:hAnsi="Arial" w:cs="Arial"/>
          <w:i/>
        </w:rPr>
        <w:t xml:space="preserve"> et al</w:t>
      </w:r>
      <w:r w:rsidRPr="0093276A">
        <w:rPr>
          <w:rFonts w:ascii="Arial" w:hAnsi="Arial" w:cs="Arial"/>
        </w:rPr>
        <w:t>. A randomized, double-blind, efficacy and safety study of PF-05280586 (a rituximab biosimilar) compared with rituximab reference product (MabThera®) in subjects with previously untreated CD20-positive, low-tumor-burden follicular lymphoma (LTB-FL)</w:t>
      </w:r>
      <w:r w:rsidRPr="0093276A">
        <w:rPr>
          <w:rFonts w:ascii="Arial" w:hAnsi="Arial" w:cs="Arial"/>
          <w:i/>
        </w:rPr>
        <w:t>.</w:t>
      </w:r>
      <w:r w:rsidRPr="0093276A">
        <w:rPr>
          <w:rFonts w:ascii="Arial" w:hAnsi="Arial" w:cs="Arial"/>
        </w:rPr>
        <w:t xml:space="preserve"> </w:t>
      </w:r>
      <w:r w:rsidRPr="0093276A">
        <w:rPr>
          <w:rFonts w:ascii="Arial" w:hAnsi="Arial" w:cs="Arial"/>
          <w:i/>
        </w:rPr>
        <w:t xml:space="preserve">Biodrugs </w:t>
      </w:r>
      <w:r w:rsidRPr="0093276A">
        <w:rPr>
          <w:rFonts w:ascii="Arial" w:hAnsi="Arial" w:cs="Arial"/>
        </w:rPr>
        <w:t>34(2), 171-181 (2020).</w:t>
      </w:r>
    </w:p>
    <w:p w14:paraId="57AD5EF6" w14:textId="77777777" w:rsidR="008B6AB1" w:rsidRDefault="008B6AB1"/>
    <w:sectPr w:rsidR="008B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EC"/>
    <w:rsid w:val="006125F2"/>
    <w:rsid w:val="008B6AB1"/>
    <w:rsid w:val="009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FC57"/>
  <w15:chartTrackingRefBased/>
  <w15:docId w15:val="{D106998B-630B-45A4-8347-F5981054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9C0DE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0DEC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2021-12-23T14:33:00Z</dcterms:created>
  <dcterms:modified xsi:type="dcterms:W3CDTF">2021-12-23T14:34:00Z</dcterms:modified>
</cp:coreProperties>
</file>