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EB42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  <w:r w:rsidRPr="00FF1C50">
        <w:rPr>
          <w:rFonts w:ascii="Arial" w:eastAsia="Calibri" w:hAnsi="Arial" w:cs="Arial"/>
          <w:lang w:val="en-US"/>
        </w:rPr>
        <w:t>Supplemental Figure S1.</w:t>
      </w:r>
      <w:r w:rsidRPr="00FF1C50">
        <w:rPr>
          <w:rFonts w:ascii="Arial" w:eastAsia="Calibri" w:hAnsi="Arial" w:cs="Arial"/>
          <w:b/>
          <w:lang w:val="en-US"/>
        </w:rPr>
        <w:t xml:space="preserve"> </w:t>
      </w:r>
      <w:r w:rsidRPr="00FF1C50">
        <w:rPr>
          <w:rFonts w:ascii="Arial" w:eastAsia="Calibri" w:hAnsi="Arial" w:cs="Arial"/>
          <w:lang w:val="en-US"/>
        </w:rPr>
        <w:t xml:space="preserve">CD19+ B-cell count over time following treatment with RTX-PF, RTX-EU, and RTX-US in patients with RA </w:t>
      </w:r>
      <w:r>
        <w:rPr>
          <w:rFonts w:ascii="Arial" w:eastAsia="Calibri" w:hAnsi="Arial" w:cs="Arial"/>
          <w:noProof/>
          <w:lang w:val="en-US"/>
        </w:rPr>
        <w:t>[1]</w:t>
      </w:r>
      <w:r w:rsidRPr="00FF1C50">
        <w:rPr>
          <w:rFonts w:ascii="Arial" w:eastAsia="Calibri" w:hAnsi="Arial" w:cs="Arial"/>
          <w:lang w:val="en-US"/>
        </w:rPr>
        <w:t>.</w:t>
      </w:r>
      <w:r w:rsidRPr="00FF1C50">
        <w:rPr>
          <w:rFonts w:ascii="Arial" w:eastAsia="Calibri" w:hAnsi="Arial" w:cs="Arial"/>
          <w:lang w:val="en-US"/>
        </w:rPr>
        <w:br/>
        <w:t xml:space="preserve">(© 2016 Pfizer Inc. </w:t>
      </w:r>
      <w:r w:rsidRPr="00FF1C50">
        <w:rPr>
          <w:rFonts w:ascii="Arial" w:eastAsia="Calibri" w:hAnsi="Arial" w:cs="Arial"/>
          <w:i/>
          <w:lang w:val="en-US"/>
        </w:rPr>
        <w:t xml:space="preserve">British J of Clinical </w:t>
      </w:r>
      <w:proofErr w:type="spellStart"/>
      <w:r w:rsidRPr="00FF1C50">
        <w:rPr>
          <w:rFonts w:ascii="Arial" w:eastAsia="Calibri" w:hAnsi="Arial" w:cs="Arial"/>
          <w:i/>
          <w:lang w:val="en-US"/>
        </w:rPr>
        <w:t>Pharmacol</w:t>
      </w:r>
      <w:proofErr w:type="spellEnd"/>
      <w:r w:rsidRPr="00FF1C50">
        <w:rPr>
          <w:rFonts w:ascii="Arial" w:eastAsia="Calibri" w:hAnsi="Arial" w:cs="Arial"/>
          <w:i/>
          <w:lang w:val="en-US"/>
        </w:rPr>
        <w:t>.</w:t>
      </w:r>
      <w:r w:rsidRPr="00FF1C50">
        <w:rPr>
          <w:rFonts w:ascii="Arial" w:eastAsia="Calibri" w:hAnsi="Arial" w:cs="Arial"/>
          <w:lang w:val="en-US"/>
        </w:rPr>
        <w:t>, published by John Wiley &amp; Sons on behalf of British Pharmacological Society).</w:t>
      </w:r>
    </w:p>
    <w:p w14:paraId="02482FC7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  <w:r w:rsidRPr="00FF1C5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C0BAC4F" wp14:editId="46DE3FB8">
            <wp:extent cx="8863330" cy="35185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8EE1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  <w:r w:rsidRPr="00FF1C50">
        <w:rPr>
          <w:rFonts w:ascii="Arial" w:eastAsia="Calibri" w:hAnsi="Arial" w:cs="Arial"/>
          <w:lang w:val="en-US"/>
        </w:rPr>
        <w:t>RA: rheumatoid arthritis; RTX-EU: rituximab reference product (</w:t>
      </w:r>
      <w:proofErr w:type="spellStart"/>
      <w:r w:rsidRPr="00FF1C50">
        <w:rPr>
          <w:rFonts w:ascii="Arial" w:eastAsia="Calibri" w:hAnsi="Arial" w:cs="Arial"/>
          <w:lang w:val="en-US"/>
        </w:rPr>
        <w:t>MabThera</w:t>
      </w:r>
      <w:proofErr w:type="spellEnd"/>
      <w:r w:rsidRPr="00FF1C50">
        <w:rPr>
          <w:rFonts w:ascii="Arial" w:eastAsia="Calibri" w:hAnsi="Arial" w:cs="Arial"/>
          <w:lang w:val="en-US"/>
        </w:rPr>
        <w:t>®) sourced from the European Union; RTX-PF: PF-05280586; RTX-US: rituximab reference product (Rituxan®) sourced from the United States.</w:t>
      </w:r>
    </w:p>
    <w:p w14:paraId="6E3F204F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</w:p>
    <w:p w14:paraId="06C76DFD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</w:p>
    <w:p w14:paraId="2BD33CFB" w14:textId="25661ABE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lang w:val="en-US"/>
        </w:rPr>
        <w:lastRenderedPageBreak/>
        <w:t>Supplemental Figure S2.</w:t>
      </w:r>
      <w:r w:rsidRPr="00FF1C50">
        <w:rPr>
          <w:rFonts w:ascii="Arial" w:eastAsia="Calibri" w:hAnsi="Arial" w:cs="Arial"/>
          <w:b/>
          <w:lang w:val="en-US"/>
        </w:rPr>
        <w:t xml:space="preserve"> </w:t>
      </w:r>
      <w:r w:rsidRPr="00FF1C50">
        <w:rPr>
          <w:rFonts w:ascii="Arial" w:eastAsia="Calibri" w:hAnsi="Arial" w:cs="Arial"/>
          <w:lang w:val="en-US"/>
        </w:rPr>
        <w:t xml:space="preserve">Study design (REFLECTIONS B328-06) </w:t>
      </w:r>
      <w:r>
        <w:rPr>
          <w:rFonts w:ascii="Arial" w:eastAsia="Calibri" w:hAnsi="Arial" w:cs="Arial"/>
          <w:noProof/>
          <w:lang w:val="en-US"/>
        </w:rPr>
        <w:t>[2]</w:t>
      </w:r>
      <w:r w:rsidRPr="00FF1C50">
        <w:rPr>
          <w:rFonts w:ascii="Arial" w:eastAsia="Calibri" w:hAnsi="Arial" w:cs="Arial"/>
          <w:lang w:val="en-US"/>
        </w:rPr>
        <w:t xml:space="preserve">. </w:t>
      </w:r>
      <w:r w:rsidRPr="00650516">
        <w:rPr>
          <w:rFonts w:ascii="Arial" w:hAnsi="Arial" w:cs="Arial"/>
        </w:rPr>
        <w:t>(© The Author(s). https://creativecommons.org/licenses/by-nc/4.0/)</w:t>
      </w:r>
    </w:p>
    <w:p w14:paraId="61D73A41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</w:p>
    <w:p w14:paraId="18E2BDFC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b/>
          <w:lang w:val="en-US"/>
        </w:rPr>
      </w:pPr>
      <w:r w:rsidRPr="00FF1C5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73F5AB2" wp14:editId="34874B3C">
            <wp:extent cx="8863330" cy="24523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F3560" w14:textId="77777777" w:rsidR="00C92321" w:rsidRPr="00FF1C50" w:rsidRDefault="00C92321" w:rsidP="00FF1C50">
      <w:pPr>
        <w:tabs>
          <w:tab w:val="left" w:pos="1178"/>
        </w:tabs>
        <w:spacing w:after="0" w:line="480" w:lineRule="auto"/>
        <w:rPr>
          <w:rFonts w:ascii="Arial" w:eastAsia="Calibri" w:hAnsi="Arial" w:cs="Arial"/>
          <w:lang w:val="en-US"/>
        </w:rPr>
      </w:pPr>
      <w:proofErr w:type="spellStart"/>
      <w:r w:rsidRPr="00FF1C50">
        <w:rPr>
          <w:rFonts w:ascii="Arial" w:eastAsia="Calibri" w:hAnsi="Arial" w:cs="Arial"/>
          <w:vertAlign w:val="superscript"/>
          <w:lang w:val="en-US"/>
        </w:rPr>
        <w:t>a</w:t>
      </w:r>
      <w:r w:rsidRPr="00FF1C50">
        <w:rPr>
          <w:rFonts w:ascii="Arial" w:eastAsia="Calibri" w:hAnsi="Arial" w:cs="Arial"/>
          <w:lang w:val="en-US"/>
        </w:rPr>
        <w:t>Subjects</w:t>
      </w:r>
      <w:proofErr w:type="spellEnd"/>
      <w:r w:rsidRPr="00FF1C50">
        <w:rPr>
          <w:rFonts w:ascii="Arial" w:eastAsia="Calibri" w:hAnsi="Arial" w:cs="Arial"/>
          <w:lang w:val="en-US"/>
        </w:rPr>
        <w:t xml:space="preserve"> were stratified at randomization (1:1) using the FLIPI2 classification and had an ECOG performance status of 0–1. </w:t>
      </w:r>
      <w:r w:rsidRPr="00FF1C50">
        <w:rPr>
          <w:rFonts w:ascii="Arial" w:eastAsia="Calibri" w:hAnsi="Arial" w:cs="Arial"/>
          <w:vertAlign w:val="superscript"/>
          <w:lang w:val="en-US"/>
        </w:rPr>
        <w:t>b</w:t>
      </w:r>
      <w:r w:rsidRPr="00FF1C50">
        <w:rPr>
          <w:rFonts w:ascii="Arial" w:eastAsia="Calibri" w:hAnsi="Arial" w:cs="Arial"/>
          <w:lang w:val="en-US"/>
        </w:rPr>
        <w:t>PF-05280586 or rituximab-EU (375 mg/m</w:t>
      </w:r>
      <w:r w:rsidRPr="00FF1C50">
        <w:rPr>
          <w:rFonts w:ascii="Arial" w:eastAsia="Calibri" w:hAnsi="Arial" w:cs="Arial"/>
          <w:vertAlign w:val="superscript"/>
          <w:lang w:val="en-US"/>
        </w:rPr>
        <w:t>2</w:t>
      </w:r>
      <w:r w:rsidRPr="00FF1C50">
        <w:rPr>
          <w:rFonts w:ascii="Arial" w:eastAsia="Calibri" w:hAnsi="Arial" w:cs="Arial"/>
          <w:lang w:val="en-US"/>
        </w:rPr>
        <w:t xml:space="preserve"> intravenously [once weekly for 4 weeks at days 1, 8, 15, and 22]).</w:t>
      </w:r>
    </w:p>
    <w:p w14:paraId="6FCF92FE" w14:textId="77777777" w:rsidR="00C92321" w:rsidRPr="00FF1C50" w:rsidRDefault="00C92321" w:rsidP="00FF1C50">
      <w:pPr>
        <w:spacing w:after="0" w:line="480" w:lineRule="auto"/>
        <w:contextualSpacing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lang w:val="en-US"/>
        </w:rPr>
        <w:t>ECOG Eastern Cooperative Oncology Group: FLIPI2 Follicular Lymphoma International Prognostic Index 2: RTX-EU: rituximab reference product (</w:t>
      </w:r>
      <w:proofErr w:type="spellStart"/>
      <w:r w:rsidRPr="00FF1C50">
        <w:rPr>
          <w:rFonts w:ascii="Arial" w:eastAsia="Calibri" w:hAnsi="Arial" w:cs="Arial"/>
          <w:lang w:val="en-US"/>
        </w:rPr>
        <w:t>MabThera</w:t>
      </w:r>
      <w:proofErr w:type="spellEnd"/>
      <w:r w:rsidRPr="00FF1C50">
        <w:rPr>
          <w:rFonts w:ascii="Arial" w:eastAsia="Calibri" w:hAnsi="Arial" w:cs="Arial"/>
          <w:lang w:val="en-US"/>
        </w:rPr>
        <w:t>®) sourced from the European Union; RTX-PF: PF-05280586.</w:t>
      </w:r>
    </w:p>
    <w:p w14:paraId="0947026D" w14:textId="77777777" w:rsidR="00C92321" w:rsidRPr="00FF1C50" w:rsidRDefault="00C92321" w:rsidP="00FF1C50">
      <w:pPr>
        <w:spacing w:line="480" w:lineRule="auto"/>
        <w:rPr>
          <w:rFonts w:ascii="Arial" w:eastAsia="Calibri" w:hAnsi="Arial" w:cs="Arial"/>
          <w:b/>
          <w:lang w:val="en-US"/>
        </w:rPr>
      </w:pPr>
    </w:p>
    <w:p w14:paraId="0434D5A9" w14:textId="77777777" w:rsidR="00C92321" w:rsidRPr="00FF1C50" w:rsidRDefault="00C92321" w:rsidP="00FF1C50">
      <w:pPr>
        <w:spacing w:line="480" w:lineRule="auto"/>
        <w:rPr>
          <w:rFonts w:ascii="Arial" w:eastAsia="Calibri" w:hAnsi="Arial" w:cs="Arial"/>
          <w:b/>
          <w:lang w:val="en-US"/>
        </w:rPr>
      </w:pPr>
    </w:p>
    <w:p w14:paraId="6A45889C" w14:textId="77777777" w:rsidR="00F86320" w:rsidRDefault="00F86320" w:rsidP="00FF1C50">
      <w:pPr>
        <w:spacing w:line="480" w:lineRule="auto"/>
        <w:rPr>
          <w:rFonts w:ascii="Arial" w:eastAsia="Calibri" w:hAnsi="Arial" w:cs="Arial"/>
          <w:lang w:val="en-US"/>
        </w:rPr>
      </w:pPr>
    </w:p>
    <w:p w14:paraId="55AA52AD" w14:textId="6167E83E" w:rsidR="00C92321" w:rsidRPr="00FF1C50" w:rsidRDefault="00C92321" w:rsidP="00FF1C50">
      <w:pPr>
        <w:spacing w:line="480" w:lineRule="auto"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lang w:val="en-US"/>
        </w:rPr>
        <w:lastRenderedPageBreak/>
        <w:t xml:space="preserve">Supplemental Figure S3. Incidence of anti-drug antibodies (safety </w:t>
      </w:r>
      <w:r w:rsidRPr="0093276A">
        <w:rPr>
          <w:rFonts w:ascii="Arial" w:eastAsia="Calibri" w:hAnsi="Arial" w:cs="Arial"/>
          <w:lang w:val="en-US"/>
        </w:rPr>
        <w:t xml:space="preserve">population). </w:t>
      </w:r>
      <w:r w:rsidRPr="0093276A">
        <w:rPr>
          <w:rFonts w:ascii="Arial" w:eastAsia="Calibri" w:hAnsi="Arial" w:cs="Arial"/>
        </w:rPr>
        <w:t>Created using data from</w:t>
      </w:r>
      <w:r w:rsidRPr="00FF1C50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noProof/>
          <w:lang w:val="en-US"/>
        </w:rPr>
        <w:t>[2]</w:t>
      </w:r>
      <w:r w:rsidRPr="00FF1C50">
        <w:rPr>
          <w:rFonts w:ascii="Arial" w:eastAsia="Calibri" w:hAnsi="Arial" w:cs="Arial"/>
          <w:lang w:val="en-US"/>
        </w:rPr>
        <w:t>.</w:t>
      </w:r>
    </w:p>
    <w:p w14:paraId="02329556" w14:textId="77777777" w:rsidR="00C92321" w:rsidRPr="00FF1C50" w:rsidRDefault="00C92321" w:rsidP="00FF1C50">
      <w:pPr>
        <w:spacing w:line="480" w:lineRule="auto"/>
        <w:jc w:val="center"/>
        <w:rPr>
          <w:rFonts w:ascii="Arial" w:eastAsia="Calibri" w:hAnsi="Arial" w:cs="Arial"/>
          <w:lang w:val="en-US"/>
        </w:rPr>
      </w:pPr>
      <w:r w:rsidRPr="00FF1C5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55E1E34" wp14:editId="46B98FD3">
            <wp:extent cx="6915150" cy="43220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2690" cy="43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B997" w14:textId="77777777" w:rsidR="00C92321" w:rsidRPr="00FF1C50" w:rsidRDefault="00C92321" w:rsidP="00FF1C50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val="en-US"/>
        </w:rPr>
      </w:pPr>
      <w:r w:rsidRPr="00FF1C50">
        <w:rPr>
          <w:rFonts w:ascii="Arial" w:eastAsia="Calibri" w:hAnsi="Arial" w:cs="Arial"/>
          <w:color w:val="000000"/>
          <w:lang w:val="en-US"/>
        </w:rPr>
        <w:t>For the Overall row the denominator (</w:t>
      </w:r>
      <w:r w:rsidRPr="00FF1C50">
        <w:rPr>
          <w:rFonts w:ascii="Arial" w:eastAsia="Calibri" w:hAnsi="Arial" w:cs="Arial"/>
          <w:iCs/>
          <w:color w:val="000000"/>
          <w:lang w:val="en-US"/>
        </w:rPr>
        <w:t>N1</w:t>
      </w:r>
      <w:r w:rsidRPr="00FF1C50">
        <w:rPr>
          <w:rFonts w:ascii="Arial" w:eastAsia="Calibri" w:hAnsi="Arial" w:cs="Arial"/>
          <w:color w:val="000000"/>
          <w:lang w:val="en-US"/>
        </w:rPr>
        <w:t xml:space="preserve">) was the number of subjects tested who had at least one observed post-dose result, and a positive subject was defined as a subject with at least one post-dose sample that tested positive. </w:t>
      </w:r>
    </w:p>
    <w:p w14:paraId="7CB7BC48" w14:textId="77777777" w:rsidR="00C92321" w:rsidRPr="00FF1C50" w:rsidRDefault="00C92321" w:rsidP="00FF1C50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val="en-US"/>
        </w:rPr>
      </w:pPr>
      <w:proofErr w:type="spellStart"/>
      <w:r w:rsidRPr="00FF1C50">
        <w:rPr>
          <w:rFonts w:ascii="Arial" w:eastAsia="Calibri" w:hAnsi="Arial" w:cs="Arial"/>
          <w:color w:val="000000"/>
          <w:vertAlign w:val="superscript"/>
          <w:lang w:val="en-US"/>
        </w:rPr>
        <w:lastRenderedPageBreak/>
        <w:t>a</w:t>
      </w:r>
      <w:r w:rsidRPr="00FF1C50">
        <w:rPr>
          <w:rFonts w:ascii="Arial" w:eastAsia="Calibri" w:hAnsi="Arial" w:cs="Arial"/>
          <w:color w:val="000000"/>
          <w:lang w:val="en-US"/>
        </w:rPr>
        <w:t>Day</w:t>
      </w:r>
      <w:proofErr w:type="spellEnd"/>
      <w:r w:rsidRPr="00FF1C50">
        <w:rPr>
          <w:rFonts w:ascii="Arial" w:eastAsia="Calibri" w:hAnsi="Arial" w:cs="Arial"/>
          <w:color w:val="000000"/>
          <w:lang w:val="en-US"/>
        </w:rPr>
        <w:t xml:space="preserve"> 8 was an unplanned visit. </w:t>
      </w:r>
    </w:p>
    <w:p w14:paraId="2FBF129D" w14:textId="77777777" w:rsidR="00C92321" w:rsidRPr="00FF1C50" w:rsidRDefault="00C92321" w:rsidP="00FF1C50">
      <w:pPr>
        <w:spacing w:line="480" w:lineRule="auto"/>
        <w:rPr>
          <w:rFonts w:ascii="Arial" w:eastAsia="Calibri" w:hAnsi="Arial" w:cs="Arial"/>
          <w:lang w:val="en-US"/>
        </w:rPr>
      </w:pPr>
      <w:proofErr w:type="spellStart"/>
      <w:r w:rsidRPr="00FF1C50">
        <w:rPr>
          <w:rFonts w:ascii="Arial" w:eastAsia="Calibri" w:hAnsi="Arial" w:cs="Arial"/>
          <w:color w:val="000000"/>
          <w:vertAlign w:val="superscript"/>
          <w:lang w:val="en-US"/>
        </w:rPr>
        <w:t>b</w:t>
      </w:r>
      <w:r w:rsidRPr="00FF1C50">
        <w:rPr>
          <w:rFonts w:ascii="Arial" w:eastAsia="Calibri" w:hAnsi="Arial" w:cs="Arial"/>
          <w:color w:val="000000"/>
          <w:lang w:val="en-US"/>
        </w:rPr>
        <w:t>Sample</w:t>
      </w:r>
      <w:proofErr w:type="spellEnd"/>
      <w:r w:rsidRPr="00FF1C50">
        <w:rPr>
          <w:rFonts w:ascii="Arial" w:eastAsia="Calibri" w:hAnsi="Arial" w:cs="Arial"/>
          <w:color w:val="000000"/>
          <w:lang w:val="en-US"/>
        </w:rPr>
        <w:t xml:space="preserve"> collected before protocol amendment 1.</w:t>
      </w:r>
    </w:p>
    <w:p w14:paraId="3FBA1943" w14:textId="77777777" w:rsidR="00C92321" w:rsidRDefault="00C92321" w:rsidP="00FF1C50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val="en-US"/>
        </w:rPr>
      </w:pPr>
      <w:r w:rsidRPr="00FF1C50">
        <w:rPr>
          <w:rFonts w:ascii="Arial" w:eastAsia="Calibri" w:hAnsi="Arial" w:cs="Arial"/>
          <w:iCs/>
          <w:color w:val="000000"/>
          <w:lang w:val="en-US"/>
        </w:rPr>
        <w:t xml:space="preserve">n: </w:t>
      </w:r>
      <w:r w:rsidRPr="00FF1C50">
        <w:rPr>
          <w:rFonts w:ascii="Arial" w:eastAsia="Calibri" w:hAnsi="Arial" w:cs="Arial"/>
          <w:color w:val="000000"/>
          <w:lang w:val="en-US"/>
        </w:rPr>
        <w:t xml:space="preserve">number of subjects; </w:t>
      </w:r>
      <w:r w:rsidRPr="00FF1C50">
        <w:rPr>
          <w:rFonts w:ascii="Arial" w:eastAsia="Calibri" w:hAnsi="Arial" w:cs="Arial"/>
          <w:iCs/>
          <w:color w:val="000000"/>
          <w:lang w:val="en-US"/>
        </w:rPr>
        <w:t xml:space="preserve">N: </w:t>
      </w:r>
      <w:r w:rsidRPr="00FF1C50">
        <w:rPr>
          <w:rFonts w:ascii="Arial" w:eastAsia="Calibri" w:hAnsi="Arial" w:cs="Arial"/>
          <w:color w:val="000000"/>
          <w:lang w:val="en-US"/>
        </w:rPr>
        <w:t xml:space="preserve">total number of subjects receiving treatment in each group; </w:t>
      </w:r>
      <w:r w:rsidRPr="00FF1C50">
        <w:rPr>
          <w:rFonts w:ascii="Arial" w:eastAsia="Calibri" w:hAnsi="Arial" w:cs="Arial"/>
          <w:iCs/>
          <w:color w:val="000000"/>
          <w:lang w:val="en-US"/>
        </w:rPr>
        <w:t xml:space="preserve">N1: </w:t>
      </w:r>
      <w:r w:rsidRPr="00FF1C50">
        <w:rPr>
          <w:rFonts w:ascii="Arial" w:eastAsia="Calibri" w:hAnsi="Arial" w:cs="Arial"/>
          <w:color w:val="000000"/>
          <w:lang w:val="en-US"/>
        </w:rPr>
        <w:t xml:space="preserve">number of subjects tested who had an observed result at the specified visit; </w:t>
      </w:r>
      <w:r w:rsidRPr="00FF1C50">
        <w:rPr>
          <w:rFonts w:ascii="Arial" w:eastAsia="Calibri" w:hAnsi="Arial" w:cs="Arial"/>
          <w:iCs/>
          <w:color w:val="000000"/>
          <w:lang w:val="en-US"/>
        </w:rPr>
        <w:t xml:space="preserve">rituximab-EU: </w:t>
      </w:r>
      <w:r w:rsidRPr="00FF1C50">
        <w:rPr>
          <w:rFonts w:ascii="Arial" w:eastAsia="Calibri" w:hAnsi="Arial" w:cs="Arial"/>
          <w:color w:val="000000"/>
          <w:lang w:val="en-US"/>
        </w:rPr>
        <w:t xml:space="preserve">rituximab </w:t>
      </w:r>
      <w:r w:rsidRPr="00FF1C50">
        <w:rPr>
          <w:rFonts w:ascii="Arial" w:eastAsia="Calibri" w:hAnsi="Arial" w:cs="Arial"/>
          <w:lang w:val="en-US"/>
        </w:rPr>
        <w:t>reference product</w:t>
      </w:r>
      <w:r w:rsidRPr="00FF1C50">
        <w:rPr>
          <w:rFonts w:ascii="Arial" w:eastAsia="Calibri" w:hAnsi="Arial" w:cs="Arial"/>
          <w:color w:val="000000"/>
          <w:lang w:val="en-US"/>
        </w:rPr>
        <w:t xml:space="preserve"> (</w:t>
      </w:r>
      <w:proofErr w:type="spellStart"/>
      <w:r w:rsidRPr="00FF1C50">
        <w:rPr>
          <w:rFonts w:ascii="Arial" w:eastAsia="Calibri" w:hAnsi="Arial" w:cs="Arial"/>
          <w:color w:val="000000"/>
          <w:lang w:val="en-US"/>
        </w:rPr>
        <w:t>MabThera</w:t>
      </w:r>
      <w:proofErr w:type="spellEnd"/>
      <w:r w:rsidRPr="00FF1C50">
        <w:rPr>
          <w:rFonts w:ascii="Arial" w:eastAsia="Calibri" w:hAnsi="Arial" w:cs="Arial"/>
          <w:color w:val="000000"/>
          <w:lang w:val="en-US"/>
        </w:rPr>
        <w:t>®) sourced from the European Union;</w:t>
      </w:r>
      <w:r w:rsidRPr="00FF1C50">
        <w:rPr>
          <w:rFonts w:ascii="Arial" w:eastAsia="Calibri" w:hAnsi="Arial" w:cs="Arial"/>
          <w:lang w:val="en-US"/>
        </w:rPr>
        <w:t xml:space="preserve"> RTX-PF: PF-05280586</w:t>
      </w:r>
      <w:r w:rsidRPr="00FF1C50">
        <w:rPr>
          <w:rFonts w:ascii="Arial" w:eastAsia="Calibri" w:hAnsi="Arial" w:cs="Arial"/>
          <w:color w:val="000000"/>
          <w:lang w:val="en-US"/>
        </w:rPr>
        <w:t xml:space="preserve">. </w:t>
      </w:r>
    </w:p>
    <w:p w14:paraId="57453872" w14:textId="594ED123" w:rsidR="00F86320" w:rsidRPr="00F86320" w:rsidRDefault="00F86320" w:rsidP="00FF1C50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val="en-US"/>
        </w:rPr>
        <w:sectPr w:rsidR="00F86320" w:rsidRPr="00F86320" w:rsidSect="00461D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AF1FA4" w14:textId="77777777" w:rsidR="00C92321" w:rsidRPr="0093276A" w:rsidRDefault="00C92321" w:rsidP="0093276A">
      <w:pPr>
        <w:spacing w:line="480" w:lineRule="auto"/>
        <w:rPr>
          <w:rFonts w:ascii="Arial" w:hAnsi="Arial" w:cs="Arial"/>
          <w:b/>
          <w:bCs/>
        </w:rPr>
      </w:pPr>
      <w:r w:rsidRPr="0093276A">
        <w:rPr>
          <w:rFonts w:ascii="Arial" w:hAnsi="Arial" w:cs="Arial"/>
          <w:b/>
          <w:bCs/>
        </w:rPr>
        <w:lastRenderedPageBreak/>
        <w:t>References</w:t>
      </w:r>
    </w:p>
    <w:p w14:paraId="275D984B" w14:textId="77777777" w:rsidR="00C92321" w:rsidRPr="0093276A" w:rsidRDefault="00C92321" w:rsidP="0093276A">
      <w:pPr>
        <w:pStyle w:val="EndNoteBibliography"/>
        <w:spacing w:after="0" w:line="480" w:lineRule="auto"/>
        <w:ind w:left="720" w:hanging="720"/>
        <w:rPr>
          <w:rFonts w:ascii="Arial" w:hAnsi="Arial" w:cs="Arial"/>
        </w:rPr>
      </w:pPr>
      <w:r w:rsidRPr="0093276A">
        <w:rPr>
          <w:rFonts w:ascii="Arial" w:hAnsi="Arial" w:cs="Arial"/>
        </w:rPr>
        <w:t>1.</w:t>
      </w:r>
      <w:r w:rsidRPr="0093276A">
        <w:rPr>
          <w:rFonts w:ascii="Arial" w:hAnsi="Arial" w:cs="Arial"/>
        </w:rPr>
        <w:tab/>
        <w:t>Cohen S, Emery P, Greenwald M</w:t>
      </w:r>
      <w:r w:rsidRPr="0093276A">
        <w:rPr>
          <w:rFonts w:ascii="Arial" w:hAnsi="Arial" w:cs="Arial"/>
          <w:i/>
        </w:rPr>
        <w:t xml:space="preserve"> et al</w:t>
      </w:r>
      <w:r w:rsidRPr="0093276A">
        <w:rPr>
          <w:rFonts w:ascii="Arial" w:hAnsi="Arial" w:cs="Arial"/>
        </w:rPr>
        <w:t>. A phase I pharmacokinetics trial comparing PF-05280586 (a potential biosimilar) and rituximab in patients with active rheumatoid arthritis</w:t>
      </w:r>
      <w:r w:rsidRPr="0093276A">
        <w:rPr>
          <w:rFonts w:ascii="Arial" w:hAnsi="Arial" w:cs="Arial"/>
          <w:i/>
        </w:rPr>
        <w:t>.</w:t>
      </w:r>
      <w:r w:rsidRPr="0093276A">
        <w:rPr>
          <w:rFonts w:ascii="Arial" w:hAnsi="Arial" w:cs="Arial"/>
        </w:rPr>
        <w:t xml:space="preserve"> </w:t>
      </w:r>
      <w:r w:rsidRPr="0093276A">
        <w:rPr>
          <w:rFonts w:ascii="Arial" w:hAnsi="Arial" w:cs="Arial"/>
          <w:i/>
        </w:rPr>
        <w:t xml:space="preserve">Br. J. Clin. Pharmacol. </w:t>
      </w:r>
      <w:r w:rsidRPr="0093276A">
        <w:rPr>
          <w:rFonts w:ascii="Arial" w:hAnsi="Arial" w:cs="Arial"/>
        </w:rPr>
        <w:t>82(1), 129-138 (2016).</w:t>
      </w:r>
    </w:p>
    <w:p w14:paraId="4CA8342F" w14:textId="77777777" w:rsidR="00C92321" w:rsidRPr="0093276A" w:rsidRDefault="00C92321" w:rsidP="0093276A">
      <w:pPr>
        <w:pStyle w:val="EndNoteBibliography"/>
        <w:spacing w:line="480" w:lineRule="auto"/>
        <w:ind w:left="720" w:hanging="720"/>
        <w:rPr>
          <w:rFonts w:ascii="Arial" w:hAnsi="Arial" w:cs="Arial"/>
        </w:rPr>
      </w:pPr>
      <w:r w:rsidRPr="0093276A">
        <w:rPr>
          <w:rFonts w:ascii="Arial" w:hAnsi="Arial" w:cs="Arial"/>
        </w:rPr>
        <w:t>2.</w:t>
      </w:r>
      <w:r w:rsidRPr="0093276A">
        <w:rPr>
          <w:rFonts w:ascii="Arial" w:hAnsi="Arial" w:cs="Arial"/>
        </w:rPr>
        <w:tab/>
        <w:t>Sharman JP, Liberati AM, Ishizawa K</w:t>
      </w:r>
      <w:r w:rsidRPr="0093276A">
        <w:rPr>
          <w:rFonts w:ascii="Arial" w:hAnsi="Arial" w:cs="Arial"/>
          <w:i/>
        </w:rPr>
        <w:t xml:space="preserve"> et al</w:t>
      </w:r>
      <w:r w:rsidRPr="0093276A">
        <w:rPr>
          <w:rFonts w:ascii="Arial" w:hAnsi="Arial" w:cs="Arial"/>
        </w:rPr>
        <w:t>. A randomized, double-blind, efficacy and safety study of PF-05280586 (a rituximab biosimilar) compared with rituximab reference product (MabThera®) in subjects with previously untreated CD20-positive, low-tumor-burden follicular lymphoma (LTB-FL)</w:t>
      </w:r>
      <w:r w:rsidRPr="0093276A">
        <w:rPr>
          <w:rFonts w:ascii="Arial" w:hAnsi="Arial" w:cs="Arial"/>
          <w:i/>
        </w:rPr>
        <w:t>.</w:t>
      </w:r>
      <w:r w:rsidRPr="0093276A">
        <w:rPr>
          <w:rFonts w:ascii="Arial" w:hAnsi="Arial" w:cs="Arial"/>
        </w:rPr>
        <w:t xml:space="preserve"> </w:t>
      </w:r>
      <w:r w:rsidRPr="0093276A">
        <w:rPr>
          <w:rFonts w:ascii="Arial" w:hAnsi="Arial" w:cs="Arial"/>
          <w:i/>
        </w:rPr>
        <w:t xml:space="preserve">Biodrugs </w:t>
      </w:r>
      <w:r w:rsidRPr="0093276A">
        <w:rPr>
          <w:rFonts w:ascii="Arial" w:hAnsi="Arial" w:cs="Arial"/>
        </w:rPr>
        <w:t>34(2), 171-181 (2020).</w:t>
      </w:r>
    </w:p>
    <w:p w14:paraId="6BE6DF17" w14:textId="77777777" w:rsidR="00C92321" w:rsidRDefault="00C92321" w:rsidP="0093276A">
      <w:pPr>
        <w:spacing w:line="480" w:lineRule="auto"/>
      </w:pPr>
    </w:p>
    <w:p w14:paraId="13096467" w14:textId="77777777" w:rsidR="0049570F" w:rsidRDefault="0049570F"/>
    <w:sectPr w:rsidR="0049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92321"/>
    <w:rsid w:val="000226B1"/>
    <w:rsid w:val="00461D53"/>
    <w:rsid w:val="0049570F"/>
    <w:rsid w:val="0056235B"/>
    <w:rsid w:val="00C92321"/>
    <w:rsid w:val="00CD33FB"/>
    <w:rsid w:val="00E05EDC"/>
    <w:rsid w:val="00EC191B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A943"/>
  <w15:chartTrackingRefBased/>
  <w15:docId w15:val="{AD74C318-38BA-4AE7-ACA0-5E53AC5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9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9232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3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232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232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Iain</dc:creator>
  <cp:keywords/>
  <dc:description/>
  <cp:lastModifiedBy>Johanna Todd</cp:lastModifiedBy>
  <cp:revision>9</cp:revision>
  <dcterms:created xsi:type="dcterms:W3CDTF">2021-12-23T11:42:00Z</dcterms:created>
  <dcterms:modified xsi:type="dcterms:W3CDTF">2021-12-23T14:34:00Z</dcterms:modified>
</cp:coreProperties>
</file>