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FB65" w14:textId="77777777" w:rsidR="00092208" w:rsidRPr="00180EF0" w:rsidRDefault="00092208" w:rsidP="00092208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180EF0">
        <w:rPr>
          <w:rFonts w:asciiTheme="minorHAnsi" w:hAnsiTheme="minorHAnsi" w:cstheme="minorHAnsi"/>
          <w:b/>
          <w:szCs w:val="24"/>
        </w:rPr>
        <w:t>SUPPLEMENTARY MATERIALS</w:t>
      </w:r>
    </w:p>
    <w:p w14:paraId="19F43B2F" w14:textId="56BEC7E7" w:rsidR="00920381" w:rsidRDefault="00920381" w:rsidP="00092208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Table S1. Additional baseline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9"/>
        <w:gridCol w:w="2601"/>
        <w:gridCol w:w="2680"/>
      </w:tblGrid>
      <w:tr w:rsidR="00920381" w:rsidRPr="00920381" w14:paraId="25BE64A5" w14:textId="77777777" w:rsidTr="00417C3B">
        <w:trPr>
          <w:trHeight w:val="750"/>
        </w:trPr>
        <w:tc>
          <w:tcPr>
            <w:tcW w:w="2176" w:type="pct"/>
            <w:hideMark/>
          </w:tcPr>
          <w:p w14:paraId="5447DAB3" w14:textId="77777777" w:rsidR="00920381" w:rsidRPr="00920381" w:rsidRDefault="00920381" w:rsidP="00417C3B">
            <w:pPr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381">
              <w:rPr>
                <w:rFonts w:asciiTheme="minorHAnsi" w:hAnsiTheme="minorHAnsi" w:cstheme="minorHAnsi"/>
                <w:b/>
                <w:bCs/>
                <w:szCs w:val="24"/>
              </w:rPr>
              <w:t>Characteristics</w:t>
            </w:r>
          </w:p>
        </w:tc>
        <w:tc>
          <w:tcPr>
            <w:tcW w:w="1391" w:type="pct"/>
            <w:hideMark/>
          </w:tcPr>
          <w:p w14:paraId="639DF26C" w14:textId="77777777" w:rsidR="00920381" w:rsidRPr="00920381" w:rsidRDefault="00920381" w:rsidP="005146E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381">
              <w:rPr>
                <w:rFonts w:asciiTheme="minorHAnsi" w:hAnsiTheme="minorHAnsi" w:cstheme="minorHAnsi"/>
                <w:b/>
                <w:bCs/>
                <w:szCs w:val="24"/>
              </w:rPr>
              <w:t>Clinical Trial Data</w:t>
            </w:r>
            <w:r w:rsidRPr="00920381">
              <w:rPr>
                <w:rFonts w:asciiTheme="minorHAnsi" w:hAnsiTheme="minorHAnsi" w:cstheme="minorHAnsi"/>
                <w:b/>
                <w:bCs/>
                <w:szCs w:val="24"/>
              </w:rPr>
              <w:br/>
              <w:t>N = 241</w:t>
            </w:r>
          </w:p>
        </w:tc>
        <w:tc>
          <w:tcPr>
            <w:tcW w:w="1433" w:type="pct"/>
            <w:hideMark/>
          </w:tcPr>
          <w:p w14:paraId="3D69FA91" w14:textId="77777777" w:rsidR="00920381" w:rsidRPr="00920381" w:rsidRDefault="00920381" w:rsidP="005146E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381">
              <w:rPr>
                <w:rFonts w:asciiTheme="minorHAnsi" w:hAnsiTheme="minorHAnsi" w:cstheme="minorHAnsi"/>
                <w:b/>
                <w:bCs/>
                <w:szCs w:val="24"/>
              </w:rPr>
              <w:t>Real-World Data (Flatiron)</w:t>
            </w:r>
            <w:r w:rsidRPr="00920381">
              <w:rPr>
                <w:rFonts w:asciiTheme="minorHAnsi" w:hAnsiTheme="minorHAnsi" w:cstheme="minorHAnsi"/>
                <w:b/>
                <w:bCs/>
                <w:szCs w:val="24"/>
                <w:vertAlign w:val="superscript"/>
              </w:rPr>
              <w:t>a</w:t>
            </w:r>
            <w:r w:rsidRPr="00920381">
              <w:rPr>
                <w:rFonts w:asciiTheme="minorHAnsi" w:hAnsiTheme="minorHAnsi" w:cstheme="minorHAnsi"/>
                <w:b/>
                <w:bCs/>
                <w:szCs w:val="24"/>
              </w:rPr>
              <w:br/>
              <w:t>N = 816</w:t>
            </w:r>
          </w:p>
        </w:tc>
      </w:tr>
      <w:tr w:rsidR="00920381" w:rsidRPr="00920381" w14:paraId="58D0143D" w14:textId="77777777" w:rsidTr="00417C3B">
        <w:trPr>
          <w:trHeight w:val="270"/>
        </w:trPr>
        <w:tc>
          <w:tcPr>
            <w:tcW w:w="2176" w:type="pct"/>
            <w:hideMark/>
          </w:tcPr>
          <w:p w14:paraId="1427CADC" w14:textId="6F5025F8" w:rsidR="00920381" w:rsidRPr="00920381" w:rsidRDefault="00920381" w:rsidP="00417C3B">
            <w:pPr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BRAFV600 mutation status</w:t>
            </w:r>
          </w:p>
        </w:tc>
        <w:tc>
          <w:tcPr>
            <w:tcW w:w="1391" w:type="pct"/>
          </w:tcPr>
          <w:p w14:paraId="559E273F" w14:textId="0AB8C2C4" w:rsidR="00920381" w:rsidRPr="00920381" w:rsidRDefault="00920381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33" w:type="pct"/>
          </w:tcPr>
          <w:p w14:paraId="2F54871C" w14:textId="2A11DF85" w:rsidR="00920381" w:rsidRPr="00920381" w:rsidRDefault="00920381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20381" w:rsidRPr="00920381" w14:paraId="66F6635D" w14:textId="77777777" w:rsidTr="00417C3B">
        <w:trPr>
          <w:trHeight w:val="270"/>
        </w:trPr>
        <w:tc>
          <w:tcPr>
            <w:tcW w:w="2176" w:type="pct"/>
          </w:tcPr>
          <w:p w14:paraId="503D3EEC" w14:textId="1EB1C1B6" w:rsidR="00920381" w:rsidRDefault="00920381" w:rsidP="00417C3B">
            <w:pPr>
              <w:ind w:left="15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BRAFV600E</w:t>
            </w:r>
            <w:r w:rsidR="00400BD4">
              <w:rPr>
                <w:rFonts w:asciiTheme="minorHAnsi" w:hAnsiTheme="minorHAnsi" w:cstheme="minorHAnsi"/>
                <w:bCs/>
                <w:szCs w:val="24"/>
              </w:rPr>
              <w:t xml:space="preserve"> positive</w:t>
            </w:r>
          </w:p>
        </w:tc>
        <w:tc>
          <w:tcPr>
            <w:tcW w:w="1391" w:type="pct"/>
          </w:tcPr>
          <w:p w14:paraId="58A3D03B" w14:textId="2388AC53" w:rsidR="00920381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  <w:tc>
          <w:tcPr>
            <w:tcW w:w="1433" w:type="pct"/>
          </w:tcPr>
          <w:p w14:paraId="1F7858E1" w14:textId="3DD5C029" w:rsidR="00920381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199 (24.4)</w:t>
            </w:r>
          </w:p>
        </w:tc>
      </w:tr>
      <w:tr w:rsidR="00920381" w:rsidRPr="00920381" w14:paraId="5B1ED3BB" w14:textId="77777777" w:rsidTr="00417C3B">
        <w:trPr>
          <w:trHeight w:val="270"/>
        </w:trPr>
        <w:tc>
          <w:tcPr>
            <w:tcW w:w="2176" w:type="pct"/>
          </w:tcPr>
          <w:p w14:paraId="0FAC6E9D" w14:textId="6439EA1B" w:rsidR="00920381" w:rsidRDefault="00920381" w:rsidP="00417C3B">
            <w:pPr>
              <w:ind w:left="153"/>
              <w:contextualSpacing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BRAFV600</w:t>
            </w:r>
            <w:r w:rsidR="00417C3B">
              <w:rPr>
                <w:rFonts w:asciiTheme="minorHAnsi" w:hAnsiTheme="minorHAnsi" w:cstheme="minorHAnsi"/>
                <w:bCs/>
                <w:szCs w:val="24"/>
              </w:rPr>
              <w:t>K</w:t>
            </w:r>
            <w:r w:rsidR="00400BD4">
              <w:rPr>
                <w:rFonts w:asciiTheme="minorHAnsi" w:hAnsiTheme="minorHAnsi" w:cstheme="minorHAnsi"/>
                <w:bCs/>
                <w:szCs w:val="24"/>
              </w:rPr>
              <w:t xml:space="preserve"> positive</w:t>
            </w:r>
          </w:p>
        </w:tc>
        <w:tc>
          <w:tcPr>
            <w:tcW w:w="1391" w:type="pct"/>
          </w:tcPr>
          <w:p w14:paraId="651C354E" w14:textId="6CB190CD" w:rsidR="00920381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  <w:tc>
          <w:tcPr>
            <w:tcW w:w="1433" w:type="pct"/>
          </w:tcPr>
          <w:p w14:paraId="0635DAFD" w14:textId="7E3B1DF4" w:rsidR="00920381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39 (4.8)</w:t>
            </w:r>
          </w:p>
        </w:tc>
      </w:tr>
      <w:tr w:rsidR="00417C3B" w:rsidRPr="00920381" w14:paraId="118C047E" w14:textId="77777777" w:rsidTr="00417C3B">
        <w:trPr>
          <w:trHeight w:val="270"/>
        </w:trPr>
        <w:tc>
          <w:tcPr>
            <w:tcW w:w="2176" w:type="pct"/>
          </w:tcPr>
          <w:p w14:paraId="03499CD9" w14:textId="645F6B60" w:rsidR="00417C3B" w:rsidRDefault="00417C3B" w:rsidP="00417C3B">
            <w:pPr>
              <w:ind w:left="15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BRAFV600E negative</w:t>
            </w:r>
          </w:p>
        </w:tc>
        <w:tc>
          <w:tcPr>
            <w:tcW w:w="1391" w:type="pct"/>
          </w:tcPr>
          <w:p w14:paraId="3A12F3AB" w14:textId="568E411B" w:rsidR="00417C3B" w:rsidRPr="00096312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  <w:tc>
          <w:tcPr>
            <w:tcW w:w="1433" w:type="pct"/>
          </w:tcPr>
          <w:p w14:paraId="041AC1DE" w14:textId="59D26CEB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 (0.1)</w:t>
            </w:r>
          </w:p>
        </w:tc>
      </w:tr>
      <w:tr w:rsidR="00417C3B" w:rsidRPr="00920381" w14:paraId="69E230ED" w14:textId="77777777" w:rsidTr="00417C3B">
        <w:trPr>
          <w:trHeight w:val="270"/>
        </w:trPr>
        <w:tc>
          <w:tcPr>
            <w:tcW w:w="2176" w:type="pct"/>
          </w:tcPr>
          <w:p w14:paraId="3F7EF45F" w14:textId="1F7D7117" w:rsidR="00417C3B" w:rsidRDefault="00417C3B" w:rsidP="00417C3B">
            <w:pPr>
              <w:ind w:left="15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Missing</w:t>
            </w:r>
          </w:p>
        </w:tc>
        <w:tc>
          <w:tcPr>
            <w:tcW w:w="1391" w:type="pct"/>
          </w:tcPr>
          <w:p w14:paraId="0471AC10" w14:textId="3492956B" w:rsidR="00417C3B" w:rsidRPr="00096312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  <w:tc>
          <w:tcPr>
            <w:tcW w:w="1433" w:type="pct"/>
          </w:tcPr>
          <w:p w14:paraId="17E29105" w14:textId="0BDF00F2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577 (70.7)</w:t>
            </w:r>
          </w:p>
        </w:tc>
      </w:tr>
      <w:tr w:rsidR="00417C3B" w:rsidRPr="00920381" w14:paraId="538D0379" w14:textId="77777777" w:rsidTr="00417C3B">
        <w:trPr>
          <w:trHeight w:val="270"/>
        </w:trPr>
        <w:tc>
          <w:tcPr>
            <w:tcW w:w="2176" w:type="pct"/>
          </w:tcPr>
          <w:p w14:paraId="35DF1A4A" w14:textId="77FC8A46" w:rsidR="00417C3B" w:rsidRPr="00920381" w:rsidRDefault="00417C3B" w:rsidP="00417C3B">
            <w:pPr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 stage at treatment initiation, N (%)</w:t>
            </w:r>
          </w:p>
        </w:tc>
        <w:tc>
          <w:tcPr>
            <w:tcW w:w="1391" w:type="pct"/>
          </w:tcPr>
          <w:p w14:paraId="4B004713" w14:textId="77777777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33" w:type="pct"/>
          </w:tcPr>
          <w:p w14:paraId="64B37499" w14:textId="77777777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417C3B" w:rsidRPr="00920381" w14:paraId="07638DBA" w14:textId="77777777" w:rsidTr="00417C3B">
        <w:trPr>
          <w:trHeight w:val="270"/>
        </w:trPr>
        <w:tc>
          <w:tcPr>
            <w:tcW w:w="2176" w:type="pct"/>
          </w:tcPr>
          <w:p w14:paraId="3BC45591" w14:textId="28989A1C" w:rsidR="00417C3B" w:rsidRPr="00920381" w:rsidRDefault="00417C3B" w:rsidP="00417C3B">
            <w:pPr>
              <w:ind w:left="15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Stage III</w:t>
            </w:r>
          </w:p>
        </w:tc>
        <w:tc>
          <w:tcPr>
            <w:tcW w:w="1391" w:type="pct"/>
          </w:tcPr>
          <w:p w14:paraId="7613622E" w14:textId="0A78C0BA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6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(2.5)</w:t>
            </w:r>
          </w:p>
        </w:tc>
        <w:tc>
          <w:tcPr>
            <w:tcW w:w="1433" w:type="pct"/>
          </w:tcPr>
          <w:p w14:paraId="60AA7BFD" w14:textId="58744466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11FBD2ED" w14:textId="77777777" w:rsidTr="00417C3B">
        <w:trPr>
          <w:trHeight w:val="270"/>
        </w:trPr>
        <w:tc>
          <w:tcPr>
            <w:tcW w:w="2176" w:type="pct"/>
          </w:tcPr>
          <w:p w14:paraId="3A0C0B1E" w14:textId="096CFE61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M0</w:t>
            </w:r>
          </w:p>
        </w:tc>
        <w:tc>
          <w:tcPr>
            <w:tcW w:w="1391" w:type="pct"/>
          </w:tcPr>
          <w:p w14:paraId="7B135D81" w14:textId="77E60D21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(2.1)</w:t>
            </w:r>
          </w:p>
        </w:tc>
        <w:tc>
          <w:tcPr>
            <w:tcW w:w="1433" w:type="pct"/>
          </w:tcPr>
          <w:p w14:paraId="30F71560" w14:textId="47D18B88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743ABC28" w14:textId="77777777" w:rsidTr="00417C3B">
        <w:trPr>
          <w:trHeight w:val="270"/>
        </w:trPr>
        <w:tc>
          <w:tcPr>
            <w:tcW w:w="2176" w:type="pct"/>
          </w:tcPr>
          <w:p w14:paraId="1F112E85" w14:textId="60928BDB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M1a</w:t>
            </w:r>
          </w:p>
        </w:tc>
        <w:tc>
          <w:tcPr>
            <w:tcW w:w="1391" w:type="pct"/>
          </w:tcPr>
          <w:p w14:paraId="71325697" w14:textId="13AFEDAA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0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(0)</w:t>
            </w:r>
          </w:p>
        </w:tc>
        <w:tc>
          <w:tcPr>
            <w:tcW w:w="1433" w:type="pct"/>
          </w:tcPr>
          <w:p w14:paraId="3330DA7D" w14:textId="4CE2BA3F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1640904E" w14:textId="77777777" w:rsidTr="00417C3B">
        <w:trPr>
          <w:trHeight w:val="270"/>
        </w:trPr>
        <w:tc>
          <w:tcPr>
            <w:tcW w:w="2176" w:type="pct"/>
          </w:tcPr>
          <w:p w14:paraId="55781A81" w14:textId="136159D8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M1b</w:t>
            </w:r>
          </w:p>
        </w:tc>
        <w:tc>
          <w:tcPr>
            <w:tcW w:w="1391" w:type="pct"/>
          </w:tcPr>
          <w:p w14:paraId="7B9DBAC6" w14:textId="35755993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0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(0)</w:t>
            </w:r>
          </w:p>
        </w:tc>
        <w:tc>
          <w:tcPr>
            <w:tcW w:w="1433" w:type="pct"/>
          </w:tcPr>
          <w:p w14:paraId="6D133E0E" w14:textId="310FD48F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184E2474" w14:textId="77777777" w:rsidTr="00417C3B">
        <w:trPr>
          <w:trHeight w:val="270"/>
        </w:trPr>
        <w:tc>
          <w:tcPr>
            <w:tcW w:w="2176" w:type="pct"/>
          </w:tcPr>
          <w:p w14:paraId="062104B1" w14:textId="6CB72DBB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M1c</w:t>
            </w:r>
          </w:p>
        </w:tc>
        <w:tc>
          <w:tcPr>
            <w:tcW w:w="1391" w:type="pct"/>
          </w:tcPr>
          <w:p w14:paraId="3BBDB259" w14:textId="5B4ADEE1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(0.4)</w:t>
            </w:r>
          </w:p>
        </w:tc>
        <w:tc>
          <w:tcPr>
            <w:tcW w:w="1433" w:type="pct"/>
          </w:tcPr>
          <w:p w14:paraId="776FD513" w14:textId="475A4B57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31E54889" w14:textId="77777777" w:rsidTr="00417C3B">
        <w:trPr>
          <w:trHeight w:val="270"/>
        </w:trPr>
        <w:tc>
          <w:tcPr>
            <w:tcW w:w="2176" w:type="pct"/>
          </w:tcPr>
          <w:p w14:paraId="3797478A" w14:textId="0A1012F6" w:rsidR="00417C3B" w:rsidRPr="00920381" w:rsidRDefault="00417C3B" w:rsidP="00417C3B">
            <w:pPr>
              <w:ind w:left="15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Stage IV</w:t>
            </w:r>
          </w:p>
        </w:tc>
        <w:tc>
          <w:tcPr>
            <w:tcW w:w="1391" w:type="pct"/>
          </w:tcPr>
          <w:p w14:paraId="41A054EC" w14:textId="1261242E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235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(97.5)</w:t>
            </w:r>
          </w:p>
        </w:tc>
        <w:tc>
          <w:tcPr>
            <w:tcW w:w="1433" w:type="pct"/>
          </w:tcPr>
          <w:p w14:paraId="3EE6A8C4" w14:textId="6E0916D4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5F5DF694" w14:textId="77777777" w:rsidTr="00417C3B">
        <w:trPr>
          <w:trHeight w:val="270"/>
        </w:trPr>
        <w:tc>
          <w:tcPr>
            <w:tcW w:w="2176" w:type="pct"/>
          </w:tcPr>
          <w:p w14:paraId="441C87BC" w14:textId="77777777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M0</w:t>
            </w:r>
          </w:p>
        </w:tc>
        <w:tc>
          <w:tcPr>
            <w:tcW w:w="1391" w:type="pct"/>
          </w:tcPr>
          <w:p w14:paraId="15901A94" w14:textId="33F9EAE1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0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(0)</w:t>
            </w:r>
          </w:p>
        </w:tc>
        <w:tc>
          <w:tcPr>
            <w:tcW w:w="1433" w:type="pct"/>
          </w:tcPr>
          <w:p w14:paraId="54586D17" w14:textId="6DBDB521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3436B820" w14:textId="77777777" w:rsidTr="00417C3B">
        <w:trPr>
          <w:trHeight w:val="270"/>
        </w:trPr>
        <w:tc>
          <w:tcPr>
            <w:tcW w:w="2176" w:type="pct"/>
          </w:tcPr>
          <w:p w14:paraId="32C962D5" w14:textId="77777777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M1a</w:t>
            </w:r>
          </w:p>
        </w:tc>
        <w:tc>
          <w:tcPr>
            <w:tcW w:w="1391" w:type="pct"/>
          </w:tcPr>
          <w:p w14:paraId="72E161C3" w14:textId="598297BF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37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(15.4)</w:t>
            </w:r>
          </w:p>
        </w:tc>
        <w:tc>
          <w:tcPr>
            <w:tcW w:w="1433" w:type="pct"/>
          </w:tcPr>
          <w:p w14:paraId="4B70749E" w14:textId="21DAA568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720C59F7" w14:textId="77777777" w:rsidTr="00417C3B">
        <w:trPr>
          <w:trHeight w:val="270"/>
        </w:trPr>
        <w:tc>
          <w:tcPr>
            <w:tcW w:w="2176" w:type="pct"/>
          </w:tcPr>
          <w:p w14:paraId="32427E97" w14:textId="77777777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M1b</w:t>
            </w:r>
          </w:p>
        </w:tc>
        <w:tc>
          <w:tcPr>
            <w:tcW w:w="1391" w:type="pct"/>
          </w:tcPr>
          <w:p w14:paraId="3BFF2DF7" w14:textId="6FB43CFE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48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(19.9)</w:t>
            </w:r>
          </w:p>
        </w:tc>
        <w:tc>
          <w:tcPr>
            <w:tcW w:w="1433" w:type="pct"/>
          </w:tcPr>
          <w:p w14:paraId="47931EAB" w14:textId="5C084858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  <w:tr w:rsidR="00417C3B" w:rsidRPr="00920381" w14:paraId="0B1426F3" w14:textId="77777777" w:rsidTr="00417C3B">
        <w:trPr>
          <w:trHeight w:val="270"/>
        </w:trPr>
        <w:tc>
          <w:tcPr>
            <w:tcW w:w="2176" w:type="pct"/>
          </w:tcPr>
          <w:p w14:paraId="5EE43C62" w14:textId="77777777" w:rsidR="00417C3B" w:rsidRPr="00920381" w:rsidRDefault="00417C3B" w:rsidP="00417C3B">
            <w:pPr>
              <w:ind w:left="333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M1c</w:t>
            </w:r>
          </w:p>
        </w:tc>
        <w:tc>
          <w:tcPr>
            <w:tcW w:w="1391" w:type="pct"/>
          </w:tcPr>
          <w:p w14:paraId="74ED6BEB" w14:textId="74E1CC49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150</w:t>
            </w:r>
            <w:r w:rsidR="005146EB">
              <w:rPr>
                <w:rFonts w:asciiTheme="minorHAnsi" w:hAnsiTheme="minorHAnsi" w:cstheme="minorHAnsi"/>
                <w:bCs/>
                <w:szCs w:val="24"/>
              </w:rPr>
              <w:t xml:space="preserve"> (62.2)</w:t>
            </w:r>
          </w:p>
        </w:tc>
        <w:tc>
          <w:tcPr>
            <w:tcW w:w="1433" w:type="pct"/>
          </w:tcPr>
          <w:p w14:paraId="5351FAED" w14:textId="44CC2F56" w:rsidR="00417C3B" w:rsidRPr="00920381" w:rsidRDefault="00417C3B" w:rsidP="005146E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C2822">
              <w:rPr>
                <w:rFonts w:asciiTheme="minorHAnsi" w:hAnsiTheme="minorHAnsi" w:cstheme="minorHAnsi"/>
                <w:bCs/>
                <w:szCs w:val="24"/>
              </w:rPr>
              <w:t>--</w:t>
            </w:r>
          </w:p>
        </w:tc>
      </w:tr>
    </w:tbl>
    <w:p w14:paraId="185143AD" w14:textId="79351B7D" w:rsidR="00920381" w:rsidRDefault="00920381" w:rsidP="0009220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056C8BF7" w14:textId="77777777" w:rsidR="00920381" w:rsidRDefault="00920381" w:rsidP="0009220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03A37D6F" w14:textId="77777777" w:rsidR="007D758D" w:rsidRDefault="007D758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75FC417B" w14:textId="721751A1" w:rsidR="00092208" w:rsidRPr="00180EF0" w:rsidRDefault="00092208" w:rsidP="00092208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180EF0">
        <w:rPr>
          <w:rFonts w:asciiTheme="minorHAnsi" w:hAnsiTheme="minorHAnsi" w:cstheme="minorHAnsi"/>
          <w:b/>
          <w:szCs w:val="24"/>
        </w:rPr>
        <w:lastRenderedPageBreak/>
        <w:t>Table S</w:t>
      </w:r>
      <w:r w:rsidR="007D758D">
        <w:rPr>
          <w:rFonts w:asciiTheme="minorHAnsi" w:hAnsiTheme="minorHAnsi" w:cstheme="minorHAnsi"/>
          <w:b/>
          <w:szCs w:val="24"/>
        </w:rPr>
        <w:t>2</w:t>
      </w:r>
      <w:r w:rsidRPr="00180EF0">
        <w:rPr>
          <w:rFonts w:asciiTheme="minorHAnsi" w:hAnsiTheme="minorHAnsi" w:cstheme="minorHAnsi"/>
          <w:b/>
          <w:szCs w:val="24"/>
        </w:rPr>
        <w:t>. U</w:t>
      </w:r>
      <w:r w:rsidRPr="00180EF0">
        <w:rPr>
          <w:rFonts w:asciiTheme="minorHAnsi" w:hAnsiTheme="minorHAnsi" w:cstheme="minorHAnsi"/>
          <w:b/>
          <w:szCs w:val="24"/>
          <w:lang w:eastAsia="zh-CN"/>
        </w:rPr>
        <w:t>se of subsequent therapies in the CTD and RWD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5199"/>
        <w:gridCol w:w="2150"/>
        <w:gridCol w:w="1999"/>
      </w:tblGrid>
      <w:tr w:rsidR="00092208" w:rsidRPr="00180EF0" w14:paraId="621479E2" w14:textId="77777777" w:rsidTr="00C16D6F">
        <w:trPr>
          <w:trHeight w:val="750"/>
        </w:trPr>
        <w:tc>
          <w:tcPr>
            <w:tcW w:w="2781" w:type="pct"/>
            <w:hideMark/>
          </w:tcPr>
          <w:p w14:paraId="69690C2F" w14:textId="77777777" w:rsidR="00092208" w:rsidRPr="00180EF0" w:rsidRDefault="00092208" w:rsidP="00C16D6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Characteristics</w:t>
            </w:r>
          </w:p>
        </w:tc>
        <w:tc>
          <w:tcPr>
            <w:tcW w:w="1150" w:type="pct"/>
            <w:hideMark/>
          </w:tcPr>
          <w:p w14:paraId="7E0554B1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Clinical Trial Data</w:t>
            </w:r>
            <w:r w:rsidRPr="00180EF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br/>
              <w:t>N = 241</w:t>
            </w:r>
          </w:p>
        </w:tc>
        <w:tc>
          <w:tcPr>
            <w:tcW w:w="1069" w:type="pct"/>
            <w:hideMark/>
          </w:tcPr>
          <w:p w14:paraId="2D8F008A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Real-World Data (Flatiron)</w:t>
            </w:r>
            <w:r w:rsidRPr="00180EF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br/>
              <w:t>N = 816</w:t>
            </w:r>
          </w:p>
        </w:tc>
      </w:tr>
      <w:tr w:rsidR="00092208" w:rsidRPr="00180EF0" w14:paraId="6B4E569C" w14:textId="77777777" w:rsidTr="00C16D6F">
        <w:trPr>
          <w:trHeight w:val="270"/>
        </w:trPr>
        <w:tc>
          <w:tcPr>
            <w:tcW w:w="2781" w:type="pct"/>
          </w:tcPr>
          <w:p w14:paraId="4694C571" w14:textId="77777777" w:rsidR="00092208" w:rsidRPr="00180EF0" w:rsidRDefault="00092208" w:rsidP="00C16D6F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szCs w:val="24"/>
              </w:rPr>
              <w:t>Any subsequent therapy, N (%)</w:t>
            </w:r>
          </w:p>
        </w:tc>
        <w:tc>
          <w:tcPr>
            <w:tcW w:w="1150" w:type="pct"/>
          </w:tcPr>
          <w:p w14:paraId="546760EF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  <w:r w:rsidRPr="00180EF0">
              <w:rPr>
                <w:rFonts w:asciiTheme="minorHAnsi" w:hAnsiTheme="minorHAnsi" w:cstheme="minorHAnsi"/>
              </w:rPr>
              <w:t>64 (26.6)</w:t>
            </w:r>
          </w:p>
        </w:tc>
        <w:tc>
          <w:tcPr>
            <w:tcW w:w="1069" w:type="pct"/>
          </w:tcPr>
          <w:p w14:paraId="1CFE8559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  <w:r w:rsidRPr="00180EF0">
              <w:rPr>
                <w:rFonts w:asciiTheme="minorHAnsi" w:hAnsiTheme="minorHAnsi" w:cstheme="minorHAnsi"/>
              </w:rPr>
              <w:t>378 (46.3)</w:t>
            </w:r>
          </w:p>
        </w:tc>
      </w:tr>
      <w:tr w:rsidR="00092208" w:rsidRPr="00180EF0" w14:paraId="549371D0" w14:textId="77777777" w:rsidTr="00C16D6F">
        <w:trPr>
          <w:trHeight w:val="270"/>
        </w:trPr>
        <w:tc>
          <w:tcPr>
            <w:tcW w:w="2781" w:type="pct"/>
          </w:tcPr>
          <w:p w14:paraId="375D901D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szCs w:val="24"/>
              </w:rPr>
              <w:t>Immunotherapy</w:t>
            </w:r>
          </w:p>
        </w:tc>
        <w:tc>
          <w:tcPr>
            <w:tcW w:w="1150" w:type="pct"/>
          </w:tcPr>
          <w:p w14:paraId="1B6E82AD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  <w:r w:rsidRPr="00180EF0">
              <w:rPr>
                <w:rFonts w:asciiTheme="minorHAnsi" w:hAnsiTheme="minorHAnsi" w:cstheme="minorHAnsi"/>
              </w:rPr>
              <w:t>14 (21.9)</w:t>
            </w:r>
          </w:p>
        </w:tc>
        <w:tc>
          <w:tcPr>
            <w:tcW w:w="1069" w:type="pct"/>
          </w:tcPr>
          <w:p w14:paraId="7997EE07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  <w:r w:rsidRPr="00180EF0">
              <w:rPr>
                <w:rFonts w:asciiTheme="minorHAnsi" w:hAnsiTheme="minorHAnsi" w:cstheme="minorHAnsi"/>
              </w:rPr>
              <w:t>274 (72.5)</w:t>
            </w:r>
          </w:p>
        </w:tc>
      </w:tr>
      <w:tr w:rsidR="00092208" w:rsidRPr="00180EF0" w14:paraId="4F0B1471" w14:textId="77777777" w:rsidTr="00C16D6F">
        <w:trPr>
          <w:trHeight w:val="270"/>
        </w:trPr>
        <w:tc>
          <w:tcPr>
            <w:tcW w:w="2781" w:type="pct"/>
          </w:tcPr>
          <w:p w14:paraId="3782085D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szCs w:val="24"/>
              </w:rPr>
              <w:t xml:space="preserve">    Pembrolizumab</w:t>
            </w:r>
          </w:p>
        </w:tc>
        <w:tc>
          <w:tcPr>
            <w:tcW w:w="1150" w:type="pct"/>
          </w:tcPr>
          <w:p w14:paraId="12879C6C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069" w:type="pct"/>
          </w:tcPr>
          <w:p w14:paraId="77889D65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  <w:r w:rsidRPr="00180EF0">
              <w:rPr>
                <w:rFonts w:asciiTheme="minorHAnsi" w:hAnsiTheme="minorHAnsi" w:cstheme="minorHAnsi"/>
              </w:rPr>
              <w:t>159 (42.1)</w:t>
            </w:r>
          </w:p>
        </w:tc>
      </w:tr>
      <w:tr w:rsidR="00092208" w:rsidRPr="00180EF0" w14:paraId="7A33554E" w14:textId="77777777" w:rsidTr="00C16D6F">
        <w:trPr>
          <w:trHeight w:val="270"/>
        </w:trPr>
        <w:tc>
          <w:tcPr>
            <w:tcW w:w="2781" w:type="pct"/>
          </w:tcPr>
          <w:p w14:paraId="771C0A7D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szCs w:val="24"/>
              </w:rPr>
              <w:t xml:space="preserve">    Nivolumab</w:t>
            </w:r>
          </w:p>
        </w:tc>
        <w:tc>
          <w:tcPr>
            <w:tcW w:w="1150" w:type="pct"/>
          </w:tcPr>
          <w:p w14:paraId="09CB5CA4" w14:textId="77777777" w:rsidR="00092208" w:rsidRPr="00180EF0" w:rsidRDefault="00092208" w:rsidP="00C16D6F">
            <w:pPr>
              <w:jc w:val="center"/>
              <w:rPr>
                <w:rFonts w:asciiTheme="minorHAnsi" w:hAnsiTheme="minorHAnsi" w:cstheme="minorHAnsi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069" w:type="pct"/>
          </w:tcPr>
          <w:p w14:paraId="59ADC389" w14:textId="77777777" w:rsidR="00092208" w:rsidRPr="00180EF0" w:rsidRDefault="00092208" w:rsidP="00C16D6F">
            <w:pPr>
              <w:jc w:val="center"/>
              <w:rPr>
                <w:rFonts w:asciiTheme="minorHAnsi" w:hAnsiTheme="minorHAnsi" w:cstheme="minorHAnsi"/>
              </w:rPr>
            </w:pPr>
            <w:r w:rsidRPr="00180EF0">
              <w:rPr>
                <w:rFonts w:asciiTheme="minorHAnsi" w:hAnsiTheme="minorHAnsi" w:cstheme="minorHAnsi"/>
              </w:rPr>
              <w:t>132 (34.9)</w:t>
            </w:r>
          </w:p>
        </w:tc>
      </w:tr>
      <w:tr w:rsidR="00092208" w:rsidRPr="00180EF0" w14:paraId="5A54EA46" w14:textId="77777777" w:rsidTr="00C16D6F">
        <w:trPr>
          <w:trHeight w:val="270"/>
        </w:trPr>
        <w:tc>
          <w:tcPr>
            <w:tcW w:w="2781" w:type="pct"/>
            <w:hideMark/>
          </w:tcPr>
          <w:p w14:paraId="1E5C78D0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szCs w:val="24"/>
              </w:rPr>
              <w:t xml:space="preserve">    Ipilimumab</w:t>
            </w:r>
          </w:p>
        </w:tc>
        <w:tc>
          <w:tcPr>
            <w:tcW w:w="1150" w:type="pct"/>
            <w:hideMark/>
          </w:tcPr>
          <w:p w14:paraId="5C93978E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 (1.6)</w:t>
            </w:r>
          </w:p>
        </w:tc>
        <w:tc>
          <w:tcPr>
            <w:tcW w:w="1069" w:type="pct"/>
            <w:hideMark/>
          </w:tcPr>
          <w:p w14:paraId="252A142E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58 (15.3)</w:t>
            </w:r>
          </w:p>
        </w:tc>
      </w:tr>
      <w:tr w:rsidR="00092208" w:rsidRPr="00180EF0" w14:paraId="00518B43" w14:textId="77777777" w:rsidTr="00C16D6F">
        <w:trPr>
          <w:trHeight w:val="270"/>
        </w:trPr>
        <w:tc>
          <w:tcPr>
            <w:tcW w:w="2781" w:type="pct"/>
            <w:hideMark/>
          </w:tcPr>
          <w:p w14:paraId="06AC56CD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szCs w:val="24"/>
              </w:rPr>
              <w:t xml:space="preserve">    Other </w:t>
            </w:r>
            <w:proofErr w:type="spellStart"/>
            <w:r w:rsidRPr="00180EF0">
              <w:rPr>
                <w:rFonts w:asciiTheme="minorHAnsi" w:eastAsia="Times New Roman" w:hAnsiTheme="minorHAnsi" w:cstheme="minorHAnsi"/>
                <w:szCs w:val="24"/>
              </w:rPr>
              <w:t>immunotherapy</w:t>
            </w:r>
            <w:r w:rsidRPr="00180EF0">
              <w:rPr>
                <w:rFonts w:asciiTheme="minorHAnsi" w:eastAsia="Times New Roman" w:hAnsiTheme="minorHAnsi" w:cstheme="minorHAnsi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50" w:type="pct"/>
            <w:hideMark/>
          </w:tcPr>
          <w:p w14:paraId="1C8AA202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13 (20.3)</w:t>
            </w:r>
          </w:p>
        </w:tc>
        <w:tc>
          <w:tcPr>
            <w:tcW w:w="1069" w:type="pct"/>
            <w:hideMark/>
          </w:tcPr>
          <w:p w14:paraId="0D75EEA9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5 (1.3)</w:t>
            </w:r>
          </w:p>
        </w:tc>
      </w:tr>
      <w:tr w:rsidR="00092208" w:rsidRPr="00180EF0" w14:paraId="1A4267C7" w14:textId="77777777" w:rsidTr="00C16D6F">
        <w:trPr>
          <w:trHeight w:val="270"/>
        </w:trPr>
        <w:tc>
          <w:tcPr>
            <w:tcW w:w="2781" w:type="pct"/>
            <w:hideMark/>
          </w:tcPr>
          <w:p w14:paraId="53582FDA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szCs w:val="24"/>
              </w:rPr>
              <w:t>Other therapies</w:t>
            </w:r>
          </w:p>
        </w:tc>
        <w:tc>
          <w:tcPr>
            <w:tcW w:w="1150" w:type="pct"/>
            <w:hideMark/>
          </w:tcPr>
          <w:p w14:paraId="7930A5F8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50 (78.1)</w:t>
            </w:r>
          </w:p>
        </w:tc>
        <w:tc>
          <w:tcPr>
            <w:tcW w:w="1069" w:type="pct"/>
            <w:hideMark/>
          </w:tcPr>
          <w:p w14:paraId="5A5C1946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104 (27.5)</w:t>
            </w:r>
          </w:p>
        </w:tc>
      </w:tr>
      <w:tr w:rsidR="00092208" w:rsidRPr="00180EF0" w14:paraId="5F8C075A" w14:textId="77777777" w:rsidTr="00C16D6F">
        <w:trPr>
          <w:trHeight w:val="270"/>
        </w:trPr>
        <w:tc>
          <w:tcPr>
            <w:tcW w:w="2781" w:type="pct"/>
          </w:tcPr>
          <w:p w14:paraId="0093EC81" w14:textId="77777777" w:rsidR="00092208" w:rsidRPr="00180EF0" w:rsidRDefault="00092208" w:rsidP="00C16D6F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    Dabrafenib</w:t>
            </w:r>
          </w:p>
        </w:tc>
        <w:tc>
          <w:tcPr>
            <w:tcW w:w="1150" w:type="pct"/>
          </w:tcPr>
          <w:p w14:paraId="45E4AE9C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069" w:type="pct"/>
          </w:tcPr>
          <w:p w14:paraId="710B74C8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76 (20.1)</w:t>
            </w:r>
          </w:p>
        </w:tc>
      </w:tr>
      <w:tr w:rsidR="00092208" w:rsidRPr="00180EF0" w14:paraId="3C82EF7B" w14:textId="77777777" w:rsidTr="00C16D6F">
        <w:trPr>
          <w:trHeight w:val="270"/>
        </w:trPr>
        <w:tc>
          <w:tcPr>
            <w:tcW w:w="2781" w:type="pct"/>
          </w:tcPr>
          <w:p w14:paraId="1A02FAB6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Trametinib</w:t>
            </w:r>
          </w:p>
        </w:tc>
        <w:tc>
          <w:tcPr>
            <w:tcW w:w="1150" w:type="pct"/>
          </w:tcPr>
          <w:p w14:paraId="7F58EAFC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069" w:type="pct"/>
          </w:tcPr>
          <w:p w14:paraId="113BC1B5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74 (19.6)</w:t>
            </w:r>
          </w:p>
        </w:tc>
      </w:tr>
      <w:tr w:rsidR="00092208" w:rsidRPr="00180EF0" w14:paraId="2079C22E" w14:textId="77777777" w:rsidTr="00C16D6F">
        <w:trPr>
          <w:trHeight w:val="270"/>
        </w:trPr>
        <w:tc>
          <w:tcPr>
            <w:tcW w:w="2781" w:type="pct"/>
          </w:tcPr>
          <w:p w14:paraId="062A1A67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Temozolomide</w:t>
            </w:r>
          </w:p>
        </w:tc>
        <w:tc>
          <w:tcPr>
            <w:tcW w:w="1150" w:type="pct"/>
          </w:tcPr>
          <w:p w14:paraId="1843974B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14 (21.9)</w:t>
            </w:r>
          </w:p>
        </w:tc>
        <w:tc>
          <w:tcPr>
            <w:tcW w:w="1069" w:type="pct"/>
          </w:tcPr>
          <w:p w14:paraId="740FE2B9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46 (12.2)</w:t>
            </w:r>
          </w:p>
        </w:tc>
      </w:tr>
      <w:tr w:rsidR="00092208" w:rsidRPr="00180EF0" w14:paraId="3043F7D5" w14:textId="77777777" w:rsidTr="00C16D6F">
        <w:trPr>
          <w:trHeight w:val="270"/>
        </w:trPr>
        <w:tc>
          <w:tcPr>
            <w:tcW w:w="2781" w:type="pct"/>
          </w:tcPr>
          <w:p w14:paraId="7A1B12A2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Vemurafenib</w:t>
            </w:r>
          </w:p>
        </w:tc>
        <w:tc>
          <w:tcPr>
            <w:tcW w:w="1150" w:type="pct"/>
          </w:tcPr>
          <w:p w14:paraId="7BA6CC54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069" w:type="pct"/>
          </w:tcPr>
          <w:p w14:paraId="48F9BFE8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37 (9.8)</w:t>
            </w:r>
          </w:p>
        </w:tc>
      </w:tr>
      <w:tr w:rsidR="00092208" w:rsidRPr="00180EF0" w14:paraId="49C46040" w14:textId="77777777" w:rsidTr="00C16D6F">
        <w:trPr>
          <w:trHeight w:val="270"/>
        </w:trPr>
        <w:tc>
          <w:tcPr>
            <w:tcW w:w="2781" w:type="pct"/>
          </w:tcPr>
          <w:p w14:paraId="3A8763F8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Paclitaxel</w:t>
            </w:r>
          </w:p>
        </w:tc>
        <w:tc>
          <w:tcPr>
            <w:tcW w:w="1150" w:type="pct"/>
          </w:tcPr>
          <w:p w14:paraId="771306C5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11 (17.2)</w:t>
            </w:r>
          </w:p>
        </w:tc>
        <w:tc>
          <w:tcPr>
            <w:tcW w:w="1069" w:type="pct"/>
          </w:tcPr>
          <w:p w14:paraId="2FF7A010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32 (8.5)</w:t>
            </w:r>
          </w:p>
        </w:tc>
      </w:tr>
      <w:tr w:rsidR="00092208" w:rsidRPr="00180EF0" w14:paraId="018951FE" w14:textId="77777777" w:rsidTr="00C16D6F">
        <w:trPr>
          <w:trHeight w:val="270"/>
        </w:trPr>
        <w:tc>
          <w:tcPr>
            <w:tcW w:w="2781" w:type="pct"/>
          </w:tcPr>
          <w:p w14:paraId="0DAD5A4F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Carboplatin</w:t>
            </w:r>
          </w:p>
        </w:tc>
        <w:tc>
          <w:tcPr>
            <w:tcW w:w="1150" w:type="pct"/>
          </w:tcPr>
          <w:p w14:paraId="4E6E411F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14 (21.9)</w:t>
            </w:r>
          </w:p>
        </w:tc>
        <w:tc>
          <w:tcPr>
            <w:tcW w:w="1069" w:type="pct"/>
          </w:tcPr>
          <w:p w14:paraId="76C5137B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24 (6.3)</w:t>
            </w:r>
          </w:p>
        </w:tc>
      </w:tr>
      <w:tr w:rsidR="00092208" w:rsidRPr="00180EF0" w14:paraId="453B8F2F" w14:textId="77777777" w:rsidTr="00C16D6F">
        <w:trPr>
          <w:trHeight w:val="270"/>
        </w:trPr>
        <w:tc>
          <w:tcPr>
            <w:tcW w:w="2781" w:type="pct"/>
          </w:tcPr>
          <w:p w14:paraId="0C1B3DF1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Dacarbazine</w:t>
            </w:r>
          </w:p>
        </w:tc>
        <w:tc>
          <w:tcPr>
            <w:tcW w:w="1150" w:type="pct"/>
          </w:tcPr>
          <w:p w14:paraId="0C23F0AA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3 (4.7)</w:t>
            </w:r>
          </w:p>
        </w:tc>
        <w:tc>
          <w:tcPr>
            <w:tcW w:w="1069" w:type="pct"/>
          </w:tcPr>
          <w:p w14:paraId="59D46BE1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16 (4.2)</w:t>
            </w:r>
          </w:p>
        </w:tc>
      </w:tr>
      <w:tr w:rsidR="00092208" w:rsidRPr="00180EF0" w14:paraId="1EA845D0" w14:textId="77777777" w:rsidTr="00C16D6F">
        <w:trPr>
          <w:trHeight w:val="270"/>
        </w:trPr>
        <w:tc>
          <w:tcPr>
            <w:tcW w:w="2781" w:type="pct"/>
          </w:tcPr>
          <w:p w14:paraId="18F0EA93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180EF0">
              <w:rPr>
                <w:rFonts w:asciiTheme="minorHAnsi" w:hAnsiTheme="minorHAnsi" w:cstheme="minorHAnsi"/>
              </w:rPr>
              <w:t>Cobimetinib</w:t>
            </w:r>
            <w:proofErr w:type="spellEnd"/>
          </w:p>
        </w:tc>
        <w:tc>
          <w:tcPr>
            <w:tcW w:w="1150" w:type="pct"/>
          </w:tcPr>
          <w:p w14:paraId="6D63BD7A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069" w:type="pct"/>
          </w:tcPr>
          <w:p w14:paraId="2668D461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12 (3.2)</w:t>
            </w:r>
          </w:p>
        </w:tc>
      </w:tr>
      <w:tr w:rsidR="00092208" w:rsidRPr="00180EF0" w14:paraId="36D3FA31" w14:textId="77777777" w:rsidTr="00C16D6F">
        <w:trPr>
          <w:trHeight w:val="270"/>
        </w:trPr>
        <w:tc>
          <w:tcPr>
            <w:tcW w:w="2781" w:type="pct"/>
          </w:tcPr>
          <w:p w14:paraId="388AF55C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Bevacizumab</w:t>
            </w:r>
          </w:p>
        </w:tc>
        <w:tc>
          <w:tcPr>
            <w:tcW w:w="1150" w:type="pct"/>
          </w:tcPr>
          <w:p w14:paraId="45F3981F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3 (4.7)</w:t>
            </w:r>
          </w:p>
        </w:tc>
        <w:tc>
          <w:tcPr>
            <w:tcW w:w="1069" w:type="pct"/>
          </w:tcPr>
          <w:p w14:paraId="2D1FC4F7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9 (2.4)</w:t>
            </w:r>
          </w:p>
        </w:tc>
      </w:tr>
      <w:tr w:rsidR="00092208" w:rsidRPr="00180EF0" w14:paraId="4DC4C9A3" w14:textId="77777777" w:rsidTr="00C16D6F">
        <w:trPr>
          <w:trHeight w:val="270"/>
        </w:trPr>
        <w:tc>
          <w:tcPr>
            <w:tcW w:w="2781" w:type="pct"/>
          </w:tcPr>
          <w:p w14:paraId="7D32080F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Fluorouracil</w:t>
            </w:r>
          </w:p>
        </w:tc>
        <w:tc>
          <w:tcPr>
            <w:tcW w:w="1150" w:type="pct"/>
          </w:tcPr>
          <w:p w14:paraId="036C14A0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069" w:type="pct"/>
          </w:tcPr>
          <w:p w14:paraId="645FE443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5 (1.3)</w:t>
            </w:r>
          </w:p>
        </w:tc>
      </w:tr>
      <w:tr w:rsidR="00092208" w:rsidRPr="00180EF0" w14:paraId="392D333B" w14:textId="77777777" w:rsidTr="00C16D6F">
        <w:trPr>
          <w:trHeight w:val="270"/>
        </w:trPr>
        <w:tc>
          <w:tcPr>
            <w:tcW w:w="2781" w:type="pct"/>
          </w:tcPr>
          <w:p w14:paraId="11785041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Cisplatin</w:t>
            </w:r>
          </w:p>
        </w:tc>
        <w:tc>
          <w:tcPr>
            <w:tcW w:w="1150" w:type="pct"/>
          </w:tcPr>
          <w:p w14:paraId="4FAB7F84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9 (14.1)</w:t>
            </w:r>
          </w:p>
        </w:tc>
        <w:tc>
          <w:tcPr>
            <w:tcW w:w="1069" w:type="pct"/>
          </w:tcPr>
          <w:p w14:paraId="0147C3BF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1 (0.3)</w:t>
            </w:r>
          </w:p>
        </w:tc>
      </w:tr>
      <w:tr w:rsidR="00092208" w:rsidRPr="00180EF0" w14:paraId="00C9D9AC" w14:textId="77777777" w:rsidTr="00C16D6F">
        <w:trPr>
          <w:trHeight w:val="270"/>
        </w:trPr>
        <w:tc>
          <w:tcPr>
            <w:tcW w:w="2781" w:type="pct"/>
          </w:tcPr>
          <w:p w14:paraId="161324CC" w14:textId="77777777" w:rsidR="00092208" w:rsidRPr="00180EF0" w:rsidRDefault="00092208" w:rsidP="00C16D6F">
            <w:pPr>
              <w:ind w:firstLineChars="100" w:firstLine="240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180EF0">
              <w:rPr>
                <w:rFonts w:asciiTheme="minorHAnsi" w:hAnsiTheme="minorHAnsi" w:cstheme="minorHAnsi"/>
              </w:rPr>
              <w:t>Fotemustine</w:t>
            </w:r>
            <w:proofErr w:type="spellEnd"/>
          </w:p>
        </w:tc>
        <w:tc>
          <w:tcPr>
            <w:tcW w:w="1150" w:type="pct"/>
          </w:tcPr>
          <w:p w14:paraId="77775430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9 (14.1)</w:t>
            </w:r>
          </w:p>
        </w:tc>
        <w:tc>
          <w:tcPr>
            <w:tcW w:w="1069" w:type="pct"/>
          </w:tcPr>
          <w:p w14:paraId="37E5AA7A" w14:textId="77777777" w:rsidR="00092208" w:rsidRPr="00180EF0" w:rsidRDefault="00092208" w:rsidP="00C16D6F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180EF0">
              <w:rPr>
                <w:rFonts w:asciiTheme="minorHAnsi" w:hAnsiTheme="minorHAnsi" w:cstheme="minorHAnsi"/>
              </w:rPr>
              <w:t>0 (0.0)</w:t>
            </w:r>
          </w:p>
        </w:tc>
      </w:tr>
    </w:tbl>
    <w:p w14:paraId="5AB05CAC" w14:textId="77777777" w:rsidR="00092208" w:rsidRPr="00180EF0" w:rsidRDefault="00092208" w:rsidP="00092208">
      <w:pPr>
        <w:spacing w:line="240" w:lineRule="auto"/>
        <w:rPr>
          <w:rFonts w:asciiTheme="minorHAnsi" w:hAnsiTheme="minorHAnsi" w:cstheme="minorHAnsi"/>
          <w:szCs w:val="24"/>
        </w:rPr>
      </w:pPr>
      <w:r w:rsidRPr="00180EF0">
        <w:rPr>
          <w:rFonts w:asciiTheme="minorHAnsi" w:hAnsiTheme="minorHAnsi" w:cstheme="minorHAnsi"/>
          <w:szCs w:val="24"/>
        </w:rPr>
        <w:t>Abbreviations: CTD, clinical trial data; RWD, real-world data</w:t>
      </w:r>
    </w:p>
    <w:p w14:paraId="3AE00D60" w14:textId="77777777" w:rsidR="00092208" w:rsidRPr="00180EF0" w:rsidRDefault="00092208" w:rsidP="00092208">
      <w:pPr>
        <w:spacing w:line="240" w:lineRule="auto"/>
        <w:rPr>
          <w:rFonts w:asciiTheme="minorHAnsi" w:hAnsiTheme="minorHAnsi" w:cstheme="minorHAnsi"/>
          <w:szCs w:val="24"/>
        </w:rPr>
      </w:pPr>
      <w:r w:rsidRPr="00180EF0">
        <w:rPr>
          <w:rFonts w:asciiTheme="minorHAnsi" w:hAnsiTheme="minorHAnsi" w:cstheme="minorHAnsi"/>
          <w:szCs w:val="24"/>
        </w:rPr>
        <w:t>Note:</w:t>
      </w:r>
    </w:p>
    <w:p w14:paraId="406DE77A" w14:textId="77777777" w:rsidR="00092208" w:rsidRPr="00180EF0" w:rsidRDefault="00092208" w:rsidP="00092208">
      <w:pPr>
        <w:spacing w:line="240" w:lineRule="auto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180EF0">
        <w:rPr>
          <w:rFonts w:asciiTheme="minorHAnsi" w:hAnsiTheme="minorHAnsi" w:cstheme="minorHAnsi"/>
          <w:szCs w:val="24"/>
          <w:vertAlign w:val="superscript"/>
        </w:rPr>
        <w:t>a</w:t>
      </w:r>
      <w:proofErr w:type="spellEnd"/>
      <w:proofErr w:type="gramEnd"/>
      <w:r w:rsidRPr="00180EF0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180EF0">
        <w:rPr>
          <w:rFonts w:asciiTheme="minorHAnsi" w:hAnsiTheme="minorHAnsi" w:cstheme="minorHAnsi"/>
          <w:szCs w:val="24"/>
        </w:rPr>
        <w:t xml:space="preserve">Other immunotherapy included monotherapy or combination therapies including any of the following treatments: anti-CTLA4 antibody, durvalumab, interferon, interleukin, investigational immunotherapy, </w:t>
      </w:r>
      <w:proofErr w:type="spellStart"/>
      <w:r w:rsidRPr="00180EF0">
        <w:rPr>
          <w:rFonts w:asciiTheme="minorHAnsi" w:hAnsiTheme="minorHAnsi" w:cstheme="minorHAnsi"/>
          <w:szCs w:val="24"/>
        </w:rPr>
        <w:t>leukine</w:t>
      </w:r>
      <w:proofErr w:type="spellEnd"/>
      <w:r w:rsidRPr="00180EF0">
        <w:rPr>
          <w:rFonts w:asciiTheme="minorHAnsi" w:hAnsiTheme="minorHAnsi" w:cstheme="minorHAnsi"/>
          <w:szCs w:val="24"/>
        </w:rPr>
        <w:t>, and T-VEC.</w:t>
      </w:r>
    </w:p>
    <w:p w14:paraId="535617B9" w14:textId="77777777" w:rsidR="00092208" w:rsidRPr="00180EF0" w:rsidRDefault="00092208" w:rsidP="00092208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14:paraId="28D8FD55" w14:textId="77777777" w:rsidR="00092208" w:rsidRPr="00180EF0" w:rsidRDefault="00092208" w:rsidP="00092208">
      <w:pPr>
        <w:rPr>
          <w:rFonts w:asciiTheme="minorHAnsi" w:hAnsiTheme="minorHAnsi" w:cstheme="minorHAnsi"/>
          <w:b/>
          <w:szCs w:val="24"/>
        </w:rPr>
      </w:pPr>
      <w:r w:rsidRPr="00180EF0">
        <w:rPr>
          <w:rFonts w:asciiTheme="minorHAnsi" w:hAnsiTheme="minorHAnsi" w:cstheme="minorHAnsi"/>
          <w:b/>
          <w:szCs w:val="24"/>
        </w:rPr>
        <w:br w:type="page"/>
      </w:r>
    </w:p>
    <w:p w14:paraId="277B79A7" w14:textId="233F7751" w:rsidR="00092208" w:rsidRPr="00180EF0" w:rsidRDefault="00092208" w:rsidP="00092208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180EF0">
        <w:rPr>
          <w:rFonts w:asciiTheme="minorHAnsi" w:hAnsiTheme="minorHAnsi" w:cstheme="minorHAnsi"/>
          <w:b/>
          <w:szCs w:val="24"/>
        </w:rPr>
        <w:lastRenderedPageBreak/>
        <w:t>Table S</w:t>
      </w:r>
      <w:r w:rsidR="007D758D">
        <w:rPr>
          <w:rFonts w:asciiTheme="minorHAnsi" w:hAnsiTheme="minorHAnsi" w:cstheme="minorHAnsi"/>
          <w:b/>
          <w:szCs w:val="24"/>
        </w:rPr>
        <w:t>3</w:t>
      </w:r>
      <w:r w:rsidRPr="00180EF0">
        <w:rPr>
          <w:rFonts w:asciiTheme="minorHAnsi" w:hAnsiTheme="minorHAnsi" w:cstheme="minorHAnsi"/>
          <w:b/>
          <w:szCs w:val="24"/>
        </w:rPr>
        <w:t>.  Multivariable Cox Proportional Hazards model for overall survival in the RWD</w:t>
      </w:r>
    </w:p>
    <w:tbl>
      <w:tblPr>
        <w:tblW w:w="3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046"/>
        <w:gridCol w:w="2968"/>
      </w:tblGrid>
      <w:tr w:rsidR="00092208" w:rsidRPr="00180EF0" w14:paraId="70E119C4" w14:textId="77777777" w:rsidTr="00C16D6F">
        <w:trPr>
          <w:trHeight w:val="345"/>
        </w:trPr>
        <w:tc>
          <w:tcPr>
            <w:tcW w:w="2884" w:type="pct"/>
            <w:shd w:val="clear" w:color="auto" w:fill="auto"/>
            <w:hideMark/>
          </w:tcPr>
          <w:p w14:paraId="46F6B1FE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Baseline Characteristics</w:t>
            </w:r>
          </w:p>
        </w:tc>
        <w:tc>
          <w:tcPr>
            <w:tcW w:w="2116" w:type="pct"/>
            <w:shd w:val="clear" w:color="auto" w:fill="auto"/>
          </w:tcPr>
          <w:p w14:paraId="01172B34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Hazard Ratio (95% CI) </w:t>
            </w: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</w:tr>
      <w:tr w:rsidR="00092208" w:rsidRPr="00180EF0" w14:paraId="6969E0C9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06A67708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Age (years)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3B313277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1.01 (1.00, 1.02)*</w:t>
            </w:r>
          </w:p>
        </w:tc>
      </w:tr>
      <w:tr w:rsidR="00092208" w:rsidRPr="00180EF0" w14:paraId="2C5ECDD7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1DE16BE5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Male vs. female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6BF4E0BE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1.12 (0.92, 1.35)</w:t>
            </w:r>
          </w:p>
        </w:tc>
      </w:tr>
      <w:tr w:rsidR="00092208" w:rsidRPr="00180EF0" w14:paraId="098194CF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4C0B6B79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White vs. </w:t>
            </w:r>
            <w:proofErr w:type="gramStart"/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other</w:t>
            </w:r>
            <w:proofErr w:type="gramEnd"/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race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6D26EDE6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0.99 (0.68, 1.45)</w:t>
            </w:r>
          </w:p>
        </w:tc>
      </w:tr>
      <w:tr w:rsidR="00092208" w:rsidRPr="00180EF0" w14:paraId="4711F43B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4B366D3D" w14:textId="77777777" w:rsidR="00092208" w:rsidRPr="00180EF0" w:rsidRDefault="00092208" w:rsidP="00C16D6F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Race missing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0209A52A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1.10 (0.64, 1.89)</w:t>
            </w:r>
          </w:p>
        </w:tc>
      </w:tr>
      <w:tr w:rsidR="00092208" w:rsidRPr="00180EF0" w14:paraId="6E1B0EBC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16D34937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Disease stage III vs. IV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42AC7BED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0.54 (0.41, 0.70)*</w:t>
            </w:r>
          </w:p>
        </w:tc>
      </w:tr>
      <w:tr w:rsidR="00092208" w:rsidRPr="00180EF0" w14:paraId="57CD40E5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1F1121C2" w14:textId="77777777" w:rsidR="00092208" w:rsidRPr="00180EF0" w:rsidRDefault="00092208" w:rsidP="00C16D6F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Disease stage missing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6F48D2D6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0.75 (0.61, 0.92)*</w:t>
            </w:r>
          </w:p>
        </w:tc>
      </w:tr>
      <w:tr w:rsidR="00092208" w:rsidRPr="00180EF0" w14:paraId="536AD20F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783F736B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ECOG performance status of 0 vs. 1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353BD518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0.79 (0.60, 1.04)</w:t>
            </w:r>
          </w:p>
        </w:tc>
      </w:tr>
      <w:tr w:rsidR="00092208" w:rsidRPr="00180EF0" w14:paraId="3D71D157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44096935" w14:textId="77777777" w:rsidR="00092208" w:rsidRPr="00180EF0" w:rsidRDefault="00092208" w:rsidP="00C16D6F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ECOG performance status missing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3815F557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0.94 (0.74, 1.18)</w:t>
            </w:r>
          </w:p>
        </w:tc>
      </w:tr>
      <w:tr w:rsidR="00092208" w:rsidRPr="00180EF0" w14:paraId="5CD1DE1F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5278BC10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BMI ≤ 25 vs. &gt; 25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7CD39A42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1.37 (1.13, 1.67)*</w:t>
            </w:r>
          </w:p>
        </w:tc>
      </w:tr>
      <w:tr w:rsidR="00092208" w:rsidRPr="00180EF0" w14:paraId="1163F9E3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7A4326BF" w14:textId="77777777" w:rsidR="00092208" w:rsidRPr="00180EF0" w:rsidRDefault="00092208" w:rsidP="00C16D6F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BMI missing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7D326545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1.00 (0.70, 1.43)</w:t>
            </w:r>
          </w:p>
        </w:tc>
      </w:tr>
      <w:tr w:rsidR="00092208" w:rsidRPr="00180EF0" w14:paraId="55808FE8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437629A5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LDH ≤ ULN vs. &gt; ULN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272870EA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0.54 (0.44, 0.68)*</w:t>
            </w:r>
          </w:p>
        </w:tc>
      </w:tr>
      <w:tr w:rsidR="00092208" w:rsidRPr="00180EF0" w14:paraId="65FF0C3C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401D9B63" w14:textId="77777777" w:rsidR="00092208" w:rsidRPr="00180EF0" w:rsidRDefault="00092208" w:rsidP="00C16D6F">
            <w:pPr>
              <w:spacing w:after="0" w:line="240" w:lineRule="auto"/>
              <w:ind w:firstLine="24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LDH missing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4ADEF237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0.60 (0.48, 0.76)*</w:t>
            </w:r>
          </w:p>
        </w:tc>
      </w:tr>
      <w:tr w:rsidR="00092208" w:rsidRPr="00180EF0" w14:paraId="3019E0E3" w14:textId="77777777" w:rsidTr="00C16D6F">
        <w:trPr>
          <w:trHeight w:val="555"/>
        </w:trPr>
        <w:tc>
          <w:tcPr>
            <w:tcW w:w="2884" w:type="pct"/>
            <w:shd w:val="clear" w:color="auto" w:fill="auto"/>
            <w:vAlign w:val="center"/>
            <w:hideMark/>
          </w:tcPr>
          <w:p w14:paraId="048534FD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Time from advanced diagnosis to ipilimumab initiation (months)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054E8390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1.00 (0.99, 1.01)</w:t>
            </w:r>
          </w:p>
        </w:tc>
      </w:tr>
      <w:tr w:rsidR="00092208" w:rsidRPr="00180EF0" w14:paraId="71932B4C" w14:textId="77777777" w:rsidTr="00C16D6F">
        <w:trPr>
          <w:trHeight w:val="390"/>
        </w:trPr>
        <w:tc>
          <w:tcPr>
            <w:tcW w:w="2884" w:type="pct"/>
            <w:shd w:val="clear" w:color="auto" w:fill="auto"/>
            <w:vAlign w:val="center"/>
            <w:hideMark/>
          </w:tcPr>
          <w:p w14:paraId="6BD5396E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Received ≤ 1 prior systemic therapy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6E093069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0.85 (0.58, 1.25)</w:t>
            </w:r>
          </w:p>
        </w:tc>
      </w:tr>
      <w:tr w:rsidR="00092208" w:rsidRPr="00180EF0" w14:paraId="022A8844" w14:textId="77777777" w:rsidTr="00C16D6F">
        <w:trPr>
          <w:trHeight w:val="345"/>
        </w:trPr>
        <w:tc>
          <w:tcPr>
            <w:tcW w:w="2884" w:type="pct"/>
            <w:shd w:val="clear" w:color="auto" w:fill="auto"/>
            <w:vAlign w:val="center"/>
            <w:hideMark/>
          </w:tcPr>
          <w:p w14:paraId="35F0E5E4" w14:textId="77777777" w:rsidR="00092208" w:rsidRPr="00180EF0" w:rsidRDefault="00092208" w:rsidP="00C16D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Received prior immunotherapy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14:paraId="75B0293A" w14:textId="77777777" w:rsidR="00092208" w:rsidRPr="00180EF0" w:rsidRDefault="00092208" w:rsidP="00C16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80EF0">
              <w:rPr>
                <w:rFonts w:asciiTheme="minorHAnsi" w:eastAsia="Times New Roman" w:hAnsiTheme="minorHAnsi" w:cstheme="minorHAnsi"/>
                <w:color w:val="000000"/>
                <w:szCs w:val="24"/>
              </w:rPr>
              <w:t>1.09 (0.78, 1.52)</w:t>
            </w:r>
          </w:p>
        </w:tc>
      </w:tr>
    </w:tbl>
    <w:p w14:paraId="34BA4549" w14:textId="77777777" w:rsidR="00092208" w:rsidRPr="00180EF0" w:rsidRDefault="00092208" w:rsidP="00092208">
      <w:pPr>
        <w:spacing w:line="240" w:lineRule="auto"/>
        <w:rPr>
          <w:rFonts w:asciiTheme="minorHAnsi" w:hAnsiTheme="minorHAnsi" w:cstheme="minorHAnsi"/>
          <w:szCs w:val="24"/>
        </w:rPr>
      </w:pPr>
      <w:r w:rsidRPr="00180EF0">
        <w:rPr>
          <w:rFonts w:asciiTheme="minorHAnsi" w:hAnsiTheme="minorHAnsi" w:cstheme="minorHAnsi"/>
          <w:szCs w:val="24"/>
        </w:rPr>
        <w:t>*p-value &lt; 0.05</w:t>
      </w:r>
    </w:p>
    <w:p w14:paraId="6900DE48" w14:textId="77777777" w:rsidR="00092208" w:rsidRPr="00180EF0" w:rsidRDefault="00092208" w:rsidP="00092208">
      <w:pPr>
        <w:tabs>
          <w:tab w:val="left" w:pos="3057"/>
        </w:tabs>
        <w:rPr>
          <w:rFonts w:asciiTheme="minorHAnsi" w:hAnsiTheme="minorHAnsi" w:cstheme="minorHAnsi"/>
          <w:szCs w:val="24"/>
        </w:rPr>
      </w:pPr>
      <w:r w:rsidRPr="00180EF0">
        <w:rPr>
          <w:rFonts w:asciiTheme="minorHAnsi" w:hAnsiTheme="minorHAnsi" w:cstheme="minorHAnsi"/>
          <w:szCs w:val="24"/>
        </w:rPr>
        <w:t>Abbreviations: BMI, body mass index; CI, confidence interval; ECOG, Eastern Cooperative Oncology Group; LDH, lactate dehydrogenase; RWD, real-world data; ULN, upper limit of normal.</w:t>
      </w:r>
    </w:p>
    <w:p w14:paraId="615C5C0D" w14:textId="77777777" w:rsidR="00EB130E" w:rsidRDefault="00B12956"/>
    <w:sectPr w:rsidR="00EB130E" w:rsidSect="00E7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08"/>
    <w:rsid w:val="00092208"/>
    <w:rsid w:val="00180EF0"/>
    <w:rsid w:val="00400BD4"/>
    <w:rsid w:val="00417C3B"/>
    <w:rsid w:val="00457254"/>
    <w:rsid w:val="005146EB"/>
    <w:rsid w:val="006B4CE6"/>
    <w:rsid w:val="007D758D"/>
    <w:rsid w:val="00920381"/>
    <w:rsid w:val="00B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98BC"/>
  <w15:chartTrackingRefBased/>
  <w15:docId w15:val="{5C0EAF63-816E-4305-B591-FF0A937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0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Batts, Shelley</dc:creator>
  <cp:keywords/>
  <dc:description/>
  <cp:lastModifiedBy>Johanna Todd</cp:lastModifiedBy>
  <cp:revision>2</cp:revision>
  <dcterms:created xsi:type="dcterms:W3CDTF">2021-12-21T10:27:00Z</dcterms:created>
  <dcterms:modified xsi:type="dcterms:W3CDTF">2021-12-21T10:27:00Z</dcterms:modified>
</cp:coreProperties>
</file>