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12C0" w14:textId="765C259F" w:rsidR="00481DD6" w:rsidRDefault="000E4B61">
      <w:r>
        <w:t xml:space="preserve">Appendix </w:t>
      </w:r>
      <w:r w:rsidR="00254084">
        <w:t>3</w:t>
      </w:r>
      <w:r>
        <w:t xml:space="preserve">: </w:t>
      </w:r>
    </w:p>
    <w:p w14:paraId="73269C19" w14:textId="77777777" w:rsidR="00ED2971" w:rsidRDefault="00481DD6">
      <w:r>
        <w:t xml:space="preserve">This </w:t>
      </w:r>
      <w:r w:rsidR="00980962">
        <w:t>appendix</w:t>
      </w:r>
      <w:r>
        <w:t xml:space="preserve"> presents the results of mixed logit models for pooled data and </w:t>
      </w:r>
      <w:r w:rsidR="009828CB">
        <w:t>individual</w:t>
      </w:r>
      <w:r>
        <w:t xml:space="preserve"> countries. </w:t>
      </w:r>
    </w:p>
    <w:p w14:paraId="030F9CAD" w14:textId="602211FF" w:rsidR="009F2BEF" w:rsidRDefault="00ED2971" w:rsidP="009F2BEF">
      <w:r>
        <w:t xml:space="preserve">Two models were fitted </w:t>
      </w:r>
      <w:r w:rsidR="009F2BEF">
        <w:t xml:space="preserve">to </w:t>
      </w:r>
      <w:r>
        <w:t>the pooled data. In the first model (Model A, table 1) the alternative specific constant</w:t>
      </w:r>
      <w:r w:rsidR="009F2BEF">
        <w:t xml:space="preserve"> (ASC)</w:t>
      </w:r>
      <w:r>
        <w:t xml:space="preserve"> (1= for either Treatment and 0=No treatment) was specified to be random, to allow for </w:t>
      </w:r>
      <w:proofErr w:type="gramStart"/>
      <w:r>
        <w:t>unobserved  heterogeneity</w:t>
      </w:r>
      <w:proofErr w:type="gramEnd"/>
      <w:r>
        <w:t xml:space="preserve"> in preferences for treatment compared with “no treatment”.  </w:t>
      </w:r>
      <w:r w:rsidR="009F2BEF">
        <w:t xml:space="preserve">The second model (Model B, table 1) allowed for observed heterogeneity between countries by including country specific dummies interacted with the ASC. </w:t>
      </w:r>
    </w:p>
    <w:p w14:paraId="0579B14C" w14:textId="5E85E23B" w:rsidR="00816476" w:rsidRDefault="00816476">
      <w:r>
        <w:t xml:space="preserve">In addition, models were fitted to </w:t>
      </w:r>
      <w:r w:rsidR="001F60AE">
        <w:t>the</w:t>
      </w:r>
      <w:r>
        <w:t xml:space="preserve"> data</w:t>
      </w:r>
      <w:r w:rsidR="001F60AE">
        <w:t xml:space="preserve"> of individual countries</w:t>
      </w:r>
      <w:r>
        <w:t xml:space="preserve">. Here, all the attributes (bar the OOP) were defined as random variables. </w:t>
      </w:r>
    </w:p>
    <w:p w14:paraId="61D6A7FD" w14:textId="2B50DFED" w:rsidR="000C71A7" w:rsidRDefault="00572CC2">
      <w:r>
        <w:t xml:space="preserve">The </w:t>
      </w:r>
      <w:r w:rsidR="00FB6B5A">
        <w:t>significant standard deviations indicate the existence of preference heterogeneity</w:t>
      </w:r>
      <w:r w:rsidR="00CD425E">
        <w:t xml:space="preserve">, across countries (significant SD for the interaction terms) and within </w:t>
      </w:r>
      <w:r w:rsidR="00F77A83">
        <w:t xml:space="preserve">attributes for each </w:t>
      </w:r>
      <w:r w:rsidR="00CD425E">
        <w:t>countr</w:t>
      </w:r>
      <w:r w:rsidR="00F77A83">
        <w:t>y</w:t>
      </w:r>
      <w:r w:rsidR="00CD425E">
        <w:t xml:space="preserve"> (significant SD for the random variables). </w:t>
      </w:r>
    </w:p>
    <w:p w14:paraId="16D78CB0" w14:textId="77777777" w:rsidR="00350135" w:rsidRDefault="00350135">
      <w:pPr>
        <w:sectPr w:rsidR="00350135" w:rsidSect="00350135">
          <w:pgSz w:w="11906" w:h="16838"/>
          <w:pgMar w:top="1440" w:right="851" w:bottom="1440" w:left="1440" w:header="709" w:footer="709" w:gutter="0"/>
          <w:cols w:space="708"/>
          <w:docGrid w:linePitch="360"/>
        </w:sectPr>
      </w:pPr>
    </w:p>
    <w:p w14:paraId="3A0DD6AD" w14:textId="0DD90808" w:rsidR="00A61651" w:rsidRDefault="000C71A7">
      <w:r>
        <w:lastRenderedPageBreak/>
        <w:t xml:space="preserve">Table 1: </w:t>
      </w:r>
      <w:r w:rsidR="000E4B61">
        <w:t xml:space="preserve">Mixed logit models for pooled data </w:t>
      </w:r>
    </w:p>
    <w:tbl>
      <w:tblPr>
        <w:tblW w:w="12797" w:type="dxa"/>
        <w:tblLook w:val="04A0" w:firstRow="1" w:lastRow="0" w:firstColumn="1" w:lastColumn="0" w:noHBand="0" w:noVBand="1"/>
      </w:tblPr>
      <w:tblGrid>
        <w:gridCol w:w="4310"/>
        <w:gridCol w:w="4305"/>
        <w:gridCol w:w="4182"/>
      </w:tblGrid>
      <w:tr w:rsidR="00914B45" w:rsidRPr="002C2973" w14:paraId="1979F990" w14:textId="77777777" w:rsidTr="00914B45">
        <w:trPr>
          <w:trHeight w:val="23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C164" w14:textId="77777777" w:rsidR="00914B45" w:rsidRPr="00A27522" w:rsidRDefault="00914B45" w:rsidP="00DA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E741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Model A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7EDC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Model B</w:t>
            </w:r>
          </w:p>
        </w:tc>
      </w:tr>
      <w:tr w:rsidR="00914B45" w:rsidRPr="002C2973" w14:paraId="25845F6D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C8C6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4E5C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coefficient (Robust SE)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1821" w14:textId="3A87B61E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coefficient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Robust 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SE)</w:t>
            </w:r>
          </w:p>
        </w:tc>
      </w:tr>
      <w:tr w:rsidR="00914B45" w:rsidRPr="002C2973" w14:paraId="35C55A4F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998F" w14:textId="6F717EF9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Constant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F4B" w14:textId="77777777" w:rsidR="00914B45" w:rsidRPr="002C2973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4.50***(0.4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82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  <w:p w14:paraId="2FD1031D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3479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0.63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*(0.26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4B45" w:rsidRPr="002C2973" w14:paraId="017A7DE1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622" w14:textId="3D3EC7DF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Out-of-pocket payment (OOP)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399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x10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***(0.8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x10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-5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A820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-0.47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x10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***(0.8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x10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-5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4B45" w:rsidRPr="002C2973" w14:paraId="5AA955C4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CAD9" w14:textId="3F720514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Progression free survival (PFS)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C3D2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0.029***(0.00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E30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0.02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***(0.00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4B45" w:rsidRPr="002C2973" w14:paraId="2A7B47CD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1C37" w14:textId="00FAF99C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 xml:space="preserve">Febrile neutropenia (FN) 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45EB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-0.036***(0.00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D57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-0.03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***(0.00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4B45" w:rsidRPr="002C2973" w14:paraId="6FE9617A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4C14" w14:textId="263C5D2C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No pain (reference: severe pain)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757B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0.740***(0.05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BDD6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0.736***(0.05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14B45" w:rsidRPr="002C2973" w14:paraId="1177752E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727D" w14:textId="4A0B451D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Moderate pain (reference: severe pain)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1847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0.568***(0.05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20BB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0.567***(0.051)</w:t>
            </w:r>
          </w:p>
        </w:tc>
      </w:tr>
      <w:tr w:rsidR="00914B45" w:rsidRPr="002C2973" w14:paraId="27BB534D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418" w14:textId="6CE9D30C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No impairment functional wellbeing (reference: severely impaired)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A0E8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0.85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***(0.058)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A2FF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0.847***(0.058)</w:t>
            </w:r>
          </w:p>
        </w:tc>
      </w:tr>
      <w:tr w:rsidR="00914B45" w:rsidRPr="002C2973" w14:paraId="1875CDE0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8976" w14:textId="2EAA60CA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Moderate impairment functional wellbeing (reference: severely impaired)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18F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0.744***(0.0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49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A827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0.74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***(0.048)</w:t>
            </w:r>
          </w:p>
        </w:tc>
      </w:tr>
      <w:tr w:rsidR="00914B45" w:rsidRPr="002C2973" w14:paraId="1D34E6BE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8FDB" w14:textId="06F68707" w:rsidR="00914B45" w:rsidRPr="002C2973" w:rsidRDefault="00914B45" w:rsidP="00415F4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ASC*Country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897E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84CE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14B45" w:rsidRPr="002C2973" w14:paraId="555F073D" w14:textId="77777777" w:rsidTr="008F1217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F6C" w14:textId="77777777" w:rsidR="00914B45" w:rsidRPr="00A27522" w:rsidRDefault="00914B45" w:rsidP="008F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326" w14:textId="77777777" w:rsidR="00914B45" w:rsidRPr="00A27522" w:rsidRDefault="00914B45" w:rsidP="00DA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ED0" w14:textId="77777777" w:rsidR="00914B45" w:rsidRPr="00A27522" w:rsidRDefault="00914B45" w:rsidP="00DA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ascii="Calibri" w:hAnsi="Calibri" w:cs="Calibri"/>
                <w:color w:val="000000"/>
                <w:sz w:val="16"/>
                <w:szCs w:val="16"/>
              </w:rPr>
              <w:t>3.806***(0.846)</w:t>
            </w:r>
          </w:p>
        </w:tc>
      </w:tr>
      <w:tr w:rsidR="00914B45" w:rsidRPr="002C2973" w14:paraId="095958FA" w14:textId="77777777" w:rsidTr="008F1217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027" w14:textId="77777777" w:rsidR="00914B45" w:rsidRPr="00A27522" w:rsidRDefault="00914B45" w:rsidP="008F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EB6" w14:textId="77777777" w:rsidR="00914B45" w:rsidRPr="00A27522" w:rsidRDefault="00914B45" w:rsidP="00DA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E17" w14:textId="77777777" w:rsidR="00914B45" w:rsidRPr="00A27522" w:rsidRDefault="00914B45" w:rsidP="00DA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ascii="Calibri" w:hAnsi="Calibri" w:cs="Calibri"/>
                <w:color w:val="000000"/>
                <w:sz w:val="16"/>
                <w:szCs w:val="16"/>
              </w:rPr>
              <w:t>3.291***(0.876)</w:t>
            </w:r>
          </w:p>
        </w:tc>
      </w:tr>
      <w:tr w:rsidR="00914B45" w:rsidRPr="002C2973" w14:paraId="1D84A473" w14:textId="77777777" w:rsidTr="008F1217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3A5" w14:textId="77777777" w:rsidR="00914B45" w:rsidRPr="00A27522" w:rsidRDefault="00914B45" w:rsidP="008F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Ireland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CF4" w14:textId="77777777" w:rsidR="00914B45" w:rsidRPr="00A27522" w:rsidRDefault="00914B45" w:rsidP="00DA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895" w14:textId="77777777" w:rsidR="00914B45" w:rsidRPr="00A27522" w:rsidRDefault="00914B45" w:rsidP="00DA2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ascii="Calibri" w:hAnsi="Calibri" w:cs="Calibri"/>
                <w:color w:val="000000"/>
                <w:sz w:val="16"/>
                <w:szCs w:val="16"/>
              </w:rPr>
              <w:t>4.575**(1.491)</w:t>
            </w:r>
          </w:p>
        </w:tc>
      </w:tr>
      <w:tr w:rsidR="00914B45" w:rsidRPr="002C2973" w14:paraId="314ED8C1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9A43" w14:textId="10C19391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="008F12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td. Deviation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(se)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9E95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9458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14B45" w:rsidRPr="002C2973" w14:paraId="5D150AB9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3EA" w14:textId="70EA7E41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Constant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5CA4" w14:textId="77777777" w:rsidR="00914B45" w:rsidRPr="002C2973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4.66***(</w:t>
            </w: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0.35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6)</w:t>
            </w:r>
          </w:p>
          <w:p w14:paraId="5440E81A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1632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914B45" w:rsidRPr="002C2973" w14:paraId="6BC23258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21F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CDB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8CE0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sz w:val="16"/>
                <w:szCs w:val="16"/>
              </w:rPr>
              <w:t>5.296***(1.098)</w:t>
            </w:r>
          </w:p>
        </w:tc>
      </w:tr>
      <w:tr w:rsidR="00914B45" w:rsidRPr="002C2973" w14:paraId="296B44C8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518F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A88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43FF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sz w:val="16"/>
                <w:szCs w:val="16"/>
              </w:rPr>
              <w:t>4.988***(0.870)</w:t>
            </w:r>
          </w:p>
        </w:tc>
      </w:tr>
      <w:tr w:rsidR="00914B45" w:rsidRPr="002C2973" w14:paraId="2D0BBE8A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8DD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Ireland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F59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A17E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sz w:val="16"/>
                <w:szCs w:val="16"/>
              </w:rPr>
              <w:t>-5.512***(1.529)</w:t>
            </w:r>
          </w:p>
        </w:tc>
      </w:tr>
      <w:tr w:rsidR="00914B45" w:rsidRPr="002C2973" w14:paraId="627D45D5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6D2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Number of observations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2317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17808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A2A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17808</w:t>
            </w:r>
          </w:p>
        </w:tc>
      </w:tr>
      <w:tr w:rsidR="00914B45" w:rsidRPr="002C2973" w14:paraId="1F310DEF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097" w14:textId="4798978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DD7E" w14:textId="73686576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543.36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28BA" w14:textId="0E7F759D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571.68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  <w:tr w:rsidR="00914B45" w:rsidRPr="002C2973" w14:paraId="670B1CC0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6A0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Log likelihood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18EF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-4297.32</w:t>
            </w:r>
            <w:r w:rsidRPr="002C29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65F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-4515.471</w:t>
            </w:r>
          </w:p>
        </w:tc>
      </w:tr>
      <w:tr w:rsidR="00914B45" w:rsidRPr="002C2973" w14:paraId="7170A04D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E823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AIC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041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8612.651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9C6" w14:textId="7777777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9058.942</w:t>
            </w:r>
          </w:p>
        </w:tc>
      </w:tr>
      <w:tr w:rsidR="00914B45" w:rsidRPr="002C2973" w14:paraId="23518D07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8052" w14:textId="1E549963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BIC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A474" w14:textId="2E8D3E83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8682.738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C7BE" w14:textId="7BA3EF5E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275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9167.966</w:t>
            </w:r>
          </w:p>
        </w:tc>
      </w:tr>
      <w:tr w:rsidR="00914B45" w:rsidRPr="002C2973" w14:paraId="331EEB00" w14:textId="77777777" w:rsidTr="00914B45">
        <w:trPr>
          <w:trHeight w:val="238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A1B6" w14:textId="5B22E9CD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E4B6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 p&lt;0.05, ** p&lt;0.01, *** p&lt;0.001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80C9" w14:textId="646B3767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654E" w14:textId="559230E9" w:rsidR="00914B45" w:rsidRPr="00A27522" w:rsidRDefault="00914B45" w:rsidP="00415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E233521" w14:textId="69C0C80E" w:rsidR="00A61651" w:rsidRDefault="00A61651"/>
    <w:p w14:paraId="76FAF5DD" w14:textId="77777777" w:rsidR="00B552AC" w:rsidRDefault="00B552AC"/>
    <w:p w14:paraId="4DFE0A3A" w14:textId="77777777" w:rsidR="00B552AC" w:rsidRDefault="00B552AC"/>
    <w:p w14:paraId="64035C11" w14:textId="77777777" w:rsidR="00B552AC" w:rsidRDefault="00B552AC"/>
    <w:p w14:paraId="5EF10E45" w14:textId="77777777" w:rsidR="00B552AC" w:rsidRDefault="00B552AC"/>
    <w:p w14:paraId="5A0AF04B" w14:textId="77777777" w:rsidR="00B552AC" w:rsidRDefault="00B552AC"/>
    <w:p w14:paraId="5FA742C0" w14:textId="77777777" w:rsidR="00E10310" w:rsidRDefault="00E10310"/>
    <w:p w14:paraId="23C7B633" w14:textId="2F1835A4" w:rsidR="00B552AC" w:rsidRDefault="00B552AC">
      <w:r>
        <w:t>Table 2: Mixed logit models for individual countries</w:t>
      </w:r>
    </w:p>
    <w:tbl>
      <w:tblPr>
        <w:tblW w:w="12911" w:type="dxa"/>
        <w:tblLook w:val="04A0" w:firstRow="1" w:lastRow="0" w:firstColumn="1" w:lastColumn="0" w:noHBand="0" w:noVBand="1"/>
      </w:tblPr>
      <w:tblGrid>
        <w:gridCol w:w="2423"/>
        <w:gridCol w:w="1510"/>
        <w:gridCol w:w="1360"/>
        <w:gridCol w:w="1537"/>
        <w:gridCol w:w="1053"/>
        <w:gridCol w:w="1525"/>
        <w:gridCol w:w="1053"/>
        <w:gridCol w:w="1397"/>
        <w:gridCol w:w="1053"/>
      </w:tblGrid>
      <w:tr w:rsidR="00073D60" w:rsidRPr="00BE4520" w14:paraId="20C4B393" w14:textId="77777777" w:rsidTr="00073D60">
        <w:trPr>
          <w:trHeight w:val="29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9CB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BDD" w14:textId="014F9453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BF7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3FA" w14:textId="79429528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Ireland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A6E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386" w14:textId="5E4AB43C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166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3FF" w14:textId="47590F6F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9D77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1D4A" w:rsidRPr="00BE4520" w14:paraId="38C7DEA1" w14:textId="77777777" w:rsidTr="00073D60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E3F9" w14:textId="77777777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B92" w14:textId="285FAB29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coefficient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7C8" w14:textId="0D4BEC64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Robust 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75B" w14:textId="3EC67194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coefficient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89B" w14:textId="4376D7BD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Robust 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C13" w14:textId="1F212BBD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coefficient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050" w14:textId="12C97FD6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Robust 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E106" w14:textId="7192A15A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coefficient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8D34" w14:textId="6C45548B" w:rsidR="00DD1D4A" w:rsidRPr="00777C0F" w:rsidRDefault="00DD1D4A" w:rsidP="00DD1D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Robust 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</w:tr>
      <w:tr w:rsidR="00073D60" w:rsidRPr="00BE4520" w14:paraId="4F557ABF" w14:textId="77777777" w:rsidTr="00073D60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F0D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A63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AB0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201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15D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49B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6B1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030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519" w14:textId="77777777" w:rsidR="00073D60" w:rsidRPr="00777C0F" w:rsidRDefault="00073D60" w:rsidP="00777C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C794A" w:rsidRPr="00BE4520" w14:paraId="5E81A6BE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EFB9" w14:textId="0C351269" w:rsidR="0011199F" w:rsidRPr="0011199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</w:t>
            </w:r>
            <w:r w:rsidR="0011199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onstant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4F1E" w14:textId="191BB78A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4.182***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139A" w14:textId="575CDB2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0.69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F5C1" w14:textId="205180C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5.166***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BBDD" w14:textId="71C7136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1.561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E373" w14:textId="7D4176C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3.871***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AEA3" w14:textId="5377321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605C" w14:textId="1ECAAA2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4.22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654A" w14:textId="5FEE5A4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0.863</w:t>
            </w:r>
          </w:p>
        </w:tc>
      </w:tr>
      <w:tr w:rsidR="006C794A" w:rsidRPr="00BE4520" w14:paraId="02A8E559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C2FC" w14:textId="4700192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Out-of-pocket payment (OOP)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0FF9" w14:textId="570A63F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-0.12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-3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6F70" w14:textId="0B91C6D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0.24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0475" w14:textId="05ED65F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-0.59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1FF" w14:textId="0E17D81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0.23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719F" w14:textId="6238445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-0.56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C623" w14:textId="18934414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0.23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54E5" w14:textId="0E8CF5B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-0.72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999" w14:textId="4452F34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0.23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</w:tr>
      <w:tr w:rsidR="006C794A" w:rsidRPr="00BE4520" w14:paraId="5C9AAB25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0CAD" w14:textId="06D6412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Progression free survival (PFS)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CB2" w14:textId="3FA8892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0.031**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2D2E" w14:textId="056FE6D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721C" w14:textId="64D686C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0.047***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5258" w14:textId="11A90E74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8846" w14:textId="372F536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0.049***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C123" w14:textId="0DCE570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0265" w14:textId="3F7F0CB3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0.028***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4E3" w14:textId="77D4E2E4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0.008</w:t>
            </w:r>
          </w:p>
        </w:tc>
      </w:tr>
      <w:tr w:rsidR="006C794A" w:rsidRPr="00BE4520" w14:paraId="4EEDA592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8CC0" w14:textId="69EECAF2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 xml:space="preserve">Febrile neutropenia (FN)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6137" w14:textId="2F5F145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-0.104***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4F0C" w14:textId="2E9FD4F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562D" w14:textId="6B9273E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-0.123***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418" w14:textId="0F83528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3A0" w14:textId="43CC787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-0.03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24DC" w14:textId="0CB3226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2E0F" w14:textId="759C8B4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E9C" w14:textId="4575567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0.010</w:t>
            </w:r>
          </w:p>
        </w:tc>
      </w:tr>
      <w:tr w:rsidR="006C794A" w:rsidRPr="00BE4520" w14:paraId="0A47A194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B626" w14:textId="76D93F2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No pain (reference: severe pain)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76B2" w14:textId="238F479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1.419***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488E" w14:textId="31B2D35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69F0" w14:textId="4BBA895A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0.923***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E7C" w14:textId="4513837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2032" w14:textId="09BFC4E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0.513***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91E" w14:textId="6541CBE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647" w14:textId="43A29CE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0.957***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F13" w14:textId="066F389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0.131</w:t>
            </w:r>
          </w:p>
        </w:tc>
      </w:tr>
      <w:tr w:rsidR="006C794A" w:rsidRPr="00BE4520" w14:paraId="4B24D1A5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009" w14:textId="782EF72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Moderate pain (reference: severe pain)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F18" w14:textId="6C198B4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0.900***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F14" w14:textId="319EA1A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5F3" w14:textId="7CFCE56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0.788***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A291" w14:textId="1088C7E6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C675" w14:textId="77D3A14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0.521***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4E0" w14:textId="1221AF3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F002" w14:textId="5111B4A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0.715***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4E0" w14:textId="7A0AD3D2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0.122</w:t>
            </w:r>
          </w:p>
        </w:tc>
      </w:tr>
      <w:tr w:rsidR="006C794A" w:rsidRPr="00BE4520" w14:paraId="05AD4C91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92D6" w14:textId="1A70544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No impairment functional wellbeing (reference: severely impaired)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0B2A" w14:textId="4E222B3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1.290***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018E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0.141307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A9E8" w14:textId="731F603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1.357***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A9D" w14:textId="68B3361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2027" w14:textId="590FE5B1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0.867***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15F" w14:textId="182BA2F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96B7" w14:textId="7C519032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1.130***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8A0" w14:textId="5C33F1D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0.150</w:t>
            </w:r>
          </w:p>
        </w:tc>
      </w:tr>
      <w:tr w:rsidR="006C794A" w:rsidRPr="00BE4520" w14:paraId="514B1403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135E" w14:textId="1CCFAE9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Moderate impairment functional wellbeing (reference: severely impaired)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DBEF" w14:textId="5E9C4AD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1.19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10C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0.127509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C3EC" w14:textId="7B67AD66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1.18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49B" w14:textId="691762D1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0104" w14:textId="2C92AD5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0.657***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E1FA" w14:textId="57C3C5DA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4F6" w14:textId="4EDC8EA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0.89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4EC" w14:textId="3752A852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0.129</w:t>
            </w:r>
          </w:p>
        </w:tc>
      </w:tr>
      <w:tr w:rsidR="006C794A" w:rsidRPr="00BE4520" w14:paraId="49F2F57F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A35C" w14:textId="473FF0E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  <w:r w:rsidRPr="00BE452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td. Deviation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C52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CED9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57C6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453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E03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8C5F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2DF8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3CC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C794A" w:rsidRPr="00BE4520" w14:paraId="05A4C60D" w14:textId="77777777" w:rsidTr="006675AF">
        <w:trPr>
          <w:trHeight w:val="169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18E" w14:textId="6516BE0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Constant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C4F2" w14:textId="5F25D72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5.96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93E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0.691939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36CA" w14:textId="3C1E290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5.37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739" w14:textId="566BF3E3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1.177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C87" w14:textId="7146EAF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2.982***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253D" w14:textId="4041801C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6AB" w14:textId="73F645E3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4.328***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7532" w14:textId="56E009A6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0.592</w:t>
            </w:r>
          </w:p>
        </w:tc>
      </w:tr>
      <w:tr w:rsidR="006C794A" w:rsidRPr="00BE4520" w14:paraId="79F8A874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8DC2" w14:textId="523CFFF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Out-of-pocket payment (OOP)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0552" w14:textId="473F888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-0.038*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FD51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0.015438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779A" w14:textId="72898B06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70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245" w14:textId="20FEDD3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B35" w14:textId="45EFDB53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CDE3" w14:textId="72CA2C5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963A" w14:textId="04A2205C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0.031*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683" w14:textId="27DA5E1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0.015</w:t>
            </w:r>
          </w:p>
        </w:tc>
      </w:tr>
      <w:tr w:rsidR="006C794A" w:rsidRPr="00BE4520" w14:paraId="5093108E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450" w14:textId="358A168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Progression free survival (PFS)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69BD" w14:textId="650B1A36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47FC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0.019105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242" w14:textId="177D3DC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0.134***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095A" w14:textId="0E0D4421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3762" w14:textId="489743CC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0.132***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A21" w14:textId="27BD8A1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59A" w14:textId="31914CD1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AFCD" w14:textId="75684FE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0.018</w:t>
            </w:r>
          </w:p>
        </w:tc>
      </w:tr>
      <w:tr w:rsidR="006C794A" w:rsidRPr="00BE4520" w14:paraId="36BF9EFD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38F" w14:textId="66D9F1EA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 xml:space="preserve">Febrile neutropenia (FN)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4F9" w14:textId="4F245765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0.596***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DFF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0.159173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DAFB" w14:textId="6B923872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-0.66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x10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247" w14:textId="68979283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5BE" w14:textId="29532401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90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CD0C" w14:textId="7D8EF51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B08" w14:textId="7665A80A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-0.55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5DE4" w14:textId="4C1EBC96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0.119</w:t>
            </w:r>
          </w:p>
        </w:tc>
      </w:tr>
      <w:tr w:rsidR="006C794A" w:rsidRPr="00BE4520" w14:paraId="0D2F9623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B5C" w14:textId="123C7066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No pain (reference: severe pain)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9540" w14:textId="5AB2883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-0.611**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9C4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0.198697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F162" w14:textId="74B41F8C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-0.15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0E32" w14:textId="3D33D06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8A0" w14:textId="014A3712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0.45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7D81" w14:textId="5FB0A5A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7E9" w14:textId="70E7914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784B" w14:textId="3836BC4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0.280</w:t>
            </w:r>
          </w:p>
        </w:tc>
      </w:tr>
      <w:tr w:rsidR="006C794A" w:rsidRPr="00BE4520" w14:paraId="03C47D98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BBA" w14:textId="1EA64EC0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Moderate pain (reference: severe pain)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858F" w14:textId="67660773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8382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0.199807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4389" w14:textId="4DB8237A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0.28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642" w14:textId="04E90A19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C056" w14:textId="7F8B379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0.57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A92" w14:textId="7033A83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1872" w14:textId="0C6FF92A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0.55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</w:t>
            </w: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92CD" w14:textId="6FE52E6D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0.184</w:t>
            </w:r>
          </w:p>
        </w:tc>
      </w:tr>
      <w:tr w:rsidR="006C794A" w:rsidRPr="00BE4520" w14:paraId="36B3EC54" w14:textId="77777777" w:rsidTr="006675AF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EFC3" w14:textId="2C092CF3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2C2973">
              <w:rPr>
                <w:rFonts w:cstheme="minorHAnsi"/>
                <w:sz w:val="16"/>
                <w:szCs w:val="16"/>
              </w:rPr>
              <w:t>No impairment functional wellbeing (reference: severely impaired)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783" w14:textId="2B2294C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25A" w14:textId="77777777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0.262482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4EE" w14:textId="2EC2B88E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-0.09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B20E" w14:textId="60F71192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0.20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517E" w14:textId="33405E68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314D" w14:textId="2FB9351F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49C" w14:textId="669E382B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-0.21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C601" w14:textId="10B3C0EC" w:rsidR="006C794A" w:rsidRPr="00777C0F" w:rsidRDefault="006C794A" w:rsidP="006675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0.176</w:t>
            </w:r>
          </w:p>
        </w:tc>
      </w:tr>
      <w:tr w:rsidR="006C794A" w:rsidRPr="00BE4520" w14:paraId="4A6D8AF4" w14:textId="77777777" w:rsidTr="00AA660E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5CC" w14:textId="77777777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Number of observations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AD8B" w14:textId="7D5F1034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4848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8734" w14:textId="2AAA3E29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3360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3AEB" w14:textId="2EE77E02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4800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D67" w14:textId="040E480A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4800</w:t>
            </w:r>
          </w:p>
        </w:tc>
      </w:tr>
      <w:tr w:rsidR="006C794A" w:rsidRPr="00BE4520" w14:paraId="25E594D3" w14:textId="77777777" w:rsidTr="00AA660E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7DE" w14:textId="3B815125" w:rsidR="006C794A" w:rsidRPr="00777C0F" w:rsidRDefault="00BA7C98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87D4" w14:textId="18028492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245.199</w:t>
            </w:r>
            <w:r w:rsidR="00BA7C98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0A7" w14:textId="34760EFF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85.396</w:t>
            </w:r>
            <w:r w:rsidR="00BA7C98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70C" w14:textId="1BBABD60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94.345</w:t>
            </w:r>
            <w:r w:rsidR="00BA7C98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DA5B" w14:textId="7E18A81B" w:rsidR="006C794A" w:rsidRPr="00777C0F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128.06</w:t>
            </w: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  <w:r w:rsidR="00BA7C98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  <w:tr w:rsidR="006C794A" w:rsidRPr="00BE4520" w14:paraId="1F713B66" w14:textId="77777777" w:rsidTr="00AA660E">
        <w:trPr>
          <w:trHeight w:val="2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CEC8" w14:textId="401CA20C" w:rsidR="006C794A" w:rsidRPr="00BE4520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Log likelihood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8F8A" w14:textId="4E1273B7" w:rsidR="006C794A" w:rsidRPr="00BE4520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-1021.61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ACE1" w14:textId="74FBE9E6" w:rsidR="006C794A" w:rsidRPr="00BE4520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-702.159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DE13" w14:textId="1F8AC64E" w:rsidR="006C794A" w:rsidRPr="00BE4520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-1147.35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4A6E" w14:textId="05D4E3FB" w:rsidR="006C794A" w:rsidRPr="00BE4520" w:rsidRDefault="006C794A" w:rsidP="00AA660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77C0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-1119.79</w:t>
            </w:r>
          </w:p>
        </w:tc>
      </w:tr>
      <w:tr w:rsidR="006C794A" w:rsidRPr="00BE4520" w14:paraId="35F06C33" w14:textId="77777777" w:rsidTr="00CA549C">
        <w:trPr>
          <w:trHeight w:val="290"/>
        </w:trPr>
        <w:tc>
          <w:tcPr>
            <w:tcW w:w="129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AAFC" w14:textId="1EEB4DA7" w:rsidR="006C794A" w:rsidRPr="00777C0F" w:rsidRDefault="006C794A" w:rsidP="006C79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BE452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 p&lt;0.05, ** p&lt;0.01, *** p&lt;0.001</w:t>
            </w:r>
          </w:p>
        </w:tc>
      </w:tr>
    </w:tbl>
    <w:p w14:paraId="4ECE9AC9" w14:textId="77777777" w:rsidR="00777C0F" w:rsidRDefault="00777C0F"/>
    <w:sectPr w:rsidR="00777C0F" w:rsidSect="00E1031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61"/>
    <w:rsid w:val="00073D60"/>
    <w:rsid w:val="00096AF9"/>
    <w:rsid w:val="000C090E"/>
    <w:rsid w:val="000C71A7"/>
    <w:rsid w:val="000E4B61"/>
    <w:rsid w:val="0011199F"/>
    <w:rsid w:val="00140B6C"/>
    <w:rsid w:val="001757BE"/>
    <w:rsid w:val="001F2023"/>
    <w:rsid w:val="001F60AE"/>
    <w:rsid w:val="00254084"/>
    <w:rsid w:val="002C2973"/>
    <w:rsid w:val="002D20DA"/>
    <w:rsid w:val="002E5D21"/>
    <w:rsid w:val="002F233B"/>
    <w:rsid w:val="00305088"/>
    <w:rsid w:val="00350135"/>
    <w:rsid w:val="00355250"/>
    <w:rsid w:val="003562CB"/>
    <w:rsid w:val="00415F49"/>
    <w:rsid w:val="00481DD6"/>
    <w:rsid w:val="004C13C3"/>
    <w:rsid w:val="004F0921"/>
    <w:rsid w:val="005272F2"/>
    <w:rsid w:val="005630BB"/>
    <w:rsid w:val="00572CC2"/>
    <w:rsid w:val="00616C75"/>
    <w:rsid w:val="006675AF"/>
    <w:rsid w:val="00684D26"/>
    <w:rsid w:val="006A743C"/>
    <w:rsid w:val="006C794A"/>
    <w:rsid w:val="00777A80"/>
    <w:rsid w:val="00777C0F"/>
    <w:rsid w:val="00782403"/>
    <w:rsid w:val="007A5478"/>
    <w:rsid w:val="007D5CDE"/>
    <w:rsid w:val="00816476"/>
    <w:rsid w:val="008466B5"/>
    <w:rsid w:val="008638DE"/>
    <w:rsid w:val="008806AA"/>
    <w:rsid w:val="008F1217"/>
    <w:rsid w:val="00914B45"/>
    <w:rsid w:val="00935A05"/>
    <w:rsid w:val="00980962"/>
    <w:rsid w:val="009828CB"/>
    <w:rsid w:val="009A4DBD"/>
    <w:rsid w:val="009D58F9"/>
    <w:rsid w:val="009D5AE3"/>
    <w:rsid w:val="009E7B97"/>
    <w:rsid w:val="009F2BEF"/>
    <w:rsid w:val="00A61651"/>
    <w:rsid w:val="00A83E1B"/>
    <w:rsid w:val="00AA660E"/>
    <w:rsid w:val="00AD014F"/>
    <w:rsid w:val="00AE4A64"/>
    <w:rsid w:val="00B552AC"/>
    <w:rsid w:val="00B72F20"/>
    <w:rsid w:val="00B8096C"/>
    <w:rsid w:val="00B97C17"/>
    <w:rsid w:val="00BA7C98"/>
    <w:rsid w:val="00BB47FD"/>
    <w:rsid w:val="00BB4B1D"/>
    <w:rsid w:val="00BD1761"/>
    <w:rsid w:val="00BE4520"/>
    <w:rsid w:val="00BF1572"/>
    <w:rsid w:val="00CC5DF7"/>
    <w:rsid w:val="00CD425E"/>
    <w:rsid w:val="00CF0DA4"/>
    <w:rsid w:val="00CF5C44"/>
    <w:rsid w:val="00D2580C"/>
    <w:rsid w:val="00DA64C1"/>
    <w:rsid w:val="00DD1D4A"/>
    <w:rsid w:val="00DD2DAC"/>
    <w:rsid w:val="00DE4E91"/>
    <w:rsid w:val="00DF7E8B"/>
    <w:rsid w:val="00E10310"/>
    <w:rsid w:val="00E15A07"/>
    <w:rsid w:val="00E319E7"/>
    <w:rsid w:val="00E352EE"/>
    <w:rsid w:val="00E63BE8"/>
    <w:rsid w:val="00E80E7D"/>
    <w:rsid w:val="00ED2971"/>
    <w:rsid w:val="00F77A83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7F34"/>
  <w15:chartTrackingRefBased/>
  <w15:docId w15:val="{E12FAB6E-A7A9-4DAF-B41E-D0183883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Eugena Stamuli</dc:creator>
  <cp:keywords/>
  <dc:description/>
  <cp:lastModifiedBy>Johanna Todd</cp:lastModifiedBy>
  <cp:revision>2</cp:revision>
  <dcterms:created xsi:type="dcterms:W3CDTF">2021-12-06T14:28:00Z</dcterms:created>
  <dcterms:modified xsi:type="dcterms:W3CDTF">2021-12-06T14:28:00Z</dcterms:modified>
</cp:coreProperties>
</file>