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0C9A" w14:textId="771E9686" w:rsidR="006C48BD" w:rsidRDefault="006C48BD" w:rsidP="00F83F49">
      <w:pPr>
        <w:pStyle w:val="Heading1"/>
      </w:pPr>
      <w:r>
        <w:t>Supplementary material</w:t>
      </w:r>
    </w:p>
    <w:p w14:paraId="5F7E8789" w14:textId="2CA6BE4B" w:rsidR="006C48BD" w:rsidRDefault="006C48BD" w:rsidP="006C48BD">
      <w:pPr>
        <w:rPr>
          <w:szCs w:val="24"/>
        </w:rPr>
      </w:pPr>
      <w:r w:rsidRPr="00294093">
        <w:t xml:space="preserve">A sensitivity </w:t>
      </w:r>
      <w:r w:rsidRPr="006C48BD">
        <w:rPr>
          <w:szCs w:val="24"/>
        </w:rPr>
        <w:t xml:space="preserve">analysis was conducted to replicate the main analysis </w:t>
      </w:r>
      <w:r w:rsidR="00C86E2A">
        <w:rPr>
          <w:szCs w:val="24"/>
        </w:rPr>
        <w:t>among</w:t>
      </w:r>
      <w:r w:rsidR="00C15DDA">
        <w:rPr>
          <w:szCs w:val="24"/>
        </w:rPr>
        <w:t xml:space="preserve"> </w:t>
      </w:r>
      <w:r w:rsidR="00870848">
        <w:rPr>
          <w:szCs w:val="24"/>
        </w:rPr>
        <w:t>all treated patients with</w:t>
      </w:r>
      <w:r w:rsidR="00870848" w:rsidRPr="006C48BD">
        <w:rPr>
          <w:szCs w:val="24"/>
        </w:rPr>
        <w:t xml:space="preserve"> </w:t>
      </w:r>
      <w:r>
        <w:rPr>
          <w:szCs w:val="24"/>
        </w:rPr>
        <w:t>intermediate/poor</w:t>
      </w:r>
      <w:r w:rsidR="00870848">
        <w:rPr>
          <w:szCs w:val="24"/>
        </w:rPr>
        <w:t xml:space="preserve"> </w:t>
      </w:r>
      <w:r>
        <w:rPr>
          <w:szCs w:val="24"/>
        </w:rPr>
        <w:t>risk</w:t>
      </w:r>
      <w:r w:rsidRPr="006C48BD">
        <w:rPr>
          <w:szCs w:val="24"/>
        </w:rPr>
        <w:t xml:space="preserve">. There were </w:t>
      </w:r>
      <w:r w:rsidR="000458C7">
        <w:rPr>
          <w:szCs w:val="24"/>
        </w:rPr>
        <w:t>423</w:t>
      </w:r>
      <w:r w:rsidR="000458C7" w:rsidRPr="006C48BD">
        <w:rPr>
          <w:szCs w:val="24"/>
        </w:rPr>
        <w:t xml:space="preserve"> </w:t>
      </w:r>
      <w:r w:rsidRPr="006C48BD">
        <w:rPr>
          <w:szCs w:val="24"/>
        </w:rPr>
        <w:t xml:space="preserve">patients </w:t>
      </w:r>
      <w:r w:rsidR="00EE3084">
        <w:rPr>
          <w:szCs w:val="24"/>
        </w:rPr>
        <w:t>i</w:t>
      </w:r>
      <w:r w:rsidRPr="006C48BD">
        <w:rPr>
          <w:szCs w:val="24"/>
        </w:rPr>
        <w:t xml:space="preserve">n the nivolumab </w:t>
      </w:r>
      <w:r w:rsidR="009F23D9">
        <w:rPr>
          <w:szCs w:val="24"/>
        </w:rPr>
        <w:t>plus</w:t>
      </w:r>
      <w:r w:rsidRPr="006C48BD">
        <w:rPr>
          <w:szCs w:val="24"/>
        </w:rPr>
        <w:t xml:space="preserve"> ipilimumab arm and </w:t>
      </w:r>
      <w:r w:rsidR="000458C7">
        <w:rPr>
          <w:szCs w:val="24"/>
        </w:rPr>
        <w:t>416</w:t>
      </w:r>
      <w:r w:rsidR="000458C7" w:rsidRPr="006C48BD">
        <w:rPr>
          <w:szCs w:val="24"/>
        </w:rPr>
        <w:t xml:space="preserve"> </w:t>
      </w:r>
      <w:r w:rsidRPr="006C48BD">
        <w:rPr>
          <w:szCs w:val="24"/>
        </w:rPr>
        <w:t xml:space="preserve">patients </w:t>
      </w:r>
      <w:r w:rsidR="00EE3084">
        <w:rPr>
          <w:szCs w:val="24"/>
        </w:rPr>
        <w:t>i</w:t>
      </w:r>
      <w:r w:rsidRPr="006C48BD">
        <w:rPr>
          <w:szCs w:val="24"/>
        </w:rPr>
        <w:t xml:space="preserve">n the sunitinib arm. The observed trends in </w:t>
      </w:r>
      <w:r w:rsidR="00870848">
        <w:rPr>
          <w:szCs w:val="24"/>
        </w:rPr>
        <w:t>all treated patients with</w:t>
      </w:r>
      <w:r w:rsidR="00870848" w:rsidRPr="006C48BD">
        <w:rPr>
          <w:szCs w:val="24"/>
        </w:rPr>
        <w:t xml:space="preserve"> </w:t>
      </w:r>
      <w:r>
        <w:rPr>
          <w:szCs w:val="24"/>
        </w:rPr>
        <w:t>intermediate/poor</w:t>
      </w:r>
      <w:r w:rsidR="00870848">
        <w:rPr>
          <w:szCs w:val="24"/>
        </w:rPr>
        <w:t xml:space="preserve"> </w:t>
      </w:r>
      <w:r>
        <w:rPr>
          <w:szCs w:val="24"/>
        </w:rPr>
        <w:t>risk</w:t>
      </w:r>
      <w:r w:rsidRPr="006C48BD">
        <w:rPr>
          <w:szCs w:val="24"/>
        </w:rPr>
        <w:t xml:space="preserve"> </w:t>
      </w:r>
      <w:r w:rsidR="00EE3084">
        <w:rPr>
          <w:szCs w:val="24"/>
        </w:rPr>
        <w:t>were</w:t>
      </w:r>
      <w:r w:rsidRPr="006C48BD">
        <w:rPr>
          <w:szCs w:val="24"/>
        </w:rPr>
        <w:t xml:space="preserve"> generally consistent with those observed in </w:t>
      </w:r>
      <w:proofErr w:type="gramStart"/>
      <w:r w:rsidRPr="006C48BD">
        <w:rPr>
          <w:szCs w:val="24"/>
        </w:rPr>
        <w:t xml:space="preserve">the </w:t>
      </w:r>
      <w:r w:rsidR="00870848">
        <w:rPr>
          <w:szCs w:val="24"/>
        </w:rPr>
        <w:t>all</w:t>
      </w:r>
      <w:proofErr w:type="gramEnd"/>
      <w:r w:rsidR="00870848">
        <w:rPr>
          <w:szCs w:val="24"/>
        </w:rPr>
        <w:t xml:space="preserve"> treated</w:t>
      </w:r>
      <w:r w:rsidR="00870848" w:rsidRPr="006C48BD">
        <w:rPr>
          <w:szCs w:val="24"/>
        </w:rPr>
        <w:t xml:space="preserve"> </w:t>
      </w:r>
      <w:r w:rsidRPr="006C48BD">
        <w:rPr>
          <w:szCs w:val="24"/>
        </w:rPr>
        <w:t xml:space="preserve">population. </w:t>
      </w:r>
    </w:p>
    <w:p w14:paraId="69987186" w14:textId="4B9EE918" w:rsidR="002F4EEE" w:rsidRDefault="002F4EEE" w:rsidP="002F4EEE">
      <w:pPr>
        <w:pStyle w:val="Heading2"/>
      </w:pPr>
      <w:r>
        <w:t>P</w:t>
      </w:r>
      <w:r w:rsidRPr="00AE056A">
        <w:t xml:space="preserve">roportion of patients experiencing </w:t>
      </w:r>
      <w:r>
        <w:t xml:space="preserve">grade </w:t>
      </w:r>
      <w:r w:rsidR="007F3B72">
        <w:t>3/4</w:t>
      </w:r>
      <w:r w:rsidRPr="00AE056A">
        <w:t xml:space="preserve"> AEs </w:t>
      </w:r>
      <w:r w:rsidRPr="007A78B9">
        <w:t xml:space="preserve">for nivolumab </w:t>
      </w:r>
      <w:r w:rsidR="009F23D9">
        <w:t>plus</w:t>
      </w:r>
      <w:r w:rsidRPr="007A78B9">
        <w:t xml:space="preserve"> ipilimumab and sunitinib</w:t>
      </w:r>
      <w:r w:rsidR="009508B5">
        <w:t xml:space="preserve"> among</w:t>
      </w:r>
      <w:r w:rsidR="00751EAC">
        <w:t xml:space="preserve"> </w:t>
      </w:r>
      <w:r w:rsidR="00870848">
        <w:t>all treated patients with</w:t>
      </w:r>
      <w:r w:rsidR="00870848" w:rsidRPr="006C48BD">
        <w:t xml:space="preserve"> </w:t>
      </w:r>
      <w:r w:rsidRPr="007A78B9">
        <w:t>intermediate/poor</w:t>
      </w:r>
      <w:r w:rsidR="00870848">
        <w:t xml:space="preserve"> </w:t>
      </w:r>
      <w:r w:rsidRPr="007A78B9">
        <w:t xml:space="preserve">risk </w:t>
      </w:r>
    </w:p>
    <w:p w14:paraId="18481094" w14:textId="2A278C00" w:rsidR="002F4EEE" w:rsidRDefault="002F4EEE" w:rsidP="002F4EEE">
      <w:pPr>
        <w:rPr>
          <w:b/>
          <w:bCs/>
        </w:rPr>
      </w:pPr>
      <w:r w:rsidRPr="00012204">
        <w:t xml:space="preserve">The proportion of </w:t>
      </w:r>
      <w:r w:rsidR="00870848">
        <w:rPr>
          <w:szCs w:val="24"/>
        </w:rPr>
        <w:t>all treated patients with</w:t>
      </w:r>
      <w:r w:rsidR="00870848" w:rsidRPr="006C48BD">
        <w:rPr>
          <w:szCs w:val="24"/>
        </w:rPr>
        <w:t xml:space="preserve"> </w:t>
      </w:r>
      <w:r w:rsidR="00E47FE3">
        <w:t>intermediate/poor</w:t>
      </w:r>
      <w:r w:rsidR="00870848">
        <w:t xml:space="preserve"> </w:t>
      </w:r>
      <w:r w:rsidR="00E47FE3">
        <w:t xml:space="preserve">risk </w:t>
      </w:r>
      <w:r w:rsidRPr="00012204">
        <w:t xml:space="preserve">who experienced all-cause grade </w:t>
      </w:r>
      <w:r w:rsidR="007F3B72">
        <w:t>3/4</w:t>
      </w:r>
      <w:r w:rsidRPr="00012204">
        <w:t xml:space="preserve"> AEs </w:t>
      </w:r>
      <w:r>
        <w:t>and treatment-related</w:t>
      </w:r>
      <w:r w:rsidRPr="00012204">
        <w:t xml:space="preserve"> grade </w:t>
      </w:r>
      <w:r w:rsidR="007F3B72">
        <w:t>3/4</w:t>
      </w:r>
      <w:r w:rsidRPr="00012204">
        <w:t xml:space="preserve"> AEs among patients at risk </w:t>
      </w:r>
      <w:r w:rsidR="002343A3">
        <w:t xml:space="preserve">are </w:t>
      </w:r>
      <w:r w:rsidRPr="00012204">
        <w:t xml:space="preserve">presented in </w:t>
      </w:r>
      <w:r w:rsidRPr="008B705D">
        <w:rPr>
          <w:b/>
          <w:bCs/>
        </w:rPr>
        <w:t>Figure</w:t>
      </w:r>
      <w:r w:rsidR="00347EBD">
        <w:rPr>
          <w:b/>
          <w:bCs/>
        </w:rPr>
        <w:t>s</w:t>
      </w:r>
      <w:r w:rsidRPr="008B705D">
        <w:rPr>
          <w:b/>
          <w:bCs/>
        </w:rPr>
        <w:t xml:space="preserve"> 1</w:t>
      </w:r>
      <w:r>
        <w:rPr>
          <w:b/>
          <w:bCs/>
        </w:rPr>
        <w:t>c and 1d, respectively</w:t>
      </w:r>
      <w:r w:rsidRPr="00012204">
        <w:t>. In both treatment arms, the</w:t>
      </w:r>
      <w:r w:rsidR="00347EBD">
        <w:t>re was</w:t>
      </w:r>
      <w:r w:rsidRPr="00012204">
        <w:t xml:space="preserve"> </w:t>
      </w:r>
      <w:r w:rsidR="00347EBD" w:rsidRPr="00012204">
        <w:t xml:space="preserve">an overall decreasing trend </w:t>
      </w:r>
      <w:r w:rsidR="00347EBD">
        <w:t xml:space="preserve">in the </w:t>
      </w:r>
      <w:r w:rsidRPr="00012204">
        <w:t>proportion of patients, although the monthly proportions fluctuated.</w:t>
      </w:r>
      <w:r>
        <w:t xml:space="preserve"> </w:t>
      </w:r>
      <w:r w:rsidRPr="00073770">
        <w:t xml:space="preserve">Nivolumab </w:t>
      </w:r>
      <w:r w:rsidR="009F23D9">
        <w:t>plus</w:t>
      </w:r>
      <w:r w:rsidRPr="00073770">
        <w:t xml:space="preserve"> ipilimumab combination therapy was generally associated with lower proportion</w:t>
      </w:r>
      <w:r w:rsidR="00347EBD">
        <w:t>s</w:t>
      </w:r>
      <w:r w:rsidRPr="00073770">
        <w:t xml:space="preserve"> of patients who experienced all-cause grade </w:t>
      </w:r>
      <w:r w:rsidR="007F3B72">
        <w:t>3/4</w:t>
      </w:r>
      <w:r w:rsidRPr="00073770">
        <w:t xml:space="preserve"> AEs and treatment-related grade </w:t>
      </w:r>
      <w:r w:rsidR="007F3B72">
        <w:t>3/4</w:t>
      </w:r>
      <w:r w:rsidRPr="00073770">
        <w:t xml:space="preserve"> AEs compared </w:t>
      </w:r>
      <w:r w:rsidR="002343A3">
        <w:t xml:space="preserve">with </w:t>
      </w:r>
      <w:r w:rsidRPr="00073770">
        <w:t xml:space="preserve">sunitinib monotherapy over the assessment period. </w:t>
      </w:r>
      <w:r>
        <w:t xml:space="preserve">The highest proportion of patients </w:t>
      </w:r>
      <w:r w:rsidR="00347EBD">
        <w:t xml:space="preserve">treated with sunitinib </w:t>
      </w:r>
      <w:r w:rsidR="00347EBD" w:rsidRPr="00073770">
        <w:t>monotherapy</w:t>
      </w:r>
      <w:r w:rsidR="00347EBD">
        <w:t xml:space="preserve"> </w:t>
      </w:r>
      <w:r>
        <w:t xml:space="preserve">who </w:t>
      </w:r>
      <w:r w:rsidRPr="00012204">
        <w:t xml:space="preserve">experienced all-cause grade </w:t>
      </w:r>
      <w:r w:rsidR="007F3B72">
        <w:t>3/4</w:t>
      </w:r>
      <w:r w:rsidRPr="00012204">
        <w:t xml:space="preserve"> </w:t>
      </w:r>
      <w:r>
        <w:t>AEs occurred at month 1 (</w:t>
      </w:r>
      <w:r w:rsidR="00E47FE3">
        <w:t>38%</w:t>
      </w:r>
      <w:r>
        <w:t>), while those</w:t>
      </w:r>
      <w:r w:rsidRPr="00073770">
        <w:t xml:space="preserve"> treated with nivolumab </w:t>
      </w:r>
      <w:r w:rsidR="009F23D9">
        <w:t>plus</w:t>
      </w:r>
      <w:r w:rsidRPr="00073770">
        <w:t xml:space="preserve"> ipilimumab combination </w:t>
      </w:r>
      <w:r>
        <w:t xml:space="preserve">therapy experienced all-cause grade </w:t>
      </w:r>
      <w:r w:rsidR="007F3B72">
        <w:t>3/4</w:t>
      </w:r>
      <w:r>
        <w:t xml:space="preserve"> AEs at the highest rate</w:t>
      </w:r>
      <w:r w:rsidRPr="00073770">
        <w:t xml:space="preserve"> at month </w:t>
      </w:r>
      <w:r>
        <w:t xml:space="preserve">3 </w:t>
      </w:r>
      <w:r w:rsidRPr="00073770">
        <w:t>(</w:t>
      </w:r>
      <w:r>
        <w:t>23</w:t>
      </w:r>
      <w:r w:rsidRPr="00073770">
        <w:t>%)</w:t>
      </w:r>
      <w:r>
        <w:t xml:space="preserve">. </w:t>
      </w:r>
      <w:r w:rsidRPr="00073770">
        <w:t xml:space="preserve">By </w:t>
      </w:r>
      <w:r w:rsidR="00870848">
        <w:t>month 12</w:t>
      </w:r>
      <w:r w:rsidRPr="00647B0A">
        <w:t xml:space="preserve">, the proportion of patients who experienced all-cause grade </w:t>
      </w:r>
      <w:r w:rsidR="007F3B72" w:rsidRPr="00647B0A">
        <w:t>3/4</w:t>
      </w:r>
      <w:r w:rsidRPr="00647B0A">
        <w:t xml:space="preserve"> AEs fell from 23% to 7% </w:t>
      </w:r>
      <w:r w:rsidR="00D71ABC" w:rsidRPr="00647B0A">
        <w:t>(</w:t>
      </w:r>
      <w:r w:rsidR="0077758E">
        <w:t xml:space="preserve">relative </w:t>
      </w:r>
      <w:r w:rsidR="00D71ABC" w:rsidRPr="00647B0A">
        <w:rPr>
          <w:szCs w:val="24"/>
        </w:rPr>
        <w:t>Δ</w:t>
      </w:r>
      <w:r w:rsidR="0077758E">
        <w:rPr>
          <w:szCs w:val="24"/>
        </w:rPr>
        <w:t xml:space="preserve"> </w:t>
      </w:r>
      <w:r w:rsidR="00D71ABC" w:rsidRPr="005D1C77">
        <w:rPr>
          <w:szCs w:val="24"/>
        </w:rPr>
        <w:t>=</w:t>
      </w:r>
      <w:r w:rsidR="0077758E">
        <w:rPr>
          <w:szCs w:val="24"/>
        </w:rPr>
        <w:t xml:space="preserve"> </w:t>
      </w:r>
      <w:r w:rsidR="00E47FE3">
        <w:rPr>
          <w:szCs w:val="24"/>
        </w:rPr>
        <w:t>70%</w:t>
      </w:r>
      <w:r w:rsidR="00D71ABC" w:rsidRPr="005D1C77">
        <w:t xml:space="preserve">) </w:t>
      </w:r>
      <w:r w:rsidRPr="005D1C77">
        <w:t>for</w:t>
      </w:r>
      <w:r w:rsidRPr="00073770">
        <w:t xml:space="preserve"> nivolumab </w:t>
      </w:r>
      <w:r w:rsidR="009F23D9">
        <w:t>plus</w:t>
      </w:r>
      <w:r w:rsidRPr="00073770">
        <w:t xml:space="preserve"> ipilimumab combination therapy. For the remaining months within the </w:t>
      </w:r>
      <w:r w:rsidR="003E32D5">
        <w:t>42-month</w:t>
      </w:r>
      <w:r w:rsidR="003E32D5" w:rsidRPr="00073770">
        <w:t xml:space="preserve"> </w:t>
      </w:r>
      <w:r w:rsidRPr="00073770">
        <w:t xml:space="preserve">study period, </w:t>
      </w:r>
      <w:r>
        <w:t>t</w:t>
      </w:r>
      <w:r w:rsidRPr="00073770">
        <w:t xml:space="preserve">he proportion of patients who experienced all-cause grade </w:t>
      </w:r>
      <w:r w:rsidR="007F3B72">
        <w:t>3/4</w:t>
      </w:r>
      <w:r w:rsidRPr="00073770">
        <w:t xml:space="preserve"> AEs stayed relatively constant, ranging </w:t>
      </w:r>
      <w:r w:rsidRPr="00647B0A">
        <w:t>from 0%-</w:t>
      </w:r>
      <w:r w:rsidR="00CA7686" w:rsidRPr="00647B0A">
        <w:t>9</w:t>
      </w:r>
      <w:r w:rsidRPr="00647B0A">
        <w:t>%.</w:t>
      </w:r>
      <w:r w:rsidRPr="00073770">
        <w:t xml:space="preserve"> In the sunitinib monotherapy arm, </w:t>
      </w:r>
      <w:r>
        <w:t>t</w:t>
      </w:r>
      <w:r w:rsidRPr="00073770">
        <w:t xml:space="preserve">he proportion of </w:t>
      </w:r>
      <w:r w:rsidRPr="00073770">
        <w:lastRenderedPageBreak/>
        <w:t xml:space="preserve">patients who experienced all-cause grade </w:t>
      </w:r>
      <w:r w:rsidR="007F3B72">
        <w:t>3/4</w:t>
      </w:r>
      <w:r w:rsidRPr="00073770">
        <w:t xml:space="preserve"> AEs decreased </w:t>
      </w:r>
      <w:r>
        <w:t>from</w:t>
      </w:r>
      <w:r w:rsidRPr="00073770">
        <w:t xml:space="preserve"> </w:t>
      </w:r>
      <w:r w:rsidR="00E47FE3">
        <w:t>38%</w:t>
      </w:r>
      <w:r w:rsidRPr="00073770">
        <w:t xml:space="preserve"> to </w:t>
      </w:r>
      <w:r w:rsidR="00E47FE3">
        <w:t>14%</w:t>
      </w:r>
      <w:r w:rsidRPr="00647B0A">
        <w:t xml:space="preserve"> </w:t>
      </w:r>
      <w:r w:rsidR="00D71ABC" w:rsidRPr="00647B0A">
        <w:t>(</w:t>
      </w:r>
      <w:r w:rsidR="0077758E">
        <w:t xml:space="preserve">relative </w:t>
      </w:r>
      <w:r w:rsidR="00D71ABC" w:rsidRPr="00647B0A">
        <w:rPr>
          <w:szCs w:val="24"/>
        </w:rPr>
        <w:t>Δ</w:t>
      </w:r>
      <w:r w:rsidR="0077758E">
        <w:rPr>
          <w:szCs w:val="24"/>
        </w:rPr>
        <w:t xml:space="preserve"> </w:t>
      </w:r>
      <w:r w:rsidR="00D71ABC" w:rsidRPr="00647B0A">
        <w:rPr>
          <w:szCs w:val="24"/>
        </w:rPr>
        <w:t>=</w:t>
      </w:r>
      <w:r w:rsidR="0077758E">
        <w:rPr>
          <w:szCs w:val="24"/>
        </w:rPr>
        <w:t xml:space="preserve"> </w:t>
      </w:r>
      <w:r w:rsidR="00E47FE3">
        <w:rPr>
          <w:szCs w:val="24"/>
        </w:rPr>
        <w:t>63%</w:t>
      </w:r>
      <w:r w:rsidR="00D71ABC" w:rsidRPr="00647B0A">
        <w:t xml:space="preserve">) </w:t>
      </w:r>
      <w:r w:rsidRPr="00647B0A">
        <w:t xml:space="preserve">at month </w:t>
      </w:r>
      <w:proofErr w:type="gramStart"/>
      <w:r w:rsidR="00CA7686" w:rsidRPr="00647B0A">
        <w:t>12</w:t>
      </w:r>
      <w:r w:rsidRPr="00647B0A">
        <w:t>, and</w:t>
      </w:r>
      <w:proofErr w:type="gramEnd"/>
      <w:r w:rsidRPr="00647B0A">
        <w:t xml:space="preserve"> fluctuated between </w:t>
      </w:r>
      <w:r w:rsidR="00E47FE3">
        <w:t>3%-21%</w:t>
      </w:r>
      <w:r w:rsidRPr="00647B0A">
        <w:t xml:space="preserve"> for the rest of the</w:t>
      </w:r>
      <w:r>
        <w:t xml:space="preserve"> assessed study period (</w:t>
      </w:r>
      <w:r w:rsidRPr="008B451B">
        <w:rPr>
          <w:b/>
          <w:bCs/>
        </w:rPr>
        <w:t>Figure 1</w:t>
      </w:r>
      <w:r w:rsidR="004854FE">
        <w:rPr>
          <w:b/>
          <w:bCs/>
        </w:rPr>
        <w:t>c</w:t>
      </w:r>
      <w:r>
        <w:rPr>
          <w:b/>
          <w:bCs/>
        </w:rPr>
        <w:t>).</w:t>
      </w:r>
      <w:r w:rsidR="000F7EAA" w:rsidRPr="000F7EAA">
        <w:t xml:space="preserve"> </w:t>
      </w:r>
      <w:r w:rsidR="000F7EAA" w:rsidRPr="00012204">
        <w:t xml:space="preserve">The proportion of </w:t>
      </w:r>
      <w:r w:rsidR="00E47FE3">
        <w:t xml:space="preserve">intermediate/poor-risk </w:t>
      </w:r>
      <w:r w:rsidR="000F7EAA" w:rsidRPr="00012204">
        <w:t xml:space="preserve">patients who experienced </w:t>
      </w:r>
      <w:r w:rsidR="000F7EAA">
        <w:t>treatment-related</w:t>
      </w:r>
      <w:r w:rsidR="000F7EAA" w:rsidRPr="00012204">
        <w:t xml:space="preserve"> grade </w:t>
      </w:r>
      <w:r w:rsidR="007F3B72">
        <w:t>3/4</w:t>
      </w:r>
      <w:r w:rsidR="000F7EAA" w:rsidRPr="00012204">
        <w:t xml:space="preserve"> AEs </w:t>
      </w:r>
      <w:r w:rsidR="000F7EAA">
        <w:t xml:space="preserve">is </w:t>
      </w:r>
      <w:proofErr w:type="gramStart"/>
      <w:r w:rsidR="000F7EAA">
        <w:t>similar to</w:t>
      </w:r>
      <w:proofErr w:type="gramEnd"/>
      <w:r w:rsidR="000F7EAA">
        <w:t xml:space="preserve"> those who experienced AEs of any cause (</w:t>
      </w:r>
      <w:r w:rsidR="000F7EAA" w:rsidRPr="008B705D">
        <w:rPr>
          <w:b/>
          <w:bCs/>
        </w:rPr>
        <w:t xml:space="preserve">Figure </w:t>
      </w:r>
      <w:r w:rsidR="000F7EAA">
        <w:rPr>
          <w:b/>
          <w:bCs/>
        </w:rPr>
        <w:t>1d).</w:t>
      </w:r>
    </w:p>
    <w:p w14:paraId="0D723784" w14:textId="2A610B32" w:rsidR="002F4EEE" w:rsidRDefault="002F4EEE" w:rsidP="00F83F49">
      <w:pPr>
        <w:pStyle w:val="Heading2"/>
      </w:pPr>
      <w:r>
        <w:t>Per</w:t>
      </w:r>
      <w:r w:rsidRPr="007A78B9">
        <w:t xml:space="preserve">-patient AE costs for nivolumab </w:t>
      </w:r>
      <w:r w:rsidR="009F23D9">
        <w:t>plus</w:t>
      </w:r>
      <w:r w:rsidRPr="007A78B9">
        <w:t xml:space="preserve"> ipilimumab and sunitinib</w:t>
      </w:r>
      <w:r w:rsidR="009508B5">
        <w:t xml:space="preserve"> among</w:t>
      </w:r>
      <w:r w:rsidR="00751EAC">
        <w:t xml:space="preserve"> </w:t>
      </w:r>
      <w:r w:rsidR="00870848">
        <w:t>all treated patients with</w:t>
      </w:r>
      <w:r w:rsidR="00870848" w:rsidRPr="006C48BD">
        <w:t xml:space="preserve"> </w:t>
      </w:r>
      <w:r w:rsidRPr="007A78B9">
        <w:t>intermediate/poor</w:t>
      </w:r>
      <w:r w:rsidR="00870848">
        <w:t xml:space="preserve"> </w:t>
      </w:r>
      <w:r w:rsidRPr="007A78B9">
        <w:t xml:space="preserve">risk </w:t>
      </w:r>
    </w:p>
    <w:p w14:paraId="6B819667" w14:textId="65EA5060" w:rsidR="006C48BD" w:rsidRDefault="006C48BD" w:rsidP="006C48BD">
      <w:r>
        <w:t>With regards to per-patient costs, c</w:t>
      </w:r>
      <w:r w:rsidRPr="004F0E4C">
        <w:t>ompared</w:t>
      </w:r>
      <w:r w:rsidR="002343A3">
        <w:t xml:space="preserve"> with</w:t>
      </w:r>
      <w:r w:rsidRPr="004F0E4C">
        <w:t xml:space="preserve"> patients </w:t>
      </w:r>
      <w:r w:rsidR="002343A3">
        <w:t>who received</w:t>
      </w:r>
      <w:r w:rsidRPr="004F0E4C">
        <w:t xml:space="preserve"> sunitinib, patients </w:t>
      </w:r>
      <w:r w:rsidR="002343A3">
        <w:t>treated with</w:t>
      </w:r>
      <w:r w:rsidRPr="004F0E4C">
        <w:t xml:space="preserve"> nivolumab </w:t>
      </w:r>
      <w:r w:rsidR="009F23D9">
        <w:t>plus</w:t>
      </w:r>
      <w:r w:rsidRPr="004F0E4C">
        <w:t xml:space="preserve"> ipilimumab combination therapy had</w:t>
      </w:r>
      <w:r>
        <w:t xml:space="preserve"> </w:t>
      </w:r>
      <w:r w:rsidR="002845A7">
        <w:t xml:space="preserve">27% </w:t>
      </w:r>
      <w:r w:rsidRPr="004F0E4C">
        <w:t xml:space="preserve">lower per-patient all-cause grade </w:t>
      </w:r>
      <w:r w:rsidR="007F3B72">
        <w:t>3/4</w:t>
      </w:r>
      <w:r w:rsidRPr="004F0E4C">
        <w:t xml:space="preserve"> AE costs during all assessment periods</w:t>
      </w:r>
      <w:r>
        <w:t>, with costs of</w:t>
      </w:r>
      <w:r w:rsidRPr="004F0E4C">
        <w:t xml:space="preserve"> </w:t>
      </w:r>
      <w:r w:rsidR="00DC5DDB" w:rsidRPr="00DC5DDB">
        <w:t>$19,600</w:t>
      </w:r>
      <w:r w:rsidR="00DC5DDB" w:rsidRPr="00DC5DDB" w:rsidDel="00DC5DDB">
        <w:t xml:space="preserve"> </w:t>
      </w:r>
      <w:r w:rsidRPr="004F0E4C">
        <w:t xml:space="preserve">vs. </w:t>
      </w:r>
      <w:r w:rsidR="00DC5DDB" w:rsidRPr="00DC5DDB">
        <w:t>$27,017</w:t>
      </w:r>
      <w:r w:rsidR="00DC5DDB" w:rsidRPr="00DC5DDB" w:rsidDel="00DC5DDB">
        <w:t xml:space="preserve"> </w:t>
      </w:r>
      <w:r>
        <w:t xml:space="preserve">over </w:t>
      </w:r>
      <w:r w:rsidRPr="004F0E4C">
        <w:t>42 months</w:t>
      </w:r>
      <w:r>
        <w:t xml:space="preserve"> (</w:t>
      </w:r>
      <w:r w:rsidR="00751EAC">
        <w:rPr>
          <w:b/>
        </w:rPr>
        <w:t>Figure 2b</w:t>
      </w:r>
      <w:r w:rsidRPr="004F0E4C">
        <w:t xml:space="preserve">). At </w:t>
      </w:r>
      <w:r w:rsidR="002866FB">
        <w:t>each</w:t>
      </w:r>
      <w:r w:rsidRPr="004F0E4C">
        <w:t xml:space="preserve"> assessment period</w:t>
      </w:r>
      <w:r w:rsidR="00D35F20">
        <w:t xml:space="preserve"> over the first three years</w:t>
      </w:r>
      <w:r w:rsidRPr="004F0E4C">
        <w:t xml:space="preserve">, the </w:t>
      </w:r>
      <w:r w:rsidR="002866FB" w:rsidRPr="00647B0A">
        <w:t xml:space="preserve">cost </w:t>
      </w:r>
      <w:r w:rsidRPr="00647B0A">
        <w:t>difference</w:t>
      </w:r>
      <w:r w:rsidR="002866FB" w:rsidRPr="00647B0A">
        <w:t>s</w:t>
      </w:r>
      <w:r w:rsidRPr="00647B0A">
        <w:t xml:space="preserve"> between the two arms</w:t>
      </w:r>
      <w:r w:rsidR="002866FB" w:rsidRPr="00647B0A">
        <w:t xml:space="preserve"> increased</w:t>
      </w:r>
      <w:r w:rsidR="002866FB">
        <w:t xml:space="preserve"> and</w:t>
      </w:r>
      <w:r w:rsidRPr="004F0E4C">
        <w:t xml:space="preserve"> </w:t>
      </w:r>
      <w:r w:rsidR="002866FB">
        <w:t>were</w:t>
      </w:r>
      <w:r w:rsidR="002866FB" w:rsidRPr="004F0E4C">
        <w:t xml:space="preserve"> </w:t>
      </w:r>
      <w:r w:rsidRPr="004F0E4C">
        <w:t>statistically significant (all p &lt; 0.05).</w:t>
      </w:r>
      <w:r>
        <w:t xml:space="preserve"> </w:t>
      </w:r>
      <w:r w:rsidRPr="00A6677E">
        <w:t>Compared</w:t>
      </w:r>
      <w:r w:rsidRPr="004F0E4C">
        <w:t xml:space="preserve"> </w:t>
      </w:r>
      <w:r w:rsidR="002343A3">
        <w:t>with</w:t>
      </w:r>
      <w:r w:rsidR="002343A3" w:rsidRPr="004F0E4C">
        <w:t xml:space="preserve"> </w:t>
      </w:r>
      <w:r w:rsidRPr="004F0E4C">
        <w:t xml:space="preserve">patients </w:t>
      </w:r>
      <w:r w:rsidR="002343A3">
        <w:t>who received</w:t>
      </w:r>
      <w:r w:rsidRPr="004F0E4C">
        <w:t xml:space="preserve"> sunitinib, patients </w:t>
      </w:r>
      <w:r w:rsidR="002343A3">
        <w:t>treated with</w:t>
      </w:r>
      <w:r w:rsidRPr="004F0E4C">
        <w:t xml:space="preserve"> nivolumab </w:t>
      </w:r>
      <w:r w:rsidR="009F23D9">
        <w:t>plus</w:t>
      </w:r>
      <w:r w:rsidRPr="004F0E4C">
        <w:t xml:space="preserve"> ipilimumab combination therapy had </w:t>
      </w:r>
      <w:r>
        <w:t xml:space="preserve">significantly </w:t>
      </w:r>
      <w:r w:rsidRPr="004F0E4C">
        <w:t xml:space="preserve">lower per-patient treatment-related grade </w:t>
      </w:r>
      <w:r w:rsidR="007F3B72">
        <w:t>3/4</w:t>
      </w:r>
      <w:r w:rsidRPr="004F0E4C">
        <w:t xml:space="preserve"> AE costs during all assessment periods</w:t>
      </w:r>
      <w:r w:rsidR="002845A7">
        <w:t xml:space="preserve">. The cost was 45% lower for patients treated with </w:t>
      </w:r>
      <w:r w:rsidR="002845A7" w:rsidRPr="004F0E4C">
        <w:t xml:space="preserve">nivolumab </w:t>
      </w:r>
      <w:r w:rsidR="002845A7">
        <w:t>plus</w:t>
      </w:r>
      <w:r w:rsidR="002845A7" w:rsidRPr="004F0E4C">
        <w:t xml:space="preserve"> ipilimumab</w:t>
      </w:r>
      <w:r w:rsidR="002343A3">
        <w:t xml:space="preserve"> over 42 months</w:t>
      </w:r>
      <w:r w:rsidR="002845A7">
        <w:t>:</w:t>
      </w:r>
      <w:r w:rsidR="002845A7" w:rsidRPr="004F0E4C">
        <w:t xml:space="preserve"> </w:t>
      </w:r>
      <w:r w:rsidR="00E41E48">
        <w:t>$9</w:t>
      </w:r>
      <w:r w:rsidR="0077758E">
        <w:t>,</w:t>
      </w:r>
      <w:r w:rsidR="00D35F20" w:rsidRPr="00D35F20">
        <w:t>777</w:t>
      </w:r>
      <w:r w:rsidR="00D35F20" w:rsidRPr="00D35F20" w:rsidDel="00D35F20">
        <w:t xml:space="preserve"> </w:t>
      </w:r>
      <w:r w:rsidRPr="004F0E4C">
        <w:t xml:space="preserve">vs. </w:t>
      </w:r>
      <w:r w:rsidR="00D35F20" w:rsidRPr="00D35F20">
        <w:t>$17,876</w:t>
      </w:r>
      <w:r w:rsidR="00D35F20" w:rsidRPr="00D35F20" w:rsidDel="00D35F20">
        <w:t xml:space="preserve"> </w:t>
      </w:r>
      <w:r>
        <w:t>(</w:t>
      </w:r>
      <w:r w:rsidR="00751EAC">
        <w:rPr>
          <w:b/>
        </w:rPr>
        <w:t>Figure 2b</w:t>
      </w:r>
      <w:r w:rsidRPr="004F0E4C">
        <w:t>).</w:t>
      </w:r>
    </w:p>
    <w:p w14:paraId="4CB30FE7" w14:textId="67F74FF5" w:rsidR="00813B41" w:rsidRDefault="00813B41" w:rsidP="00813B41">
      <w:pPr>
        <w:pStyle w:val="Heading2"/>
      </w:pPr>
      <w:r w:rsidRPr="00AB12A7">
        <w:t xml:space="preserve">Temporal trends </w:t>
      </w:r>
      <w:r>
        <w:t>of AE costs associated with</w:t>
      </w:r>
      <w:r w:rsidRPr="00AB12A7">
        <w:t xml:space="preserve"> nivolumab </w:t>
      </w:r>
      <w:r w:rsidR="009F23D9">
        <w:t>plus</w:t>
      </w:r>
      <w:r w:rsidRPr="00AB12A7">
        <w:t xml:space="preserve"> ipilimumab </w:t>
      </w:r>
      <w:r w:rsidR="001E564A">
        <w:t>and</w:t>
      </w:r>
      <w:r w:rsidRPr="00AB12A7">
        <w:t xml:space="preserve"> sunitinib</w:t>
      </w:r>
      <w:r w:rsidR="009508B5">
        <w:t xml:space="preserve"> among</w:t>
      </w:r>
      <w:r w:rsidR="00751EAC">
        <w:t xml:space="preserve"> </w:t>
      </w:r>
      <w:r w:rsidR="00870848">
        <w:t>all treated patients with</w:t>
      </w:r>
      <w:r w:rsidR="00870848" w:rsidRPr="006C48BD">
        <w:t xml:space="preserve"> </w:t>
      </w:r>
      <w:r w:rsidRPr="00AB12A7">
        <w:t>intermediate/poor</w:t>
      </w:r>
      <w:r w:rsidR="00870848">
        <w:t xml:space="preserve"> </w:t>
      </w:r>
      <w:r w:rsidRPr="00AB12A7">
        <w:t xml:space="preserve">risk </w:t>
      </w:r>
    </w:p>
    <w:p w14:paraId="71C345ED" w14:textId="25FF25E9" w:rsidR="00813B41" w:rsidRDefault="00813B41" w:rsidP="00813B41">
      <w:pPr>
        <w:rPr>
          <w:rFonts w:cs="Times New Roman"/>
        </w:rPr>
      </w:pPr>
      <w:r>
        <w:t>Although monthly costs fluctuated, b</w:t>
      </w:r>
      <w:r w:rsidRPr="004F0E4C">
        <w:t xml:space="preserve">oth treatment arms experienced an overall decreasing trend in monthly </w:t>
      </w:r>
      <w:r w:rsidR="0086346E">
        <w:t xml:space="preserve">all-cause grade 3/4 </w:t>
      </w:r>
      <w:r w:rsidRPr="004F0E4C">
        <w:t xml:space="preserve">AE costs per patient throughout the </w:t>
      </w:r>
      <w:r w:rsidR="00465E65">
        <w:t>42-month</w:t>
      </w:r>
      <w:r w:rsidR="00465E65" w:rsidRPr="004F0E4C">
        <w:t xml:space="preserve"> </w:t>
      </w:r>
      <w:r w:rsidRPr="004F0E4C">
        <w:t>study period</w:t>
      </w:r>
      <w:r>
        <w:t xml:space="preserve"> (</w:t>
      </w:r>
      <w:r w:rsidR="00751EAC">
        <w:rPr>
          <w:b/>
        </w:rPr>
        <w:t>Figure</w:t>
      </w:r>
      <w:r w:rsidR="0086346E">
        <w:rPr>
          <w:b/>
        </w:rPr>
        <w:t>s</w:t>
      </w:r>
      <w:r w:rsidR="00751EAC">
        <w:rPr>
          <w:b/>
        </w:rPr>
        <w:t xml:space="preserve"> 3</w:t>
      </w:r>
      <w:r w:rsidR="0086346E">
        <w:rPr>
          <w:b/>
        </w:rPr>
        <w:t>e</w:t>
      </w:r>
      <w:r>
        <w:t xml:space="preserve">). </w:t>
      </w:r>
      <w:r w:rsidRPr="00A6677E">
        <w:t>Nivolumab</w:t>
      </w:r>
      <w:r w:rsidRPr="004F0E4C">
        <w:t xml:space="preserve"> </w:t>
      </w:r>
      <w:r w:rsidR="009F23D9">
        <w:t>plus</w:t>
      </w:r>
      <w:r w:rsidRPr="004F0E4C">
        <w:t xml:space="preserve"> ipilimumab combination therapy was generally associated with lower monthly all-cause AE cost</w:t>
      </w:r>
      <w:r>
        <w:t>s</w:t>
      </w:r>
      <w:r w:rsidRPr="004F0E4C">
        <w:t xml:space="preserve"> per patient compared to sunitinib monotherapy over the assessment period. </w:t>
      </w:r>
      <w:r w:rsidRPr="004F0E4C">
        <w:rPr>
          <w:rFonts w:cs="Times New Roman"/>
        </w:rPr>
        <w:t xml:space="preserve">Specifically, the highest monthly cost for nivolumab </w:t>
      </w:r>
      <w:r w:rsidR="009F23D9">
        <w:rPr>
          <w:rFonts w:cs="Times New Roman"/>
        </w:rPr>
        <w:t>plus</w:t>
      </w:r>
      <w:r w:rsidRPr="004F0E4C">
        <w:rPr>
          <w:rFonts w:cs="Times New Roman"/>
        </w:rPr>
        <w:t xml:space="preserve"> ipilimumab combination therapy occurred at month 3 (</w:t>
      </w:r>
      <w:r w:rsidR="00E41E48">
        <w:rPr>
          <w:rFonts w:cs="Times New Roman"/>
        </w:rPr>
        <w:t>$4</w:t>
      </w:r>
      <w:r w:rsidR="0077758E">
        <w:rPr>
          <w:rFonts w:cs="Times New Roman"/>
        </w:rPr>
        <w:t>,</w:t>
      </w:r>
      <w:r w:rsidR="00D35F20">
        <w:rPr>
          <w:rFonts w:cs="Times New Roman"/>
        </w:rPr>
        <w:t xml:space="preserve">234 </w:t>
      </w:r>
      <w:r w:rsidRPr="004F0E4C">
        <w:rPr>
          <w:rFonts w:cs="Times New Roman"/>
        </w:rPr>
        <w:t xml:space="preserve">per patient). By </w:t>
      </w:r>
      <w:r w:rsidR="00870848">
        <w:rPr>
          <w:rFonts w:cs="Times New Roman"/>
        </w:rPr>
        <w:t>month 12</w:t>
      </w:r>
      <w:r w:rsidRPr="00647B0A">
        <w:rPr>
          <w:rFonts w:cs="Times New Roman"/>
        </w:rPr>
        <w:t xml:space="preserve">, the average </w:t>
      </w:r>
      <w:r w:rsidRPr="00647B0A">
        <w:rPr>
          <w:rFonts w:cs="Times New Roman"/>
        </w:rPr>
        <w:lastRenderedPageBreak/>
        <w:t xml:space="preserve">monthly all-cause AE cost per patient fell by </w:t>
      </w:r>
      <w:r w:rsidR="00D35F20">
        <w:rPr>
          <w:rFonts w:cs="Times New Roman"/>
        </w:rPr>
        <w:t>81%</w:t>
      </w:r>
      <w:r w:rsidRPr="00647B0A">
        <w:rPr>
          <w:rFonts w:cs="Times New Roman"/>
        </w:rPr>
        <w:t xml:space="preserve"> to </w:t>
      </w:r>
      <w:r w:rsidR="00D35F20" w:rsidRPr="00D35F20">
        <w:rPr>
          <w:rFonts w:cs="Times New Roman"/>
        </w:rPr>
        <w:t>$787</w:t>
      </w:r>
      <w:r w:rsidR="00D35F20" w:rsidRPr="00D35F20" w:rsidDel="00D35F20">
        <w:rPr>
          <w:rFonts w:cs="Times New Roman"/>
        </w:rPr>
        <w:t xml:space="preserve"> </w:t>
      </w:r>
      <w:r w:rsidRPr="00647B0A">
        <w:rPr>
          <w:rFonts w:cs="Times New Roman"/>
        </w:rPr>
        <w:t xml:space="preserve">for nivolumab </w:t>
      </w:r>
      <w:r w:rsidR="009F23D9" w:rsidRPr="00647B0A">
        <w:rPr>
          <w:rFonts w:cs="Times New Roman"/>
        </w:rPr>
        <w:t>plus</w:t>
      </w:r>
      <w:r w:rsidRPr="00647B0A">
        <w:rPr>
          <w:rFonts w:cs="Times New Roman"/>
        </w:rPr>
        <w:t xml:space="preserve"> ipilimumab</w:t>
      </w:r>
      <w:r w:rsidRPr="004F0E4C">
        <w:rPr>
          <w:rFonts w:cs="Times New Roman"/>
        </w:rPr>
        <w:t xml:space="preserve"> combination therapy. </w:t>
      </w:r>
      <w:r w:rsidRPr="00DC1D6D">
        <w:rPr>
          <w:rFonts w:cs="Times New Roman"/>
        </w:rPr>
        <w:t>For the remaining months within the assessed study period, monthly all-cause AE costs stayed relatively</w:t>
      </w:r>
      <w:r w:rsidR="00D442CE">
        <w:rPr>
          <w:rFonts w:cs="Times New Roman"/>
        </w:rPr>
        <w:t xml:space="preserve"> constant, ranging </w:t>
      </w:r>
      <w:r w:rsidR="00D442CE" w:rsidRPr="00647B0A">
        <w:rPr>
          <w:rFonts w:cs="Times New Roman"/>
        </w:rPr>
        <w:t>from $0-</w:t>
      </w:r>
      <w:r w:rsidR="00E41E48">
        <w:rPr>
          <w:rFonts w:cs="Times New Roman"/>
        </w:rPr>
        <w:t>$1</w:t>
      </w:r>
      <w:r w:rsidR="0077758E">
        <w:rPr>
          <w:rFonts w:cs="Times New Roman"/>
        </w:rPr>
        <w:t>,</w:t>
      </w:r>
      <w:r w:rsidR="00D35F20" w:rsidRPr="00D35F20">
        <w:rPr>
          <w:rFonts w:cs="Times New Roman"/>
        </w:rPr>
        <w:t>492</w:t>
      </w:r>
      <w:r w:rsidRPr="00647B0A">
        <w:rPr>
          <w:rFonts w:cs="Times New Roman"/>
        </w:rPr>
        <w:t>. In</w:t>
      </w:r>
      <w:r w:rsidRPr="004F0E4C">
        <w:rPr>
          <w:rFonts w:cs="Times New Roman"/>
        </w:rPr>
        <w:t xml:space="preserve"> the sunitinib monotherapy arm, the highest monthly </w:t>
      </w:r>
      <w:r w:rsidR="00D35F20">
        <w:rPr>
          <w:rFonts w:cs="Times New Roman"/>
        </w:rPr>
        <w:t xml:space="preserve">all-cause grade 3/4 AE </w:t>
      </w:r>
      <w:r w:rsidRPr="004F0E4C">
        <w:rPr>
          <w:rFonts w:cs="Times New Roman"/>
        </w:rPr>
        <w:t xml:space="preserve">cost was </w:t>
      </w:r>
      <w:r w:rsidR="00E41E48">
        <w:rPr>
          <w:rFonts w:cs="Times New Roman"/>
        </w:rPr>
        <w:t>$6</w:t>
      </w:r>
      <w:r w:rsidR="00333F50">
        <w:rPr>
          <w:rFonts w:cs="Times New Roman"/>
        </w:rPr>
        <w:t>,</w:t>
      </w:r>
      <w:r w:rsidR="00D35F20" w:rsidRPr="00D35F20">
        <w:rPr>
          <w:rFonts w:cs="Times New Roman"/>
        </w:rPr>
        <w:t>136</w:t>
      </w:r>
      <w:r w:rsidR="00D35F20" w:rsidRPr="00D35F20" w:rsidDel="00D35F20">
        <w:rPr>
          <w:rFonts w:cs="Times New Roman"/>
        </w:rPr>
        <w:t xml:space="preserve"> </w:t>
      </w:r>
      <w:proofErr w:type="spellStart"/>
      <w:r w:rsidRPr="004F0E4C">
        <w:rPr>
          <w:rFonts w:cs="Times New Roman"/>
        </w:rPr>
        <w:t>at</w:t>
      </w:r>
      <w:proofErr w:type="spellEnd"/>
      <w:r w:rsidRPr="004F0E4C">
        <w:rPr>
          <w:rFonts w:cs="Times New Roman"/>
        </w:rPr>
        <w:t xml:space="preserve"> month 1, which was </w:t>
      </w:r>
      <w:r w:rsidR="00D35F20">
        <w:rPr>
          <w:rFonts w:cs="Times New Roman"/>
        </w:rPr>
        <w:t>more than twice as high as the</w:t>
      </w:r>
      <w:r w:rsidRPr="004F0E4C">
        <w:rPr>
          <w:rFonts w:cs="Times New Roman"/>
        </w:rPr>
        <w:t xml:space="preserve"> </w:t>
      </w:r>
      <w:r>
        <w:rPr>
          <w:rFonts w:cs="Times New Roman"/>
        </w:rPr>
        <w:t>first</w:t>
      </w:r>
      <w:r w:rsidRPr="004F0E4C">
        <w:rPr>
          <w:rFonts w:cs="Times New Roman"/>
        </w:rPr>
        <w:t xml:space="preserve"> month cost in the nivolumab </w:t>
      </w:r>
      <w:r w:rsidR="009F23D9">
        <w:rPr>
          <w:rFonts w:cs="Times New Roman"/>
        </w:rPr>
        <w:t>plus</w:t>
      </w:r>
      <w:r w:rsidRPr="004F0E4C">
        <w:rPr>
          <w:rFonts w:cs="Times New Roman"/>
        </w:rPr>
        <w:t xml:space="preserve"> ipilimumab combination therapy arm (</w:t>
      </w:r>
      <w:r w:rsidR="00E41E48">
        <w:rPr>
          <w:rFonts w:cs="Times New Roman"/>
        </w:rPr>
        <w:t>$2</w:t>
      </w:r>
      <w:r w:rsidR="0077758E">
        <w:rPr>
          <w:rFonts w:cs="Times New Roman"/>
        </w:rPr>
        <w:t>,</w:t>
      </w:r>
      <w:r w:rsidR="00D35F20" w:rsidRPr="00D35F20">
        <w:rPr>
          <w:rFonts w:cs="Times New Roman"/>
        </w:rPr>
        <w:t>479</w:t>
      </w:r>
      <w:r w:rsidRPr="004F0E4C">
        <w:rPr>
          <w:rFonts w:cs="Times New Roman"/>
        </w:rPr>
        <w:t>).</w:t>
      </w:r>
      <w:r>
        <w:rPr>
          <w:rFonts w:cs="Times New Roman"/>
        </w:rPr>
        <w:t xml:space="preserve"> </w:t>
      </w:r>
      <w:r w:rsidRPr="004F0E4C">
        <w:rPr>
          <w:rFonts w:cs="Times New Roman"/>
        </w:rPr>
        <w:t xml:space="preserve">The all-cause AE cost decreased by </w:t>
      </w:r>
      <w:r w:rsidR="00795747">
        <w:rPr>
          <w:rFonts w:cs="Times New Roman"/>
        </w:rPr>
        <w:t>58%</w:t>
      </w:r>
      <w:r w:rsidRPr="004F0E4C">
        <w:rPr>
          <w:rFonts w:cs="Times New Roman"/>
        </w:rPr>
        <w:t xml:space="preserve"> to </w:t>
      </w:r>
      <w:r w:rsidR="00E41E48">
        <w:rPr>
          <w:rFonts w:cs="Times New Roman"/>
        </w:rPr>
        <w:t>$2</w:t>
      </w:r>
      <w:r w:rsidR="0077758E">
        <w:rPr>
          <w:rFonts w:cs="Times New Roman"/>
        </w:rPr>
        <w:t>,</w:t>
      </w:r>
      <w:r w:rsidR="00795747" w:rsidRPr="00795747">
        <w:rPr>
          <w:rFonts w:cs="Times New Roman"/>
        </w:rPr>
        <w:t>607</w:t>
      </w:r>
      <w:r w:rsidR="00795747" w:rsidRPr="00795747" w:rsidDel="00795747">
        <w:rPr>
          <w:rFonts w:cs="Times New Roman"/>
        </w:rPr>
        <w:t xml:space="preserve"> </w:t>
      </w:r>
      <w:proofErr w:type="spellStart"/>
      <w:r w:rsidR="00D442CE">
        <w:rPr>
          <w:rFonts w:cs="Times New Roman"/>
        </w:rPr>
        <w:t>at</w:t>
      </w:r>
      <w:proofErr w:type="spellEnd"/>
      <w:r w:rsidR="00D442CE">
        <w:rPr>
          <w:rFonts w:cs="Times New Roman"/>
        </w:rPr>
        <w:t xml:space="preserve"> month 2 and ranged from </w:t>
      </w:r>
      <w:r w:rsidR="00795747" w:rsidRPr="00795747">
        <w:rPr>
          <w:rFonts w:cs="Times New Roman"/>
        </w:rPr>
        <w:t>$379</w:t>
      </w:r>
      <w:r w:rsidR="00D442CE">
        <w:rPr>
          <w:rFonts w:cs="Times New Roman"/>
        </w:rPr>
        <w:t>-</w:t>
      </w:r>
      <w:r w:rsidR="00795747">
        <w:t>$</w:t>
      </w:r>
      <w:r w:rsidR="00E41E48">
        <w:rPr>
          <w:rFonts w:cs="Times New Roman"/>
        </w:rPr>
        <w:t>3</w:t>
      </w:r>
      <w:r w:rsidR="0077758E">
        <w:rPr>
          <w:rFonts w:cs="Times New Roman"/>
        </w:rPr>
        <w:t>,</w:t>
      </w:r>
      <w:r w:rsidR="00795747" w:rsidRPr="00795747">
        <w:rPr>
          <w:rFonts w:cs="Times New Roman"/>
        </w:rPr>
        <w:t>732</w:t>
      </w:r>
      <w:r w:rsidRPr="004F0E4C">
        <w:rPr>
          <w:rFonts w:cs="Times New Roman"/>
        </w:rPr>
        <w:t xml:space="preserve"> for the rest of the assessed study period. </w:t>
      </w:r>
      <w:r w:rsidR="00A05633" w:rsidRPr="00A05633">
        <w:rPr>
          <w:rFonts w:cs="Times New Roman"/>
        </w:rPr>
        <w:t>Cumulative monthly all-cause grade 3/4 AE costs per patient were almost twice as high with sunitinib treatment compared with nivolumab plus ipilimumab treatment ($</w:t>
      </w:r>
      <w:r w:rsidR="00D05394">
        <w:rPr>
          <w:rFonts w:cs="Times New Roman"/>
        </w:rPr>
        <w:t>74,146</w:t>
      </w:r>
      <w:r w:rsidR="00A05633" w:rsidRPr="00A05633">
        <w:rPr>
          <w:rFonts w:cs="Times New Roman"/>
        </w:rPr>
        <w:t xml:space="preserve"> vs. </w:t>
      </w:r>
      <w:r w:rsidR="00D05394">
        <w:rPr>
          <w:rFonts w:cs="Times New Roman"/>
        </w:rPr>
        <w:t>$38,131</w:t>
      </w:r>
      <w:r w:rsidR="00A05633" w:rsidRPr="00A05633">
        <w:rPr>
          <w:rFonts w:cs="Times New Roman"/>
        </w:rPr>
        <w:t xml:space="preserve">; </w:t>
      </w:r>
      <w:r w:rsidR="00A05633" w:rsidRPr="000B54A5">
        <w:rPr>
          <w:rFonts w:cs="Times New Roman"/>
          <w:b/>
        </w:rPr>
        <w:t>Figure 3</w:t>
      </w:r>
      <w:r w:rsidR="00A05633" w:rsidRPr="00D05394">
        <w:rPr>
          <w:rFonts w:cs="Times New Roman"/>
          <w:b/>
        </w:rPr>
        <w:t>f</w:t>
      </w:r>
      <w:r w:rsidR="00A05633" w:rsidRPr="00A05633">
        <w:rPr>
          <w:rFonts w:cs="Times New Roman"/>
        </w:rPr>
        <w:t>).</w:t>
      </w:r>
      <w:r w:rsidR="00A05633">
        <w:rPr>
          <w:rFonts w:cs="Times New Roman"/>
        </w:rPr>
        <w:t xml:space="preserve"> </w:t>
      </w:r>
      <w:r w:rsidRPr="00311230">
        <w:rPr>
          <w:rFonts w:cs="Times New Roman"/>
        </w:rPr>
        <w:t xml:space="preserve">The </w:t>
      </w:r>
      <w:r w:rsidRPr="00311230">
        <w:t xml:space="preserve">monthly temporal </w:t>
      </w:r>
      <w:r w:rsidRPr="00311230">
        <w:rPr>
          <w:rFonts w:cs="Times New Roman"/>
        </w:rPr>
        <w:t xml:space="preserve">trends </w:t>
      </w:r>
      <w:r>
        <w:rPr>
          <w:rFonts w:cs="Times New Roman"/>
        </w:rPr>
        <w:t xml:space="preserve">for </w:t>
      </w:r>
      <w:r w:rsidRPr="00311230">
        <w:t xml:space="preserve">treatment-related </w:t>
      </w:r>
      <w:r w:rsidR="00D05394">
        <w:t xml:space="preserve">grade 3/4 </w:t>
      </w:r>
      <w:r w:rsidRPr="00311230">
        <w:t xml:space="preserve">AE costs per patient </w:t>
      </w:r>
      <w:r>
        <w:rPr>
          <w:rFonts w:cs="Times New Roman"/>
        </w:rPr>
        <w:t>were</w:t>
      </w:r>
      <w:r w:rsidRPr="00311230">
        <w:rPr>
          <w:rFonts w:cs="Times New Roman"/>
        </w:rPr>
        <w:t xml:space="preserve"> </w:t>
      </w:r>
      <w:proofErr w:type="gramStart"/>
      <w:r w:rsidRPr="00311230">
        <w:rPr>
          <w:rFonts w:cs="Times New Roman"/>
        </w:rPr>
        <w:t>similar to</w:t>
      </w:r>
      <w:proofErr w:type="gramEnd"/>
      <w:r w:rsidRPr="00311230">
        <w:rPr>
          <w:rFonts w:cs="Times New Roman"/>
        </w:rPr>
        <w:t xml:space="preserve"> those observed for all-cause AEs</w:t>
      </w:r>
      <w:r>
        <w:rPr>
          <w:rFonts w:cs="Times New Roman"/>
        </w:rPr>
        <w:t xml:space="preserve"> </w:t>
      </w:r>
      <w:r w:rsidR="00D05394">
        <w:rPr>
          <w:rFonts w:cs="Times New Roman"/>
        </w:rPr>
        <w:t xml:space="preserve">among </w:t>
      </w:r>
      <w:r w:rsidR="00870848">
        <w:rPr>
          <w:rFonts w:cs="Times New Roman"/>
        </w:rPr>
        <w:t xml:space="preserve">all treated </w:t>
      </w:r>
      <w:r w:rsidR="00D05394">
        <w:rPr>
          <w:rFonts w:cs="Times New Roman"/>
        </w:rPr>
        <w:t xml:space="preserve">patients </w:t>
      </w:r>
      <w:r w:rsidR="00D05394" w:rsidRPr="00311230">
        <w:t>with intermediate/poor</w:t>
      </w:r>
      <w:r w:rsidR="00F92FDC">
        <w:t>-</w:t>
      </w:r>
      <w:r w:rsidR="00D05394" w:rsidRPr="00311230">
        <w:t xml:space="preserve">risk </w:t>
      </w:r>
      <w:proofErr w:type="spellStart"/>
      <w:r w:rsidR="00D05394" w:rsidRPr="00311230">
        <w:t>aRCC</w:t>
      </w:r>
      <w:proofErr w:type="spellEnd"/>
      <w:r w:rsidR="00D05394" w:rsidRPr="00311230">
        <w:t xml:space="preserve"> </w:t>
      </w:r>
      <w:r>
        <w:rPr>
          <w:rFonts w:cs="Times New Roman"/>
        </w:rPr>
        <w:t>(</w:t>
      </w:r>
      <w:r w:rsidR="00751EAC">
        <w:rPr>
          <w:rFonts w:cs="Times New Roman"/>
          <w:b/>
        </w:rPr>
        <w:t>Figure</w:t>
      </w:r>
      <w:r w:rsidR="0086346E">
        <w:rPr>
          <w:rFonts w:cs="Times New Roman"/>
          <w:b/>
        </w:rPr>
        <w:t>s</w:t>
      </w:r>
      <w:r w:rsidR="00751EAC">
        <w:rPr>
          <w:rFonts w:cs="Times New Roman"/>
          <w:b/>
        </w:rPr>
        <w:t xml:space="preserve"> 3</w:t>
      </w:r>
      <w:r w:rsidR="00D05394">
        <w:rPr>
          <w:rFonts w:cs="Times New Roman"/>
          <w:b/>
        </w:rPr>
        <w:t>g</w:t>
      </w:r>
      <w:r w:rsidR="0086346E">
        <w:rPr>
          <w:rFonts w:cs="Times New Roman"/>
          <w:b/>
        </w:rPr>
        <w:t xml:space="preserve"> and 3</w:t>
      </w:r>
      <w:r w:rsidR="00D05394">
        <w:rPr>
          <w:rFonts w:cs="Times New Roman"/>
          <w:b/>
        </w:rPr>
        <w:t>h</w:t>
      </w:r>
      <w:r>
        <w:rPr>
          <w:rFonts w:cs="Times New Roman"/>
        </w:rPr>
        <w:t>)</w:t>
      </w:r>
      <w:r w:rsidRPr="00311230">
        <w:rPr>
          <w:rFonts w:cs="Times New Roman"/>
        </w:rPr>
        <w:t xml:space="preserve">. </w:t>
      </w:r>
    </w:p>
    <w:p w14:paraId="1576F7F7" w14:textId="15C35F32" w:rsidR="00D442CE" w:rsidRDefault="00D442CE" w:rsidP="00D442CE">
      <w:pPr>
        <w:pStyle w:val="Heading2"/>
      </w:pPr>
      <w:r w:rsidRPr="00AB12A7">
        <w:t xml:space="preserve">Top </w:t>
      </w:r>
      <w:r w:rsidR="002866FB">
        <w:t>grade 3/4</w:t>
      </w:r>
      <w:r w:rsidRPr="00AB12A7">
        <w:t xml:space="preserve"> </w:t>
      </w:r>
      <w:r w:rsidR="002866FB" w:rsidRPr="00AB12A7">
        <w:t>AE</w:t>
      </w:r>
      <w:r w:rsidR="002866FB">
        <w:t xml:space="preserve"> categories driving the difference in AE</w:t>
      </w:r>
      <w:r w:rsidR="002866FB" w:rsidRPr="00AB12A7">
        <w:t xml:space="preserve"> costs </w:t>
      </w:r>
      <w:r w:rsidR="002866FB">
        <w:t>between treatment arms</w:t>
      </w:r>
      <w:r w:rsidR="009508B5">
        <w:t xml:space="preserve"> among</w:t>
      </w:r>
      <w:r w:rsidR="00751EAC">
        <w:t xml:space="preserve"> </w:t>
      </w:r>
      <w:r w:rsidR="00870848">
        <w:t>all treated patients with</w:t>
      </w:r>
      <w:r w:rsidR="00870848" w:rsidRPr="006C48BD">
        <w:t xml:space="preserve"> </w:t>
      </w:r>
      <w:r w:rsidRPr="00AB12A7">
        <w:t>intermediate/poor</w:t>
      </w:r>
      <w:r w:rsidR="00870848">
        <w:t xml:space="preserve"> </w:t>
      </w:r>
      <w:r w:rsidRPr="00AB12A7">
        <w:t>risk</w:t>
      </w:r>
    </w:p>
    <w:p w14:paraId="261E85EB" w14:textId="7D5C2492" w:rsidR="00BE5B6E" w:rsidRDefault="00BE5B6E" w:rsidP="00813B41">
      <w:pPr>
        <w:rPr>
          <w:szCs w:val="24"/>
          <w:highlight w:val="yellow"/>
        </w:rPr>
      </w:pPr>
      <w:r>
        <w:rPr>
          <w:rFonts w:cs="Times New Roman"/>
        </w:rPr>
        <w:t>I</w:t>
      </w:r>
      <w:r w:rsidRPr="00311230">
        <w:rPr>
          <w:rFonts w:cs="Times New Roman"/>
        </w:rPr>
        <w:t xml:space="preserve">n the nivolumab </w:t>
      </w:r>
      <w:r>
        <w:rPr>
          <w:rFonts w:cs="Times New Roman"/>
        </w:rPr>
        <w:t>plus</w:t>
      </w:r>
      <w:r w:rsidRPr="00311230">
        <w:rPr>
          <w:rFonts w:cs="Times New Roman"/>
        </w:rPr>
        <w:t xml:space="preserve"> ipilimumab arm</w:t>
      </w:r>
      <w:r>
        <w:rPr>
          <w:rFonts w:cs="Times New Roman"/>
        </w:rPr>
        <w:t xml:space="preserve">, </w:t>
      </w:r>
      <w:r w:rsidRPr="00311230">
        <w:rPr>
          <w:rFonts w:cs="Times New Roman"/>
        </w:rPr>
        <w:t xml:space="preserve">the top three AE categories contributing to per-patient all-cause </w:t>
      </w:r>
      <w:r>
        <w:rPr>
          <w:rFonts w:cs="Times New Roman"/>
        </w:rPr>
        <w:t xml:space="preserve">grade </w:t>
      </w:r>
      <w:r w:rsidR="00EF5036">
        <w:rPr>
          <w:rFonts w:cs="Times New Roman"/>
        </w:rPr>
        <w:t>3/4</w:t>
      </w:r>
      <w:r>
        <w:rPr>
          <w:rFonts w:cs="Times New Roman"/>
        </w:rPr>
        <w:t xml:space="preserve"> </w:t>
      </w:r>
      <w:r w:rsidRPr="00311230">
        <w:rPr>
          <w:rFonts w:cs="Times New Roman"/>
        </w:rPr>
        <w:t>AE costs over 42 months</w:t>
      </w:r>
      <w:r w:rsidRPr="00A6677E">
        <w:t xml:space="preserve"> </w:t>
      </w:r>
      <w:r>
        <w:t xml:space="preserve">were </w:t>
      </w:r>
      <w:r w:rsidR="008E4942" w:rsidRPr="008E4942">
        <w:t xml:space="preserve">laboratory </w:t>
      </w:r>
      <w:r>
        <w:rPr>
          <w:rFonts w:cs="Times New Roman"/>
        </w:rPr>
        <w:t>i</w:t>
      </w:r>
      <w:r w:rsidRPr="00311230">
        <w:rPr>
          <w:rFonts w:cs="Times New Roman"/>
        </w:rPr>
        <w:t>nvestigations (</w:t>
      </w:r>
      <w:r w:rsidR="00E41E48">
        <w:rPr>
          <w:rFonts w:cs="Times New Roman"/>
        </w:rPr>
        <w:t>$3</w:t>
      </w:r>
      <w:r w:rsidR="0077758E">
        <w:rPr>
          <w:rFonts w:cs="Times New Roman"/>
        </w:rPr>
        <w:t>,</w:t>
      </w:r>
      <w:r w:rsidR="00BD4A7A" w:rsidRPr="00BD4A7A">
        <w:rPr>
          <w:rFonts w:cs="Times New Roman"/>
        </w:rPr>
        <w:t>728</w:t>
      </w:r>
      <w:r w:rsidRPr="00311230">
        <w:rPr>
          <w:rFonts w:cs="Times New Roman"/>
        </w:rPr>
        <w:t>), metabolism and nutrition disorders (</w:t>
      </w:r>
      <w:r w:rsidR="00E41E48">
        <w:rPr>
          <w:rFonts w:cs="Times New Roman"/>
        </w:rPr>
        <w:t>$2</w:t>
      </w:r>
      <w:r w:rsidR="0077758E">
        <w:rPr>
          <w:rFonts w:cs="Times New Roman"/>
        </w:rPr>
        <w:t>,</w:t>
      </w:r>
      <w:r w:rsidR="00BD4A7A" w:rsidRPr="00BD4A7A">
        <w:rPr>
          <w:rFonts w:cs="Times New Roman"/>
        </w:rPr>
        <w:t>505</w:t>
      </w:r>
      <w:r w:rsidRPr="00311230">
        <w:rPr>
          <w:rFonts w:cs="Times New Roman"/>
        </w:rPr>
        <w:t>), and general disorders and administration site conditions (</w:t>
      </w:r>
      <w:r w:rsidR="00E41E48">
        <w:rPr>
          <w:rFonts w:cs="Times New Roman"/>
        </w:rPr>
        <w:t>$1</w:t>
      </w:r>
      <w:r w:rsidR="0077758E">
        <w:rPr>
          <w:rFonts w:cs="Times New Roman"/>
        </w:rPr>
        <w:t>,</w:t>
      </w:r>
      <w:r w:rsidR="00BD4A7A" w:rsidRPr="00BD4A7A">
        <w:rPr>
          <w:rFonts w:cs="Times New Roman"/>
        </w:rPr>
        <w:t>556</w:t>
      </w:r>
      <w:r>
        <w:rPr>
          <w:rFonts w:cs="Times New Roman"/>
        </w:rPr>
        <w:t xml:space="preserve">; </w:t>
      </w:r>
      <w:r w:rsidRPr="008B705D">
        <w:rPr>
          <w:rFonts w:cs="Times New Roman"/>
          <w:b/>
        </w:rPr>
        <w:t>Supplementary Figure</w:t>
      </w:r>
      <w:r>
        <w:rPr>
          <w:rFonts w:cs="Times New Roman"/>
          <w:b/>
        </w:rPr>
        <w:t xml:space="preserve"> 1b</w:t>
      </w:r>
      <w:r>
        <w:rPr>
          <w:rFonts w:cs="Times New Roman"/>
        </w:rPr>
        <w:t>)</w:t>
      </w:r>
      <w:r w:rsidRPr="00311230">
        <w:rPr>
          <w:rFonts w:cs="Times New Roman"/>
        </w:rPr>
        <w:t xml:space="preserve">. Similarly, for patients in the sunitinib arm, </w:t>
      </w:r>
      <w:r w:rsidR="00597895" w:rsidRPr="00597895">
        <w:rPr>
          <w:rFonts w:cs="Times New Roman"/>
        </w:rPr>
        <w:t xml:space="preserve">laboratory </w:t>
      </w:r>
      <w:r w:rsidRPr="00311230">
        <w:rPr>
          <w:rFonts w:cs="Times New Roman"/>
        </w:rPr>
        <w:t>investigations (</w:t>
      </w:r>
      <w:r w:rsidR="00E41E48">
        <w:rPr>
          <w:rFonts w:cs="Times New Roman"/>
        </w:rPr>
        <w:t>$6</w:t>
      </w:r>
      <w:r w:rsidR="0077758E">
        <w:rPr>
          <w:rFonts w:cs="Times New Roman"/>
        </w:rPr>
        <w:t>,</w:t>
      </w:r>
      <w:r w:rsidR="00BD4A7A" w:rsidRPr="00BD4A7A">
        <w:rPr>
          <w:rFonts w:cs="Times New Roman"/>
        </w:rPr>
        <w:t>381</w:t>
      </w:r>
      <w:r w:rsidRPr="00311230">
        <w:rPr>
          <w:rFonts w:cs="Times New Roman"/>
        </w:rPr>
        <w:t>), blood and lymphatic system disorders (</w:t>
      </w:r>
      <w:r w:rsidR="00E41E48">
        <w:rPr>
          <w:rFonts w:cs="Times New Roman"/>
        </w:rPr>
        <w:t>$4</w:t>
      </w:r>
      <w:r w:rsidR="0077758E">
        <w:rPr>
          <w:rFonts w:cs="Times New Roman"/>
        </w:rPr>
        <w:t>,</w:t>
      </w:r>
      <w:r w:rsidR="00BD4A7A" w:rsidRPr="00BD4A7A">
        <w:rPr>
          <w:rFonts w:cs="Times New Roman"/>
        </w:rPr>
        <w:t>076</w:t>
      </w:r>
      <w:r w:rsidRPr="00311230">
        <w:rPr>
          <w:rFonts w:cs="Times New Roman"/>
        </w:rPr>
        <w:t>), and general disorders and administration site conditions (</w:t>
      </w:r>
      <w:r w:rsidR="00E41E48">
        <w:rPr>
          <w:rFonts w:cs="Times New Roman"/>
        </w:rPr>
        <w:t>$2</w:t>
      </w:r>
      <w:r w:rsidR="0077758E">
        <w:rPr>
          <w:rFonts w:cs="Times New Roman"/>
        </w:rPr>
        <w:t>,</w:t>
      </w:r>
      <w:r w:rsidR="00BD4A7A" w:rsidRPr="00BD4A7A">
        <w:rPr>
          <w:rFonts w:cs="Times New Roman"/>
        </w:rPr>
        <w:t>926</w:t>
      </w:r>
      <w:r w:rsidRPr="00311230">
        <w:rPr>
          <w:rFonts w:cs="Times New Roman"/>
        </w:rPr>
        <w:t xml:space="preserve">) were the top three AE categories contributing to per-patient all-cause </w:t>
      </w:r>
      <w:r w:rsidR="005C7F6C">
        <w:rPr>
          <w:rFonts w:cs="Times New Roman"/>
        </w:rPr>
        <w:t xml:space="preserve">grade 3/4 </w:t>
      </w:r>
      <w:r w:rsidRPr="00311230">
        <w:rPr>
          <w:rFonts w:cs="Times New Roman"/>
        </w:rPr>
        <w:t>AE costs over 42 months.</w:t>
      </w:r>
      <w:r>
        <w:rPr>
          <w:rFonts w:cs="Times New Roman"/>
        </w:rPr>
        <w:t xml:space="preserve"> In both arms, </w:t>
      </w:r>
      <w:r w:rsidR="00597895" w:rsidRPr="00597895">
        <w:rPr>
          <w:rFonts w:cs="Times New Roman"/>
        </w:rPr>
        <w:t xml:space="preserve">laboratory </w:t>
      </w:r>
      <w:r>
        <w:rPr>
          <w:rFonts w:cs="Times New Roman"/>
        </w:rPr>
        <w:t xml:space="preserve">investigations </w:t>
      </w:r>
      <w:proofErr w:type="gramStart"/>
      <w:r w:rsidR="000D647D">
        <w:rPr>
          <w:rFonts w:cs="Times New Roman"/>
        </w:rPr>
        <w:t>was</w:t>
      </w:r>
      <w:proofErr w:type="gramEnd"/>
      <w:r w:rsidR="000D647D">
        <w:rPr>
          <w:rFonts w:cs="Times New Roman"/>
        </w:rPr>
        <w:t xml:space="preserve"> </w:t>
      </w:r>
      <w:r>
        <w:rPr>
          <w:rFonts w:cs="Times New Roman"/>
        </w:rPr>
        <w:t>also the top AE category contributing to per-patient treatment-related grade 3</w:t>
      </w:r>
      <w:r w:rsidR="005D1C77">
        <w:rPr>
          <w:rFonts w:cs="Times New Roman"/>
        </w:rPr>
        <w:t>/</w:t>
      </w:r>
      <w:r>
        <w:rPr>
          <w:rFonts w:cs="Times New Roman"/>
        </w:rPr>
        <w:t xml:space="preserve">4 AE costs over 42 months for </w:t>
      </w:r>
      <w:r w:rsidR="00870848">
        <w:rPr>
          <w:szCs w:val="24"/>
        </w:rPr>
        <w:t>all treated patients with</w:t>
      </w:r>
      <w:r>
        <w:rPr>
          <w:rFonts w:cs="Times New Roman"/>
        </w:rPr>
        <w:t xml:space="preserve"> intermediate/poor</w:t>
      </w:r>
      <w:r w:rsidR="00870848">
        <w:rPr>
          <w:rFonts w:cs="Times New Roman"/>
        </w:rPr>
        <w:t xml:space="preserve"> </w:t>
      </w:r>
      <w:r>
        <w:rPr>
          <w:rFonts w:cs="Times New Roman"/>
        </w:rPr>
        <w:t>risk (</w:t>
      </w:r>
      <w:r w:rsidRPr="00F83F49">
        <w:rPr>
          <w:rFonts w:cs="Times New Roman"/>
          <w:b/>
        </w:rPr>
        <w:t>Supplementary Figure 1b</w:t>
      </w:r>
      <w:r>
        <w:rPr>
          <w:rFonts w:cs="Times New Roman"/>
        </w:rPr>
        <w:t xml:space="preserve">). </w:t>
      </w:r>
    </w:p>
    <w:p w14:paraId="7CF69D02" w14:textId="7DDB44E5" w:rsidR="00D442CE" w:rsidRPr="007E114F" w:rsidRDefault="002866FB" w:rsidP="00813B41">
      <w:pPr>
        <w:rPr>
          <w:rFonts w:cs="Times New Roman"/>
        </w:rPr>
      </w:pPr>
      <w:r w:rsidRPr="00647B0A">
        <w:rPr>
          <w:szCs w:val="24"/>
        </w:rPr>
        <w:lastRenderedPageBreak/>
        <w:t xml:space="preserve">Among all-cause </w:t>
      </w:r>
      <w:r w:rsidR="00EF5036" w:rsidRPr="005D1C77">
        <w:rPr>
          <w:szCs w:val="24"/>
        </w:rPr>
        <w:t xml:space="preserve">grade </w:t>
      </w:r>
      <w:r w:rsidRPr="00647B0A">
        <w:rPr>
          <w:szCs w:val="24"/>
        </w:rPr>
        <w:t xml:space="preserve">3/4 AEs, the top </w:t>
      </w:r>
      <w:r w:rsidR="00EF5036" w:rsidRPr="005D1C77">
        <w:rPr>
          <w:szCs w:val="24"/>
        </w:rPr>
        <w:t>three</w:t>
      </w:r>
      <w:r w:rsidRPr="00647B0A">
        <w:rPr>
          <w:szCs w:val="24"/>
        </w:rPr>
        <w:t xml:space="preserve"> AE categories contributing to the largest cost differences between </w:t>
      </w:r>
      <w:r w:rsidR="00EF5036" w:rsidRPr="005D1C77">
        <w:rPr>
          <w:szCs w:val="24"/>
        </w:rPr>
        <w:t>sunitinib and nivolumab plus ipilimumab</w:t>
      </w:r>
      <w:r w:rsidRPr="00647B0A">
        <w:rPr>
          <w:szCs w:val="24"/>
        </w:rPr>
        <w:t xml:space="preserve"> were blood and lymphatic system disorders</w:t>
      </w:r>
      <w:r w:rsidR="00E1396E" w:rsidRPr="00647B0A">
        <w:rPr>
          <w:szCs w:val="24"/>
        </w:rPr>
        <w:t xml:space="preserve"> (</w:t>
      </w:r>
      <w:r w:rsidR="00E41E48">
        <w:rPr>
          <w:szCs w:val="24"/>
        </w:rPr>
        <w:t>$4</w:t>
      </w:r>
      <w:r w:rsidR="0077758E">
        <w:rPr>
          <w:szCs w:val="24"/>
        </w:rPr>
        <w:t>,</w:t>
      </w:r>
      <w:r w:rsidR="00BD4A7A" w:rsidRPr="00BD4A7A">
        <w:rPr>
          <w:szCs w:val="24"/>
        </w:rPr>
        <w:t>076</w:t>
      </w:r>
      <w:r w:rsidR="00BD4A7A" w:rsidRPr="00BD4A7A" w:rsidDel="00BD4A7A">
        <w:rPr>
          <w:szCs w:val="24"/>
        </w:rPr>
        <w:t xml:space="preserve"> </w:t>
      </w:r>
      <w:r w:rsidR="00B76F64" w:rsidRPr="005D1C77">
        <w:rPr>
          <w:szCs w:val="24"/>
        </w:rPr>
        <w:t xml:space="preserve">vs. </w:t>
      </w:r>
      <w:r w:rsidR="00E41E48">
        <w:rPr>
          <w:szCs w:val="24"/>
        </w:rPr>
        <w:t>$1</w:t>
      </w:r>
      <w:r w:rsidR="0077758E">
        <w:rPr>
          <w:szCs w:val="24"/>
        </w:rPr>
        <w:t>,</w:t>
      </w:r>
      <w:r w:rsidR="00BD4A7A" w:rsidRPr="00BD4A7A">
        <w:rPr>
          <w:szCs w:val="24"/>
        </w:rPr>
        <w:t>213</w:t>
      </w:r>
      <w:r w:rsidRPr="00647B0A">
        <w:rPr>
          <w:szCs w:val="24"/>
        </w:rPr>
        <w:t>, Δ</w:t>
      </w:r>
      <w:r w:rsidR="0077758E">
        <w:rPr>
          <w:szCs w:val="24"/>
        </w:rPr>
        <w:t xml:space="preserve"> </w:t>
      </w:r>
      <w:r w:rsidR="00B76F64" w:rsidRPr="005D1C77">
        <w:rPr>
          <w:szCs w:val="24"/>
        </w:rPr>
        <w:t>=</w:t>
      </w:r>
      <w:r w:rsidR="0077758E">
        <w:rPr>
          <w:szCs w:val="24"/>
        </w:rPr>
        <w:t xml:space="preserve"> </w:t>
      </w:r>
      <w:r w:rsidR="00E41E48">
        <w:rPr>
          <w:szCs w:val="24"/>
        </w:rPr>
        <w:t>$2</w:t>
      </w:r>
      <w:r w:rsidR="00333F50">
        <w:rPr>
          <w:szCs w:val="24"/>
        </w:rPr>
        <w:t>,</w:t>
      </w:r>
      <w:r w:rsidR="00BD4A7A" w:rsidRPr="00BD4A7A">
        <w:rPr>
          <w:szCs w:val="24"/>
        </w:rPr>
        <w:t>863</w:t>
      </w:r>
      <w:r w:rsidRPr="00647B0A">
        <w:rPr>
          <w:szCs w:val="24"/>
        </w:rPr>
        <w:t xml:space="preserve">), </w:t>
      </w:r>
      <w:r w:rsidR="00597895" w:rsidRPr="00597895">
        <w:rPr>
          <w:szCs w:val="24"/>
        </w:rPr>
        <w:t xml:space="preserve">laboratory </w:t>
      </w:r>
      <w:r w:rsidRPr="00647B0A">
        <w:rPr>
          <w:szCs w:val="24"/>
        </w:rPr>
        <w:t>investigations (</w:t>
      </w:r>
      <w:r w:rsidR="00E41E48">
        <w:rPr>
          <w:szCs w:val="24"/>
        </w:rPr>
        <w:t>$6</w:t>
      </w:r>
      <w:r w:rsidR="0077758E">
        <w:rPr>
          <w:szCs w:val="24"/>
        </w:rPr>
        <w:t>,</w:t>
      </w:r>
      <w:r w:rsidR="00BD4A7A" w:rsidRPr="00BD4A7A">
        <w:rPr>
          <w:szCs w:val="24"/>
        </w:rPr>
        <w:t>381</w:t>
      </w:r>
      <w:r w:rsidR="00B76F64" w:rsidRPr="005D1C77">
        <w:rPr>
          <w:szCs w:val="24"/>
        </w:rPr>
        <w:t xml:space="preserve"> vs. </w:t>
      </w:r>
      <w:r w:rsidR="00E41E48">
        <w:rPr>
          <w:szCs w:val="24"/>
        </w:rPr>
        <w:t>$3</w:t>
      </w:r>
      <w:r w:rsidR="0077758E">
        <w:rPr>
          <w:szCs w:val="24"/>
        </w:rPr>
        <w:t>,</w:t>
      </w:r>
      <w:r w:rsidR="00BD4A7A" w:rsidRPr="00BD4A7A">
        <w:rPr>
          <w:szCs w:val="24"/>
        </w:rPr>
        <w:t>728</w:t>
      </w:r>
      <w:r w:rsidRPr="00647B0A">
        <w:rPr>
          <w:szCs w:val="24"/>
        </w:rPr>
        <w:t>, Δ</w:t>
      </w:r>
      <w:r w:rsidR="0077758E">
        <w:rPr>
          <w:szCs w:val="24"/>
        </w:rPr>
        <w:t xml:space="preserve"> </w:t>
      </w:r>
      <w:r w:rsidRPr="00647B0A">
        <w:rPr>
          <w:szCs w:val="24"/>
        </w:rPr>
        <w:t>=</w:t>
      </w:r>
      <w:r w:rsidR="0077758E">
        <w:rPr>
          <w:szCs w:val="24"/>
        </w:rPr>
        <w:t xml:space="preserve"> </w:t>
      </w:r>
      <w:r w:rsidR="00E41E48">
        <w:rPr>
          <w:szCs w:val="24"/>
        </w:rPr>
        <w:t>$2</w:t>
      </w:r>
      <w:r w:rsidR="00333F50">
        <w:rPr>
          <w:szCs w:val="24"/>
        </w:rPr>
        <w:t>,</w:t>
      </w:r>
      <w:r w:rsidR="00BD4A7A" w:rsidRPr="00BD4A7A">
        <w:rPr>
          <w:szCs w:val="24"/>
        </w:rPr>
        <w:t>653</w:t>
      </w:r>
      <w:r w:rsidRPr="00647B0A">
        <w:rPr>
          <w:szCs w:val="24"/>
        </w:rPr>
        <w:t xml:space="preserve">), </w:t>
      </w:r>
      <w:r w:rsidR="00EF5036" w:rsidRPr="005D1C77">
        <w:rPr>
          <w:szCs w:val="24"/>
        </w:rPr>
        <w:t xml:space="preserve">and </w:t>
      </w:r>
      <w:r w:rsidR="00BD4A7A">
        <w:rPr>
          <w:szCs w:val="24"/>
        </w:rPr>
        <w:t>vascular disorders</w:t>
      </w:r>
      <w:r w:rsidR="00E1396E" w:rsidRPr="00647B0A">
        <w:rPr>
          <w:szCs w:val="24"/>
        </w:rPr>
        <w:t xml:space="preserve"> (</w:t>
      </w:r>
      <w:r w:rsidR="00E41E48">
        <w:rPr>
          <w:szCs w:val="24"/>
        </w:rPr>
        <w:t>$1</w:t>
      </w:r>
      <w:r w:rsidR="0077758E">
        <w:rPr>
          <w:szCs w:val="24"/>
        </w:rPr>
        <w:t>,</w:t>
      </w:r>
      <w:r w:rsidR="00BD4A7A" w:rsidRPr="00BD4A7A">
        <w:rPr>
          <w:szCs w:val="24"/>
        </w:rPr>
        <w:t>722</w:t>
      </w:r>
      <w:r w:rsidR="00BD4A7A" w:rsidRPr="00BD4A7A" w:rsidDel="00BD4A7A">
        <w:rPr>
          <w:szCs w:val="24"/>
        </w:rPr>
        <w:t xml:space="preserve"> </w:t>
      </w:r>
      <w:r w:rsidR="00B76F64" w:rsidRPr="005D1C77">
        <w:rPr>
          <w:szCs w:val="24"/>
        </w:rPr>
        <w:t xml:space="preserve">vs. </w:t>
      </w:r>
      <w:r w:rsidR="00BD4A7A" w:rsidRPr="00BD4A7A">
        <w:rPr>
          <w:szCs w:val="24"/>
        </w:rPr>
        <w:t>$349</w:t>
      </w:r>
      <w:r w:rsidR="00E1396E" w:rsidRPr="00647B0A">
        <w:rPr>
          <w:szCs w:val="24"/>
        </w:rPr>
        <w:t>, Δ</w:t>
      </w:r>
      <w:r w:rsidR="0077758E">
        <w:rPr>
          <w:szCs w:val="24"/>
        </w:rPr>
        <w:t xml:space="preserve"> </w:t>
      </w:r>
      <w:r w:rsidR="00E1396E" w:rsidRPr="00647B0A">
        <w:rPr>
          <w:szCs w:val="24"/>
        </w:rPr>
        <w:t>=</w:t>
      </w:r>
      <w:r w:rsidR="0077758E">
        <w:rPr>
          <w:szCs w:val="24"/>
        </w:rPr>
        <w:t xml:space="preserve"> </w:t>
      </w:r>
      <w:r w:rsidR="00E41E48">
        <w:rPr>
          <w:szCs w:val="24"/>
        </w:rPr>
        <w:t>$1</w:t>
      </w:r>
      <w:r w:rsidR="0077758E">
        <w:rPr>
          <w:szCs w:val="24"/>
        </w:rPr>
        <w:t>,</w:t>
      </w:r>
      <w:r w:rsidR="00BD4A7A" w:rsidRPr="00BD4A7A">
        <w:rPr>
          <w:szCs w:val="24"/>
        </w:rPr>
        <w:t>373</w:t>
      </w:r>
      <w:r w:rsidR="00E1396E" w:rsidRPr="00647B0A">
        <w:rPr>
          <w:szCs w:val="24"/>
        </w:rPr>
        <w:t>)</w:t>
      </w:r>
      <w:r w:rsidRPr="00647B0A">
        <w:t xml:space="preserve">. The </w:t>
      </w:r>
      <w:r w:rsidR="005722D1">
        <w:t xml:space="preserve">same </w:t>
      </w:r>
      <w:r w:rsidRPr="00647B0A">
        <w:t xml:space="preserve">top </w:t>
      </w:r>
      <w:r w:rsidR="00EF5036" w:rsidRPr="005D1C77">
        <w:t>three</w:t>
      </w:r>
      <w:r w:rsidRPr="00647B0A">
        <w:t xml:space="preserve"> categories</w:t>
      </w:r>
      <w:r w:rsidR="00B76F64" w:rsidRPr="005D1C77">
        <w:t xml:space="preserve"> dr</w:t>
      </w:r>
      <w:r w:rsidR="005722D1">
        <w:t>o</w:t>
      </w:r>
      <w:r w:rsidR="00B76F64" w:rsidRPr="005D1C77">
        <w:t>v</w:t>
      </w:r>
      <w:r w:rsidR="005722D1">
        <w:t>e</w:t>
      </w:r>
      <w:r w:rsidR="00B76F64" w:rsidRPr="005D1C77">
        <w:t xml:space="preserve"> the difference in AE costs</w:t>
      </w:r>
      <w:r w:rsidRPr="00647B0A">
        <w:t xml:space="preserve"> for treatment-related grade 3/4 AEs</w:t>
      </w:r>
      <w:r w:rsidR="00E1396E" w:rsidRPr="00647B0A">
        <w:t>.</w:t>
      </w:r>
      <w:r w:rsidRPr="00647B0A">
        <w:t xml:space="preserve"> </w:t>
      </w:r>
    </w:p>
    <w:p w14:paraId="3449FF5F" w14:textId="77777777" w:rsidR="00054E2B" w:rsidRDefault="00054E2B" w:rsidP="005D1C77">
      <w:pPr>
        <w:sectPr w:rsidR="00054E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26441F" w14:textId="1139C8A3" w:rsidR="002F4EEE" w:rsidRPr="006C48BD" w:rsidRDefault="002F4EEE" w:rsidP="00F83F49">
      <w:pPr>
        <w:pStyle w:val="Heading2"/>
      </w:pPr>
      <w:r>
        <w:lastRenderedPageBreak/>
        <w:t xml:space="preserve">Supplementary </w:t>
      </w:r>
      <w:r w:rsidR="00EC620E">
        <w:t>figure</w:t>
      </w:r>
    </w:p>
    <w:p w14:paraId="70AE0422" w14:textId="615BA09E" w:rsidR="007F1F90" w:rsidRPr="00E4751B" w:rsidRDefault="006C48BD" w:rsidP="000B54A5">
      <w:pPr>
        <w:pStyle w:val="Heading3"/>
        <w:spacing w:line="240" w:lineRule="auto"/>
        <w:rPr>
          <w:rFonts w:cs="Times New Roman"/>
        </w:rPr>
      </w:pPr>
      <w:r w:rsidRPr="000B54A5">
        <w:rPr>
          <w:rFonts w:ascii="Times New Roman" w:hAnsi="Times New Roman" w:cs="Times New Roman"/>
        </w:rPr>
        <w:t xml:space="preserve">Supplementary </w:t>
      </w:r>
      <w:r w:rsidR="00F22379">
        <w:rPr>
          <w:rFonts w:ascii="Times New Roman" w:hAnsi="Times New Roman" w:cs="Times New Roman"/>
        </w:rPr>
        <w:t>f</w:t>
      </w:r>
      <w:r w:rsidR="00F22379" w:rsidRPr="000B54A5">
        <w:rPr>
          <w:rFonts w:ascii="Times New Roman" w:hAnsi="Times New Roman" w:cs="Times New Roman"/>
        </w:rPr>
        <w:t xml:space="preserve">igure </w:t>
      </w:r>
      <w:r w:rsidRPr="000B54A5">
        <w:rPr>
          <w:rFonts w:ascii="Times New Roman" w:hAnsi="Times New Roman" w:cs="Times New Roman"/>
        </w:rPr>
        <w:t>1. Per</w:t>
      </w:r>
      <w:r w:rsidR="00054E2B" w:rsidRPr="000B54A5">
        <w:rPr>
          <w:rFonts w:ascii="Times New Roman" w:hAnsi="Times New Roman" w:cs="Times New Roman"/>
        </w:rPr>
        <w:t>-</w:t>
      </w:r>
      <w:r w:rsidRPr="000B54A5">
        <w:rPr>
          <w:rFonts w:ascii="Times New Roman" w:hAnsi="Times New Roman" w:cs="Times New Roman"/>
        </w:rPr>
        <w:t xml:space="preserve">patient </w:t>
      </w:r>
      <w:r w:rsidR="00C00C99" w:rsidRPr="000B54A5">
        <w:rPr>
          <w:rFonts w:ascii="Times New Roman" w:hAnsi="Times New Roman" w:cs="Times New Roman"/>
        </w:rPr>
        <w:t xml:space="preserve">all-cause and treatment-related </w:t>
      </w:r>
      <w:r w:rsidRPr="000B54A5">
        <w:rPr>
          <w:rFonts w:ascii="Times New Roman" w:hAnsi="Times New Roman" w:cs="Times New Roman"/>
        </w:rPr>
        <w:t xml:space="preserve">grade </w:t>
      </w:r>
      <w:r w:rsidR="007F3B72" w:rsidRPr="000B54A5">
        <w:rPr>
          <w:rFonts w:ascii="Times New Roman" w:hAnsi="Times New Roman" w:cs="Times New Roman"/>
        </w:rPr>
        <w:t>3/4</w:t>
      </w:r>
      <w:r w:rsidRPr="000B54A5">
        <w:rPr>
          <w:rFonts w:ascii="Times New Roman" w:hAnsi="Times New Roman" w:cs="Times New Roman"/>
        </w:rPr>
        <w:t xml:space="preserve"> AE costs over 42 </w:t>
      </w:r>
      <w:proofErr w:type="gramStart"/>
      <w:r w:rsidRPr="000B54A5">
        <w:rPr>
          <w:rFonts w:ascii="Times New Roman" w:hAnsi="Times New Roman" w:cs="Times New Roman"/>
        </w:rPr>
        <w:t>months</w:t>
      </w:r>
      <w:r w:rsidR="0037788B" w:rsidRPr="000B54A5">
        <w:rPr>
          <w:rFonts w:ascii="Times New Roman" w:hAnsi="Times New Roman" w:cs="Times New Roman"/>
          <w:vertAlign w:val="superscript"/>
        </w:rPr>
        <w:t>[</w:t>
      </w:r>
      <w:proofErr w:type="gramEnd"/>
      <w:r w:rsidR="0037788B" w:rsidRPr="000B54A5">
        <w:rPr>
          <w:rFonts w:ascii="Times New Roman" w:hAnsi="Times New Roman" w:cs="Times New Roman"/>
          <w:vertAlign w:val="superscript"/>
        </w:rPr>
        <w:t>1−3]</w:t>
      </w:r>
    </w:p>
    <w:p w14:paraId="3F8248C4" w14:textId="4384E45F" w:rsidR="00F27AC2" w:rsidRDefault="00C00C99" w:rsidP="000B54A5">
      <w:pPr>
        <w:pStyle w:val="Tabletitle"/>
      </w:pPr>
      <w:r w:rsidRPr="00D2563D">
        <w:rPr>
          <w:b w:val="0"/>
        </w:rPr>
        <w:t>(</w:t>
      </w:r>
      <w:r w:rsidR="00465E65">
        <w:rPr>
          <w:b w:val="0"/>
        </w:rPr>
        <w:t>a</w:t>
      </w:r>
      <w:r w:rsidRPr="00D2563D">
        <w:rPr>
          <w:b w:val="0"/>
        </w:rPr>
        <w:t xml:space="preserve">) </w:t>
      </w:r>
      <w:r w:rsidR="00BF4ED8">
        <w:rPr>
          <w:b w:val="0"/>
        </w:rPr>
        <w:t xml:space="preserve">Grade 3/4 </w:t>
      </w:r>
      <w:r w:rsidR="0037788B">
        <w:rPr>
          <w:b w:val="0"/>
        </w:rPr>
        <w:t>AE costs</w:t>
      </w:r>
      <w:r w:rsidR="00F22379">
        <w:rPr>
          <w:b w:val="0"/>
        </w:rPr>
        <w:t xml:space="preserve">, </w:t>
      </w:r>
      <w:r w:rsidR="00870848">
        <w:rPr>
          <w:b w:val="0"/>
        </w:rPr>
        <w:t xml:space="preserve">all treated </w:t>
      </w:r>
      <w:r w:rsidR="00BF4ED8">
        <w:rPr>
          <w:b w:val="0"/>
        </w:rPr>
        <w:t>population</w:t>
      </w:r>
      <w:r w:rsidR="0001651C">
        <w:rPr>
          <w:b w:val="0"/>
        </w:rPr>
        <w:t>; (</w:t>
      </w:r>
      <w:r w:rsidR="00465E65">
        <w:rPr>
          <w:b w:val="0"/>
        </w:rPr>
        <w:t>b</w:t>
      </w:r>
      <w:r w:rsidR="0001651C">
        <w:rPr>
          <w:b w:val="0"/>
        </w:rPr>
        <w:t xml:space="preserve">) </w:t>
      </w:r>
      <w:r w:rsidR="00BF4ED8">
        <w:rPr>
          <w:b w:val="0"/>
        </w:rPr>
        <w:t xml:space="preserve">Grade 3/4 </w:t>
      </w:r>
      <w:r w:rsidR="00F22379">
        <w:rPr>
          <w:b w:val="0"/>
        </w:rPr>
        <w:t xml:space="preserve">AE costs, </w:t>
      </w:r>
      <w:r w:rsidR="00870848" w:rsidRPr="00870848">
        <w:rPr>
          <w:b w:val="0"/>
          <w:szCs w:val="24"/>
        </w:rPr>
        <w:t>all treated patients with</w:t>
      </w:r>
      <w:r w:rsidR="00870848" w:rsidRPr="006C48BD">
        <w:rPr>
          <w:szCs w:val="24"/>
        </w:rPr>
        <w:t xml:space="preserve"> </w:t>
      </w:r>
      <w:r w:rsidR="00BF4ED8" w:rsidRPr="00D2563D">
        <w:rPr>
          <w:b w:val="0"/>
        </w:rPr>
        <w:t>intermediate/poor</w:t>
      </w:r>
      <w:r w:rsidR="00870848">
        <w:rPr>
          <w:b w:val="0"/>
        </w:rPr>
        <w:t xml:space="preserve"> </w:t>
      </w:r>
      <w:r w:rsidR="00BF4ED8" w:rsidRPr="00D2563D">
        <w:rPr>
          <w:b w:val="0"/>
        </w:rPr>
        <w:t>risk</w:t>
      </w:r>
      <w:r w:rsidR="0001651C">
        <w:rPr>
          <w:b w:val="0"/>
        </w:rPr>
        <w:t>.</w:t>
      </w:r>
    </w:p>
    <w:p w14:paraId="5A95ACD3" w14:textId="333BD1DF" w:rsidR="006C48BD" w:rsidRDefault="00020EE0" w:rsidP="00C76C91">
      <w:pPr>
        <w:pStyle w:val="Tabletitle"/>
      </w:pPr>
      <w:r>
        <w:t xml:space="preserve">a) </w:t>
      </w:r>
      <w:r>
        <w:rPr>
          <w:rFonts w:ascii="Arial" w:hAnsi="Arial"/>
          <w:b w:val="0"/>
          <w:noProof/>
        </w:rPr>
        <w:drawing>
          <wp:inline distT="0" distB="0" distL="0" distR="0" wp14:anchorId="246CA9A4" wp14:editId="2E8AAC43">
            <wp:extent cx="8229600" cy="4171315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MS_SUPP_F1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B33AB" w14:textId="77777777" w:rsidR="00020EE0" w:rsidRDefault="00020EE0" w:rsidP="006C48BD">
      <w:pPr>
        <w:pStyle w:val="FootnoteText"/>
        <w:rPr>
          <w:b/>
          <w:sz w:val="24"/>
        </w:rPr>
        <w:sectPr w:rsidR="00020EE0" w:rsidSect="00F83F4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5DEC0CB" w14:textId="36C4C3B6" w:rsidR="00020EE0" w:rsidRDefault="00020EE0" w:rsidP="006C48BD">
      <w:pPr>
        <w:pStyle w:val="FootnoteText"/>
        <w:rPr>
          <w:b/>
          <w:sz w:val="24"/>
        </w:rPr>
      </w:pPr>
      <w:r>
        <w:rPr>
          <w:b/>
          <w:sz w:val="24"/>
        </w:rPr>
        <w:lastRenderedPageBreak/>
        <w:t>b)</w:t>
      </w:r>
    </w:p>
    <w:p w14:paraId="0673A51A" w14:textId="12376224" w:rsidR="0001651C" w:rsidRDefault="00020EE0" w:rsidP="006C48BD">
      <w:pPr>
        <w:pStyle w:val="FootnoteText"/>
        <w:rPr>
          <w:b/>
        </w:rPr>
      </w:pPr>
      <w:r>
        <w:rPr>
          <w:rFonts w:ascii="Arial" w:hAnsi="Arial"/>
          <w:noProof/>
        </w:rPr>
        <w:drawing>
          <wp:inline distT="0" distB="0" distL="0" distR="0" wp14:anchorId="2804CB98" wp14:editId="1D3A9F83">
            <wp:extent cx="8074325" cy="4108187"/>
            <wp:effectExtent l="0" t="0" r="3175" b="698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MS_SUPP_F1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0231" cy="41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E48DD" w14:textId="77777777" w:rsidR="00020EE0" w:rsidRDefault="00020EE0" w:rsidP="006C48BD">
      <w:pPr>
        <w:pStyle w:val="FootnoteText"/>
        <w:rPr>
          <w:b/>
        </w:rPr>
      </w:pPr>
    </w:p>
    <w:p w14:paraId="30A5B54A" w14:textId="6FB5FC46" w:rsidR="006C48BD" w:rsidRPr="00326809" w:rsidRDefault="00C00C99" w:rsidP="006C48BD">
      <w:pPr>
        <w:pStyle w:val="FootnoteText"/>
      </w:pPr>
      <w:r w:rsidRPr="00F83F49">
        <w:rPr>
          <w:b/>
        </w:rPr>
        <w:t xml:space="preserve">Abbreviations: </w:t>
      </w:r>
      <w:r w:rsidR="006C48BD" w:rsidRPr="00326809">
        <w:t xml:space="preserve">AE: adverse event; </w:t>
      </w:r>
      <w:proofErr w:type="spellStart"/>
      <w:r w:rsidR="006C48BD" w:rsidRPr="00326809">
        <w:t>aRCC</w:t>
      </w:r>
      <w:proofErr w:type="spellEnd"/>
      <w:r w:rsidR="006C48BD" w:rsidRPr="00326809">
        <w:t>: advanced or metastatic renal cell carcinoma</w:t>
      </w:r>
      <w:r w:rsidR="00640EC7">
        <w:rPr>
          <w:rFonts w:eastAsia="Times New Roman" w:cs="Times New Roman"/>
          <w:bCs/>
          <w:lang w:eastAsia="en-US"/>
        </w:rPr>
        <w:t>.</w:t>
      </w:r>
    </w:p>
    <w:p w14:paraId="60289B51" w14:textId="77777777" w:rsidR="006C48BD" w:rsidRPr="00B96EB9" w:rsidRDefault="006C48BD" w:rsidP="006C48BD">
      <w:pPr>
        <w:pStyle w:val="FootnoteText"/>
        <w:rPr>
          <w:b/>
        </w:rPr>
      </w:pPr>
      <w:r w:rsidRPr="00B96EB9">
        <w:rPr>
          <w:b/>
        </w:rPr>
        <w:t>Notes:</w:t>
      </w:r>
    </w:p>
    <w:p w14:paraId="10DB5E8D" w14:textId="35E9846D" w:rsidR="006C48BD" w:rsidRPr="005C70D7" w:rsidRDefault="006C48BD" w:rsidP="006C48BD">
      <w:pPr>
        <w:pStyle w:val="FootnoteText"/>
      </w:pPr>
      <w:r w:rsidRPr="005C70D7">
        <w:t xml:space="preserve">[1] </w:t>
      </w:r>
      <w:r w:rsidR="00B05880" w:rsidRPr="00B05880">
        <w:t xml:space="preserve">Analyses were conducted in patients with </w:t>
      </w:r>
      <w:proofErr w:type="spellStart"/>
      <w:r w:rsidR="00B05880" w:rsidRPr="00B05880">
        <w:t>aRCC</w:t>
      </w:r>
      <w:proofErr w:type="spellEnd"/>
      <w:r w:rsidR="00B05880" w:rsidRPr="00B05880">
        <w:t xml:space="preserve"> </w:t>
      </w:r>
      <w:r w:rsidR="00BF4ED8">
        <w:t xml:space="preserve">in </w:t>
      </w:r>
      <w:proofErr w:type="gramStart"/>
      <w:r w:rsidR="00BF4ED8">
        <w:t xml:space="preserve">the </w:t>
      </w:r>
      <w:r w:rsidR="00870848">
        <w:t>all</w:t>
      </w:r>
      <w:proofErr w:type="gramEnd"/>
      <w:r w:rsidR="00870848">
        <w:t xml:space="preserve"> treated </w:t>
      </w:r>
      <w:r w:rsidR="00BF4ED8">
        <w:t>population</w:t>
      </w:r>
      <w:r w:rsidR="00BF4ED8" w:rsidRPr="005C70D7">
        <w:t xml:space="preserve"> </w:t>
      </w:r>
      <w:r>
        <w:t>(</w:t>
      </w:r>
      <w:r w:rsidRPr="00F83F49">
        <w:rPr>
          <w:b/>
        </w:rPr>
        <w:t>Supplementary Figure 1</w:t>
      </w:r>
      <w:r w:rsidR="00F27AC2">
        <w:rPr>
          <w:b/>
        </w:rPr>
        <w:t>a</w:t>
      </w:r>
      <w:r>
        <w:t>)</w:t>
      </w:r>
      <w:r w:rsidRPr="005C70D7">
        <w:t xml:space="preserve"> </w:t>
      </w:r>
      <w:r>
        <w:t xml:space="preserve">and </w:t>
      </w:r>
      <w:r w:rsidR="00870848">
        <w:t xml:space="preserve">all treated patients with </w:t>
      </w:r>
      <w:r>
        <w:t>i</w:t>
      </w:r>
      <w:r w:rsidRPr="005167D1">
        <w:t>ntermediate/</w:t>
      </w:r>
      <w:r>
        <w:t>p</w:t>
      </w:r>
      <w:r w:rsidRPr="005167D1">
        <w:t>oor</w:t>
      </w:r>
      <w:r w:rsidR="00870848">
        <w:t xml:space="preserve"> </w:t>
      </w:r>
      <w:r>
        <w:t>r</w:t>
      </w:r>
      <w:r w:rsidRPr="005167D1">
        <w:t>isk</w:t>
      </w:r>
      <w:r>
        <w:t xml:space="preserve"> (</w:t>
      </w:r>
      <w:r w:rsidRPr="00F83F49">
        <w:rPr>
          <w:b/>
        </w:rPr>
        <w:t xml:space="preserve">Supplementary Figure </w:t>
      </w:r>
      <w:r w:rsidR="007E3736" w:rsidRPr="00F83F49">
        <w:rPr>
          <w:b/>
        </w:rPr>
        <w:t>1</w:t>
      </w:r>
      <w:r w:rsidR="00F27AC2">
        <w:rPr>
          <w:b/>
        </w:rPr>
        <w:t>b</w:t>
      </w:r>
      <w:r>
        <w:t>)</w:t>
      </w:r>
      <w:r w:rsidRPr="005167D1">
        <w:t xml:space="preserve"> </w:t>
      </w:r>
      <w:r w:rsidRPr="005C70D7">
        <w:t xml:space="preserve">who received at least one dose of the study drug in </w:t>
      </w:r>
      <w:proofErr w:type="spellStart"/>
      <w:r w:rsidRPr="005C70D7">
        <w:t>CheckMate</w:t>
      </w:r>
      <w:proofErr w:type="spellEnd"/>
      <w:r w:rsidRPr="005C70D7">
        <w:t xml:space="preserve"> 214.</w:t>
      </w:r>
      <w:r w:rsidRPr="005C70D7">
        <w:rPr>
          <w:noProof/>
        </w:rPr>
        <w:t xml:space="preserve"> </w:t>
      </w:r>
    </w:p>
    <w:p w14:paraId="4AC6FED2" w14:textId="717B3096" w:rsidR="006C48BD" w:rsidRPr="005C70D7" w:rsidRDefault="006C48BD" w:rsidP="006C48BD">
      <w:pPr>
        <w:pStyle w:val="FootnoteText"/>
        <w:rPr>
          <w:rFonts w:cs="Times New Roman"/>
        </w:rPr>
      </w:pPr>
      <w:r w:rsidRPr="005C70D7">
        <w:rPr>
          <w:rFonts w:cs="Times New Roman"/>
        </w:rPr>
        <w:t>[2] Per-patient AE cost</w:t>
      </w:r>
      <w:r w:rsidR="00326809">
        <w:rPr>
          <w:rFonts w:cs="Times New Roman"/>
        </w:rPr>
        <w:t>s</w:t>
      </w:r>
      <w:r w:rsidRPr="005C70D7">
        <w:rPr>
          <w:rFonts w:cs="Times New Roman"/>
        </w:rPr>
        <w:t xml:space="preserve"> </w:t>
      </w:r>
      <w:r w:rsidR="00326809">
        <w:rPr>
          <w:rFonts w:cs="Times New Roman"/>
        </w:rPr>
        <w:t>for each</w:t>
      </w:r>
      <w:r w:rsidRPr="005C70D7">
        <w:rPr>
          <w:rFonts w:cs="Times New Roman"/>
        </w:rPr>
        <w:t xml:space="preserve"> AE category over 42 months were calculated by summing grade </w:t>
      </w:r>
      <w:r w:rsidR="007F3B72">
        <w:rPr>
          <w:rFonts w:cs="Times New Roman"/>
        </w:rPr>
        <w:t>3/4</w:t>
      </w:r>
      <w:r w:rsidRPr="005C70D7">
        <w:rPr>
          <w:rFonts w:cs="Times New Roman"/>
        </w:rPr>
        <w:t xml:space="preserve"> AE costs within each AE category over 42 months.  </w:t>
      </w:r>
    </w:p>
    <w:p w14:paraId="449C244E" w14:textId="40A251B5" w:rsidR="00D60A92" w:rsidRPr="00D60A92" w:rsidRDefault="006C48BD" w:rsidP="00F83F49">
      <w:pPr>
        <w:pStyle w:val="FootnoteText"/>
      </w:pPr>
      <w:r w:rsidRPr="005C70D7">
        <w:t xml:space="preserve">[3] Legends for </w:t>
      </w:r>
      <w:r>
        <w:t xml:space="preserve">all-cause and treatment-related </w:t>
      </w:r>
      <w:r w:rsidRPr="005C70D7">
        <w:t xml:space="preserve">AEs with per-patient AE costs less than or equal to $100 for the 42-month period are not shown. </w:t>
      </w:r>
      <w:r>
        <w:t xml:space="preserve">Among patients experiencing all-cause and treatment-related AEs in </w:t>
      </w:r>
      <w:proofErr w:type="gramStart"/>
      <w:r>
        <w:t xml:space="preserve">the </w:t>
      </w:r>
      <w:r w:rsidR="00870848">
        <w:t>all</w:t>
      </w:r>
      <w:proofErr w:type="gramEnd"/>
      <w:r w:rsidR="00870848">
        <w:t xml:space="preserve"> treated </w:t>
      </w:r>
      <w:r>
        <w:t>population, t</w:t>
      </w:r>
      <w:r w:rsidRPr="005C70D7">
        <w:t>his includes</w:t>
      </w:r>
      <w:r>
        <w:t xml:space="preserve"> </w:t>
      </w:r>
      <w:r w:rsidRPr="004E0C06">
        <w:t>ear and labyrinth disorders, eye disorders, reproductive system and breast disorders, social circumstances, pregnancy, puerperium and perinatal conditions, and product issues.</w:t>
      </w:r>
      <w:r w:rsidR="00BF4ED8">
        <w:t xml:space="preserve"> Among patients experiencing all-cause and treatment-related AEs in the i</w:t>
      </w:r>
      <w:r w:rsidR="00BF4ED8" w:rsidRPr="005167D1">
        <w:t>ntermediate/</w:t>
      </w:r>
      <w:r w:rsidR="00BF4ED8">
        <w:t>p</w:t>
      </w:r>
      <w:r w:rsidR="00BF4ED8" w:rsidRPr="005167D1">
        <w:t>oor-</w:t>
      </w:r>
      <w:r w:rsidR="00BF4ED8">
        <w:t>risk population, t</w:t>
      </w:r>
      <w:r w:rsidR="00BF4ED8" w:rsidRPr="005C70D7">
        <w:t>his includes ear and labyrinth disorders, eye disorders, reproductive system and breast disorders, social circumstances, pregnancy, puerperium and perinatal conditions, and product issues.</w:t>
      </w:r>
    </w:p>
    <w:sectPr w:rsidR="00D60A92" w:rsidRPr="00D60A92" w:rsidSect="00F83F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2"/>
    <w:family w:val="roman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5CC"/>
    <w:multiLevelType w:val="multilevel"/>
    <w:tmpl w:val="59045498"/>
    <w:lvl w:ilvl="0">
      <w:start w:val="1"/>
      <w:numFmt w:val="bullet"/>
      <w:pStyle w:val="BM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79D"/>
    <w:multiLevelType w:val="hybridMultilevel"/>
    <w:tmpl w:val="4052F4AE"/>
    <w:lvl w:ilvl="0" w:tplc="CEAC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E33"/>
    <w:multiLevelType w:val="hybridMultilevel"/>
    <w:tmpl w:val="60F87BD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D10C548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08EFEB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FB0DA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AB26606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DEF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D83"/>
    <w:multiLevelType w:val="hybridMultilevel"/>
    <w:tmpl w:val="C0DE9184"/>
    <w:lvl w:ilvl="0" w:tplc="CEAC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07C6"/>
    <w:multiLevelType w:val="hybridMultilevel"/>
    <w:tmpl w:val="13B2F714"/>
    <w:lvl w:ilvl="0" w:tplc="3322E57A">
      <w:start w:val="1"/>
      <w:numFmt w:val="upperLetter"/>
      <w:lvlText w:val="%1)"/>
      <w:lvlJc w:val="left"/>
      <w:pPr>
        <w:ind w:left="360" w:hanging="360"/>
      </w:pPr>
      <w:rPr>
        <w:rFonts w:eastAsia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0582C"/>
    <w:multiLevelType w:val="hybridMultilevel"/>
    <w:tmpl w:val="D19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76CDC"/>
    <w:multiLevelType w:val="hybridMultilevel"/>
    <w:tmpl w:val="EBFC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0173"/>
    <w:multiLevelType w:val="hybridMultilevel"/>
    <w:tmpl w:val="75BA01C6"/>
    <w:lvl w:ilvl="0" w:tplc="CEAC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3BEA"/>
    <w:multiLevelType w:val="hybridMultilevel"/>
    <w:tmpl w:val="A3A0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B5DE7"/>
    <w:multiLevelType w:val="hybridMultilevel"/>
    <w:tmpl w:val="5BF0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D1F66"/>
    <w:multiLevelType w:val="hybridMultilevel"/>
    <w:tmpl w:val="8006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F647F"/>
    <w:multiLevelType w:val="hybridMultilevel"/>
    <w:tmpl w:val="9640BD28"/>
    <w:lvl w:ilvl="0" w:tplc="E612EC1C">
      <w:start w:val="1"/>
      <w:numFmt w:val="upperLetter"/>
      <w:lvlText w:val="%1)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061E7"/>
    <w:multiLevelType w:val="hybridMultilevel"/>
    <w:tmpl w:val="E698F606"/>
    <w:lvl w:ilvl="0" w:tplc="E84C2DA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C2C9F"/>
    <w:multiLevelType w:val="hybridMultilevel"/>
    <w:tmpl w:val="0C3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A05DF"/>
    <w:multiLevelType w:val="hybridMultilevel"/>
    <w:tmpl w:val="2782EB4E"/>
    <w:lvl w:ilvl="0" w:tplc="A6BE5B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8B494C"/>
    <w:multiLevelType w:val="hybridMultilevel"/>
    <w:tmpl w:val="5336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621DC"/>
    <w:multiLevelType w:val="hybridMultilevel"/>
    <w:tmpl w:val="D2CC8686"/>
    <w:lvl w:ilvl="0" w:tplc="EBF84D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74E4E"/>
    <w:multiLevelType w:val="hybridMultilevel"/>
    <w:tmpl w:val="A2A6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14C97"/>
    <w:multiLevelType w:val="hybridMultilevel"/>
    <w:tmpl w:val="F9CA69A8"/>
    <w:lvl w:ilvl="0" w:tplc="F154B3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9664BA"/>
    <w:multiLevelType w:val="hybridMultilevel"/>
    <w:tmpl w:val="97EA691A"/>
    <w:lvl w:ilvl="0" w:tplc="687E31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F0E4B"/>
    <w:multiLevelType w:val="hybridMultilevel"/>
    <w:tmpl w:val="F0F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E46CC"/>
    <w:multiLevelType w:val="hybridMultilevel"/>
    <w:tmpl w:val="E5128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01A7F"/>
    <w:multiLevelType w:val="hybridMultilevel"/>
    <w:tmpl w:val="4118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E387B"/>
    <w:multiLevelType w:val="hybridMultilevel"/>
    <w:tmpl w:val="F2BC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C3519"/>
    <w:multiLevelType w:val="hybridMultilevel"/>
    <w:tmpl w:val="3B0818A6"/>
    <w:lvl w:ilvl="0" w:tplc="F752A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F02FC"/>
    <w:multiLevelType w:val="hybridMultilevel"/>
    <w:tmpl w:val="54268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24724B"/>
    <w:multiLevelType w:val="multilevel"/>
    <w:tmpl w:val="637CF56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2E74B5" w:themeColor="accent1" w:themeShade="BF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72069F0"/>
    <w:multiLevelType w:val="hybridMultilevel"/>
    <w:tmpl w:val="CFE2A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87117"/>
    <w:multiLevelType w:val="hybridMultilevel"/>
    <w:tmpl w:val="D17C1666"/>
    <w:lvl w:ilvl="0" w:tplc="7DC0C1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10B52"/>
    <w:multiLevelType w:val="hybridMultilevel"/>
    <w:tmpl w:val="A518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D66D4"/>
    <w:multiLevelType w:val="hybridMultilevel"/>
    <w:tmpl w:val="3B0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B72A2"/>
    <w:multiLevelType w:val="hybridMultilevel"/>
    <w:tmpl w:val="04A21CDA"/>
    <w:lvl w:ilvl="0" w:tplc="CEAC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379C5"/>
    <w:multiLevelType w:val="hybridMultilevel"/>
    <w:tmpl w:val="3FA29BCE"/>
    <w:lvl w:ilvl="0" w:tplc="CEAC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D1423"/>
    <w:multiLevelType w:val="hybridMultilevel"/>
    <w:tmpl w:val="4ACAB83E"/>
    <w:lvl w:ilvl="0" w:tplc="E612EC1C">
      <w:start w:val="1"/>
      <w:numFmt w:val="upperLetter"/>
      <w:lvlText w:val="%1)"/>
      <w:lvlJc w:val="left"/>
      <w:pPr>
        <w:ind w:left="360" w:hanging="360"/>
      </w:pPr>
      <w:rPr>
        <w:rFonts w:eastAsia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87EFC"/>
    <w:multiLevelType w:val="hybridMultilevel"/>
    <w:tmpl w:val="90D603C4"/>
    <w:lvl w:ilvl="0" w:tplc="CEAC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A2A08"/>
    <w:multiLevelType w:val="hybridMultilevel"/>
    <w:tmpl w:val="6A8E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40DE8"/>
    <w:multiLevelType w:val="hybridMultilevel"/>
    <w:tmpl w:val="5F70B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0B7EBB"/>
    <w:multiLevelType w:val="hybridMultilevel"/>
    <w:tmpl w:val="9676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D5E69"/>
    <w:multiLevelType w:val="hybridMultilevel"/>
    <w:tmpl w:val="67BA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F1566"/>
    <w:multiLevelType w:val="hybridMultilevel"/>
    <w:tmpl w:val="1A42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44AE5"/>
    <w:multiLevelType w:val="hybridMultilevel"/>
    <w:tmpl w:val="CE2E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B77283"/>
    <w:multiLevelType w:val="hybridMultilevel"/>
    <w:tmpl w:val="3E04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A1603E"/>
    <w:multiLevelType w:val="hybridMultilevel"/>
    <w:tmpl w:val="6198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D3AD0"/>
    <w:multiLevelType w:val="hybridMultilevel"/>
    <w:tmpl w:val="5496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A0D8D"/>
    <w:multiLevelType w:val="hybridMultilevel"/>
    <w:tmpl w:val="4614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6436A"/>
    <w:multiLevelType w:val="hybridMultilevel"/>
    <w:tmpl w:val="1C86847A"/>
    <w:lvl w:ilvl="0" w:tplc="CEAC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35B8C"/>
    <w:multiLevelType w:val="hybridMultilevel"/>
    <w:tmpl w:val="6170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239A8"/>
    <w:multiLevelType w:val="hybridMultilevel"/>
    <w:tmpl w:val="1F321D50"/>
    <w:lvl w:ilvl="0" w:tplc="0D8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7D7E41"/>
    <w:multiLevelType w:val="hybridMultilevel"/>
    <w:tmpl w:val="C2BE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B32EFA"/>
    <w:multiLevelType w:val="hybridMultilevel"/>
    <w:tmpl w:val="F72602C2"/>
    <w:lvl w:ilvl="0" w:tplc="CEAC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734840"/>
    <w:multiLevelType w:val="hybridMultilevel"/>
    <w:tmpl w:val="1170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15"/>
  </w:num>
  <w:num w:numId="4">
    <w:abstractNumId w:val="13"/>
  </w:num>
  <w:num w:numId="5">
    <w:abstractNumId w:val="36"/>
  </w:num>
  <w:num w:numId="6">
    <w:abstractNumId w:val="0"/>
  </w:num>
  <w:num w:numId="7">
    <w:abstractNumId w:val="24"/>
  </w:num>
  <w:num w:numId="8">
    <w:abstractNumId w:val="22"/>
  </w:num>
  <w:num w:numId="9">
    <w:abstractNumId w:val="9"/>
  </w:num>
  <w:num w:numId="10">
    <w:abstractNumId w:val="35"/>
  </w:num>
  <w:num w:numId="11">
    <w:abstractNumId w:val="8"/>
  </w:num>
  <w:num w:numId="12">
    <w:abstractNumId w:val="5"/>
  </w:num>
  <w:num w:numId="13">
    <w:abstractNumId w:val="30"/>
  </w:num>
  <w:num w:numId="14">
    <w:abstractNumId w:val="32"/>
  </w:num>
  <w:num w:numId="15">
    <w:abstractNumId w:val="49"/>
  </w:num>
  <w:num w:numId="16">
    <w:abstractNumId w:val="31"/>
  </w:num>
  <w:num w:numId="17">
    <w:abstractNumId w:val="1"/>
  </w:num>
  <w:num w:numId="18">
    <w:abstractNumId w:val="3"/>
  </w:num>
  <w:num w:numId="19">
    <w:abstractNumId w:val="34"/>
  </w:num>
  <w:num w:numId="20">
    <w:abstractNumId w:val="45"/>
  </w:num>
  <w:num w:numId="21">
    <w:abstractNumId w:val="7"/>
  </w:num>
  <w:num w:numId="22">
    <w:abstractNumId w:val="37"/>
  </w:num>
  <w:num w:numId="23">
    <w:abstractNumId w:val="48"/>
  </w:num>
  <w:num w:numId="24">
    <w:abstractNumId w:val="27"/>
  </w:num>
  <w:num w:numId="25">
    <w:abstractNumId w:val="39"/>
  </w:num>
  <w:num w:numId="26">
    <w:abstractNumId w:val="10"/>
  </w:num>
  <w:num w:numId="27">
    <w:abstractNumId w:val="44"/>
  </w:num>
  <w:num w:numId="28">
    <w:abstractNumId w:val="25"/>
  </w:num>
  <w:num w:numId="29">
    <w:abstractNumId w:val="6"/>
  </w:num>
  <w:num w:numId="30">
    <w:abstractNumId w:val="50"/>
  </w:num>
  <w:num w:numId="31">
    <w:abstractNumId w:val="23"/>
  </w:num>
  <w:num w:numId="32">
    <w:abstractNumId w:val="41"/>
  </w:num>
  <w:num w:numId="33">
    <w:abstractNumId w:val="43"/>
  </w:num>
  <w:num w:numId="34">
    <w:abstractNumId w:val="47"/>
  </w:num>
  <w:num w:numId="35">
    <w:abstractNumId w:val="38"/>
  </w:num>
  <w:num w:numId="36">
    <w:abstractNumId w:val="29"/>
  </w:num>
  <w:num w:numId="37">
    <w:abstractNumId w:val="2"/>
  </w:num>
  <w:num w:numId="38">
    <w:abstractNumId w:val="18"/>
  </w:num>
  <w:num w:numId="39">
    <w:abstractNumId w:val="14"/>
  </w:num>
  <w:num w:numId="40">
    <w:abstractNumId w:val="28"/>
  </w:num>
  <w:num w:numId="41">
    <w:abstractNumId w:val="16"/>
  </w:num>
  <w:num w:numId="42">
    <w:abstractNumId w:val="26"/>
  </w:num>
  <w:num w:numId="43">
    <w:abstractNumId w:val="17"/>
  </w:num>
  <w:num w:numId="44">
    <w:abstractNumId w:val="26"/>
  </w:num>
  <w:num w:numId="45">
    <w:abstractNumId w:val="26"/>
  </w:num>
  <w:num w:numId="46">
    <w:abstractNumId w:val="46"/>
  </w:num>
  <w:num w:numId="47">
    <w:abstractNumId w:val="19"/>
  </w:num>
  <w:num w:numId="48">
    <w:abstractNumId w:val="4"/>
  </w:num>
  <w:num w:numId="49">
    <w:abstractNumId w:val="11"/>
  </w:num>
  <w:num w:numId="50">
    <w:abstractNumId w:val="33"/>
  </w:num>
  <w:num w:numId="51">
    <w:abstractNumId w:val="26"/>
  </w:num>
  <w:num w:numId="52">
    <w:abstractNumId w:val="12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42"/>
  </w:num>
  <w:num w:numId="58">
    <w:abstractNumId w:val="21"/>
  </w:num>
  <w:num w:numId="59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uture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szse52esspeyerxp8p9zfqta9rwp2t2rvs&quot;&gt;Temporal trend N+I manuscript&lt;record-ids&gt;&lt;item&gt;1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2&lt;/item&gt;&lt;item&gt;23&lt;/item&gt;&lt;item&gt;24&lt;/item&gt;&lt;item&gt;25&lt;/item&gt;&lt;item&gt;26&lt;/item&gt;&lt;item&gt;27&lt;/item&gt;&lt;item&gt;28&lt;/item&gt;&lt;item&gt;33&lt;/item&gt;&lt;item&gt;34&lt;/item&gt;&lt;item&gt;35&lt;/item&gt;&lt;item&gt;36&lt;/item&gt;&lt;item&gt;37&lt;/item&gt;&lt;item&gt;40&lt;/item&gt;&lt;item&gt;41&lt;/item&gt;&lt;item&gt;43&lt;/item&gt;&lt;item&gt;44&lt;/item&gt;&lt;item&gt;45&lt;/item&gt;&lt;item&gt;47&lt;/item&gt;&lt;item&gt;48&lt;/item&gt;&lt;/record-ids&gt;&lt;/item&gt;&lt;/Libraries&gt;"/>
  </w:docVars>
  <w:rsids>
    <w:rsidRoot w:val="006C4FAC"/>
    <w:rsid w:val="00003CC6"/>
    <w:rsid w:val="000042E9"/>
    <w:rsid w:val="000048D6"/>
    <w:rsid w:val="00006B5B"/>
    <w:rsid w:val="00011E41"/>
    <w:rsid w:val="00012204"/>
    <w:rsid w:val="0001651C"/>
    <w:rsid w:val="00020807"/>
    <w:rsid w:val="00020EE0"/>
    <w:rsid w:val="0002485F"/>
    <w:rsid w:val="00027047"/>
    <w:rsid w:val="00027D31"/>
    <w:rsid w:val="000352D3"/>
    <w:rsid w:val="000353A1"/>
    <w:rsid w:val="000357E5"/>
    <w:rsid w:val="0003620A"/>
    <w:rsid w:val="000372D9"/>
    <w:rsid w:val="00037EDB"/>
    <w:rsid w:val="00042330"/>
    <w:rsid w:val="00044E13"/>
    <w:rsid w:val="000458C7"/>
    <w:rsid w:val="00046CA4"/>
    <w:rsid w:val="00050114"/>
    <w:rsid w:val="000518FE"/>
    <w:rsid w:val="00052ABE"/>
    <w:rsid w:val="00054789"/>
    <w:rsid w:val="00054AFF"/>
    <w:rsid w:val="00054E2B"/>
    <w:rsid w:val="000608A2"/>
    <w:rsid w:val="000618AA"/>
    <w:rsid w:val="00065CB9"/>
    <w:rsid w:val="00070ED7"/>
    <w:rsid w:val="00073770"/>
    <w:rsid w:val="00074FEA"/>
    <w:rsid w:val="00076628"/>
    <w:rsid w:val="00081B91"/>
    <w:rsid w:val="00083D3E"/>
    <w:rsid w:val="00085EBF"/>
    <w:rsid w:val="00086251"/>
    <w:rsid w:val="000866CB"/>
    <w:rsid w:val="0009007A"/>
    <w:rsid w:val="0009201F"/>
    <w:rsid w:val="000A1AF9"/>
    <w:rsid w:val="000A3D3F"/>
    <w:rsid w:val="000A5B5C"/>
    <w:rsid w:val="000A6E59"/>
    <w:rsid w:val="000B248D"/>
    <w:rsid w:val="000B4522"/>
    <w:rsid w:val="000B52B5"/>
    <w:rsid w:val="000B54A5"/>
    <w:rsid w:val="000B683E"/>
    <w:rsid w:val="000C0B02"/>
    <w:rsid w:val="000C21D8"/>
    <w:rsid w:val="000C3018"/>
    <w:rsid w:val="000C33EB"/>
    <w:rsid w:val="000C3BD9"/>
    <w:rsid w:val="000C402C"/>
    <w:rsid w:val="000D0EF5"/>
    <w:rsid w:val="000D22B6"/>
    <w:rsid w:val="000D456B"/>
    <w:rsid w:val="000D4896"/>
    <w:rsid w:val="000D5F1C"/>
    <w:rsid w:val="000D647D"/>
    <w:rsid w:val="000E6DAB"/>
    <w:rsid w:val="000E6E62"/>
    <w:rsid w:val="000E730A"/>
    <w:rsid w:val="000E7342"/>
    <w:rsid w:val="000F2CA8"/>
    <w:rsid w:val="000F447B"/>
    <w:rsid w:val="000F4551"/>
    <w:rsid w:val="000F5238"/>
    <w:rsid w:val="000F7996"/>
    <w:rsid w:val="000F7EAA"/>
    <w:rsid w:val="00106581"/>
    <w:rsid w:val="00106730"/>
    <w:rsid w:val="00110BB2"/>
    <w:rsid w:val="00114EF7"/>
    <w:rsid w:val="00116089"/>
    <w:rsid w:val="00124B9C"/>
    <w:rsid w:val="00126013"/>
    <w:rsid w:val="00127174"/>
    <w:rsid w:val="00136C1C"/>
    <w:rsid w:val="0013724D"/>
    <w:rsid w:val="001453ED"/>
    <w:rsid w:val="00145668"/>
    <w:rsid w:val="0014756C"/>
    <w:rsid w:val="00151223"/>
    <w:rsid w:val="001571F9"/>
    <w:rsid w:val="0015732E"/>
    <w:rsid w:val="001574AD"/>
    <w:rsid w:val="001608FC"/>
    <w:rsid w:val="00160BBA"/>
    <w:rsid w:val="00162835"/>
    <w:rsid w:val="00164DA7"/>
    <w:rsid w:val="001653B4"/>
    <w:rsid w:val="0016560F"/>
    <w:rsid w:val="00167CE4"/>
    <w:rsid w:val="0017161F"/>
    <w:rsid w:val="0017184F"/>
    <w:rsid w:val="00175C71"/>
    <w:rsid w:val="00183DCD"/>
    <w:rsid w:val="001859C7"/>
    <w:rsid w:val="00185E8A"/>
    <w:rsid w:val="001926F1"/>
    <w:rsid w:val="00192F36"/>
    <w:rsid w:val="001A0111"/>
    <w:rsid w:val="001A4AA6"/>
    <w:rsid w:val="001A73C3"/>
    <w:rsid w:val="001B1DBB"/>
    <w:rsid w:val="001B2680"/>
    <w:rsid w:val="001B4D2C"/>
    <w:rsid w:val="001B7067"/>
    <w:rsid w:val="001C051A"/>
    <w:rsid w:val="001C42CA"/>
    <w:rsid w:val="001C686E"/>
    <w:rsid w:val="001D476C"/>
    <w:rsid w:val="001E224E"/>
    <w:rsid w:val="001E49D4"/>
    <w:rsid w:val="001E564A"/>
    <w:rsid w:val="001E5A3B"/>
    <w:rsid w:val="001E7878"/>
    <w:rsid w:val="001F0667"/>
    <w:rsid w:val="001F0BA8"/>
    <w:rsid w:val="001F1CCC"/>
    <w:rsid w:val="00200ED4"/>
    <w:rsid w:val="00203032"/>
    <w:rsid w:val="00207965"/>
    <w:rsid w:val="00210C25"/>
    <w:rsid w:val="00213E97"/>
    <w:rsid w:val="00216029"/>
    <w:rsid w:val="00217603"/>
    <w:rsid w:val="002218A9"/>
    <w:rsid w:val="00226FBE"/>
    <w:rsid w:val="00227E7D"/>
    <w:rsid w:val="00227F5A"/>
    <w:rsid w:val="002315D2"/>
    <w:rsid w:val="002343A3"/>
    <w:rsid w:val="00235DE8"/>
    <w:rsid w:val="00236409"/>
    <w:rsid w:val="002369E8"/>
    <w:rsid w:val="0024065C"/>
    <w:rsid w:val="0024193B"/>
    <w:rsid w:val="002442D4"/>
    <w:rsid w:val="00245CA3"/>
    <w:rsid w:val="002462A7"/>
    <w:rsid w:val="002568DD"/>
    <w:rsid w:val="00260CFA"/>
    <w:rsid w:val="00263D2E"/>
    <w:rsid w:val="0026525C"/>
    <w:rsid w:val="002653C0"/>
    <w:rsid w:val="00271B99"/>
    <w:rsid w:val="00275192"/>
    <w:rsid w:val="00276D71"/>
    <w:rsid w:val="00280D2A"/>
    <w:rsid w:val="00281A43"/>
    <w:rsid w:val="002845A7"/>
    <w:rsid w:val="002866FB"/>
    <w:rsid w:val="00286AC0"/>
    <w:rsid w:val="0028720F"/>
    <w:rsid w:val="00292B10"/>
    <w:rsid w:val="00293D34"/>
    <w:rsid w:val="00294093"/>
    <w:rsid w:val="002A1E49"/>
    <w:rsid w:val="002A78F3"/>
    <w:rsid w:val="002B2524"/>
    <w:rsid w:val="002B49C2"/>
    <w:rsid w:val="002C1219"/>
    <w:rsid w:val="002C34B5"/>
    <w:rsid w:val="002C78A8"/>
    <w:rsid w:val="002D1A02"/>
    <w:rsid w:val="002D3599"/>
    <w:rsid w:val="002D6126"/>
    <w:rsid w:val="002D6268"/>
    <w:rsid w:val="002D66F9"/>
    <w:rsid w:val="002E09C1"/>
    <w:rsid w:val="002E37B9"/>
    <w:rsid w:val="002E4741"/>
    <w:rsid w:val="002E570E"/>
    <w:rsid w:val="002E5B1C"/>
    <w:rsid w:val="002E5D31"/>
    <w:rsid w:val="002E7F56"/>
    <w:rsid w:val="002F23D0"/>
    <w:rsid w:val="002F44DC"/>
    <w:rsid w:val="002F495B"/>
    <w:rsid w:val="002F4EEE"/>
    <w:rsid w:val="002F6979"/>
    <w:rsid w:val="003004C2"/>
    <w:rsid w:val="00300A7B"/>
    <w:rsid w:val="00306908"/>
    <w:rsid w:val="003108CF"/>
    <w:rsid w:val="00311230"/>
    <w:rsid w:val="003121C0"/>
    <w:rsid w:val="003171CF"/>
    <w:rsid w:val="003230CB"/>
    <w:rsid w:val="00324E20"/>
    <w:rsid w:val="0032503E"/>
    <w:rsid w:val="00326809"/>
    <w:rsid w:val="00327584"/>
    <w:rsid w:val="00333F50"/>
    <w:rsid w:val="00335302"/>
    <w:rsid w:val="00340A80"/>
    <w:rsid w:val="00345B17"/>
    <w:rsid w:val="00345D42"/>
    <w:rsid w:val="00347EBD"/>
    <w:rsid w:val="0035419C"/>
    <w:rsid w:val="003552E5"/>
    <w:rsid w:val="00356395"/>
    <w:rsid w:val="00357942"/>
    <w:rsid w:val="00362653"/>
    <w:rsid w:val="00364828"/>
    <w:rsid w:val="00365370"/>
    <w:rsid w:val="00366C7E"/>
    <w:rsid w:val="0036740F"/>
    <w:rsid w:val="00370CBB"/>
    <w:rsid w:val="0037206A"/>
    <w:rsid w:val="0037223F"/>
    <w:rsid w:val="00372F66"/>
    <w:rsid w:val="003733E3"/>
    <w:rsid w:val="0037788B"/>
    <w:rsid w:val="00381A7F"/>
    <w:rsid w:val="00384727"/>
    <w:rsid w:val="00384E03"/>
    <w:rsid w:val="00385512"/>
    <w:rsid w:val="00386C1B"/>
    <w:rsid w:val="003905B2"/>
    <w:rsid w:val="003920FB"/>
    <w:rsid w:val="003929D2"/>
    <w:rsid w:val="003936DC"/>
    <w:rsid w:val="003A3309"/>
    <w:rsid w:val="003A4FE1"/>
    <w:rsid w:val="003B4699"/>
    <w:rsid w:val="003C193C"/>
    <w:rsid w:val="003C1B40"/>
    <w:rsid w:val="003C53D8"/>
    <w:rsid w:val="003C7082"/>
    <w:rsid w:val="003C7A70"/>
    <w:rsid w:val="003D04F4"/>
    <w:rsid w:val="003D10BB"/>
    <w:rsid w:val="003D2347"/>
    <w:rsid w:val="003D323E"/>
    <w:rsid w:val="003D58FD"/>
    <w:rsid w:val="003D61A6"/>
    <w:rsid w:val="003E11A0"/>
    <w:rsid w:val="003E126B"/>
    <w:rsid w:val="003E32D5"/>
    <w:rsid w:val="003E4375"/>
    <w:rsid w:val="003E49B4"/>
    <w:rsid w:val="003E5B5D"/>
    <w:rsid w:val="003E697F"/>
    <w:rsid w:val="003E6FC3"/>
    <w:rsid w:val="003E7858"/>
    <w:rsid w:val="003F4DC7"/>
    <w:rsid w:val="003F567C"/>
    <w:rsid w:val="003F5B11"/>
    <w:rsid w:val="003F73F2"/>
    <w:rsid w:val="003F7B0A"/>
    <w:rsid w:val="00401741"/>
    <w:rsid w:val="004077A1"/>
    <w:rsid w:val="00411475"/>
    <w:rsid w:val="0041250B"/>
    <w:rsid w:val="00416CAD"/>
    <w:rsid w:val="00417781"/>
    <w:rsid w:val="00422BD1"/>
    <w:rsid w:val="00423753"/>
    <w:rsid w:val="004252EA"/>
    <w:rsid w:val="00426437"/>
    <w:rsid w:val="00435000"/>
    <w:rsid w:val="004352CD"/>
    <w:rsid w:val="00442480"/>
    <w:rsid w:val="00442EEB"/>
    <w:rsid w:val="00446E2F"/>
    <w:rsid w:val="00447B6B"/>
    <w:rsid w:val="00451186"/>
    <w:rsid w:val="004515A6"/>
    <w:rsid w:val="0046048B"/>
    <w:rsid w:val="0046125F"/>
    <w:rsid w:val="00463BD8"/>
    <w:rsid w:val="00465E65"/>
    <w:rsid w:val="004666C8"/>
    <w:rsid w:val="00473967"/>
    <w:rsid w:val="004740DA"/>
    <w:rsid w:val="00476F13"/>
    <w:rsid w:val="004800BB"/>
    <w:rsid w:val="00480A2F"/>
    <w:rsid w:val="00482461"/>
    <w:rsid w:val="00483DDE"/>
    <w:rsid w:val="004854FE"/>
    <w:rsid w:val="004858B4"/>
    <w:rsid w:val="00492493"/>
    <w:rsid w:val="00493379"/>
    <w:rsid w:val="004A05E8"/>
    <w:rsid w:val="004A4679"/>
    <w:rsid w:val="004A4EE9"/>
    <w:rsid w:val="004A7714"/>
    <w:rsid w:val="004B2223"/>
    <w:rsid w:val="004B3613"/>
    <w:rsid w:val="004B6750"/>
    <w:rsid w:val="004B6D4A"/>
    <w:rsid w:val="004C7198"/>
    <w:rsid w:val="004C7FC0"/>
    <w:rsid w:val="004D3745"/>
    <w:rsid w:val="004E0C06"/>
    <w:rsid w:val="004E2FE0"/>
    <w:rsid w:val="004E51BE"/>
    <w:rsid w:val="004E7A78"/>
    <w:rsid w:val="004F0E4C"/>
    <w:rsid w:val="004F10BE"/>
    <w:rsid w:val="004F4970"/>
    <w:rsid w:val="004F63AF"/>
    <w:rsid w:val="004F656B"/>
    <w:rsid w:val="0050002F"/>
    <w:rsid w:val="0050769F"/>
    <w:rsid w:val="005117A1"/>
    <w:rsid w:val="005119CE"/>
    <w:rsid w:val="00511E94"/>
    <w:rsid w:val="00514698"/>
    <w:rsid w:val="005167D1"/>
    <w:rsid w:val="00520B50"/>
    <w:rsid w:val="00520D81"/>
    <w:rsid w:val="00523AF6"/>
    <w:rsid w:val="00524228"/>
    <w:rsid w:val="00532D9B"/>
    <w:rsid w:val="00533981"/>
    <w:rsid w:val="0053746B"/>
    <w:rsid w:val="00541F91"/>
    <w:rsid w:val="005431D4"/>
    <w:rsid w:val="00553498"/>
    <w:rsid w:val="00556C28"/>
    <w:rsid w:val="00560EF2"/>
    <w:rsid w:val="0056145C"/>
    <w:rsid w:val="005722D1"/>
    <w:rsid w:val="00575EC6"/>
    <w:rsid w:val="00581F4E"/>
    <w:rsid w:val="00582CA0"/>
    <w:rsid w:val="005904C6"/>
    <w:rsid w:val="00591D5B"/>
    <w:rsid w:val="005965AB"/>
    <w:rsid w:val="00597895"/>
    <w:rsid w:val="005A1759"/>
    <w:rsid w:val="005A1FA5"/>
    <w:rsid w:val="005A3975"/>
    <w:rsid w:val="005B348C"/>
    <w:rsid w:val="005B4F03"/>
    <w:rsid w:val="005B589B"/>
    <w:rsid w:val="005B5E9D"/>
    <w:rsid w:val="005C0628"/>
    <w:rsid w:val="005C408D"/>
    <w:rsid w:val="005C4E3D"/>
    <w:rsid w:val="005C70D7"/>
    <w:rsid w:val="005C7273"/>
    <w:rsid w:val="005C774F"/>
    <w:rsid w:val="005C7D2B"/>
    <w:rsid w:val="005C7F6C"/>
    <w:rsid w:val="005D1C77"/>
    <w:rsid w:val="005D220D"/>
    <w:rsid w:val="005D5A85"/>
    <w:rsid w:val="005E03E3"/>
    <w:rsid w:val="005E14DC"/>
    <w:rsid w:val="005E259F"/>
    <w:rsid w:val="005E410F"/>
    <w:rsid w:val="005E5A37"/>
    <w:rsid w:val="00604F16"/>
    <w:rsid w:val="00606A55"/>
    <w:rsid w:val="006071F8"/>
    <w:rsid w:val="00611269"/>
    <w:rsid w:val="00615FB9"/>
    <w:rsid w:val="0062000F"/>
    <w:rsid w:val="00620950"/>
    <w:rsid w:val="00626520"/>
    <w:rsid w:val="00632713"/>
    <w:rsid w:val="006329C6"/>
    <w:rsid w:val="006372FD"/>
    <w:rsid w:val="00637C20"/>
    <w:rsid w:val="00640071"/>
    <w:rsid w:val="00640EC7"/>
    <w:rsid w:val="00644044"/>
    <w:rsid w:val="006447A9"/>
    <w:rsid w:val="006466B8"/>
    <w:rsid w:val="0064787A"/>
    <w:rsid w:val="00647B0A"/>
    <w:rsid w:val="00647DF1"/>
    <w:rsid w:val="00651124"/>
    <w:rsid w:val="00652C97"/>
    <w:rsid w:val="00653AA7"/>
    <w:rsid w:val="006540B8"/>
    <w:rsid w:val="006565A4"/>
    <w:rsid w:val="00656B7E"/>
    <w:rsid w:val="006604F7"/>
    <w:rsid w:val="00661D7E"/>
    <w:rsid w:val="006629CE"/>
    <w:rsid w:val="006643FE"/>
    <w:rsid w:val="006654A2"/>
    <w:rsid w:val="00667299"/>
    <w:rsid w:val="00667324"/>
    <w:rsid w:val="00667AA9"/>
    <w:rsid w:val="00676809"/>
    <w:rsid w:val="006768E0"/>
    <w:rsid w:val="00676EEF"/>
    <w:rsid w:val="00677C40"/>
    <w:rsid w:val="006850FB"/>
    <w:rsid w:val="0069065A"/>
    <w:rsid w:val="006947A2"/>
    <w:rsid w:val="006962C9"/>
    <w:rsid w:val="006A0692"/>
    <w:rsid w:val="006A176C"/>
    <w:rsid w:val="006A3882"/>
    <w:rsid w:val="006A5B7C"/>
    <w:rsid w:val="006A7399"/>
    <w:rsid w:val="006A7F3E"/>
    <w:rsid w:val="006B1E2C"/>
    <w:rsid w:val="006B2952"/>
    <w:rsid w:val="006B5431"/>
    <w:rsid w:val="006C187E"/>
    <w:rsid w:val="006C1A8A"/>
    <w:rsid w:val="006C2557"/>
    <w:rsid w:val="006C48BD"/>
    <w:rsid w:val="006C4FAC"/>
    <w:rsid w:val="006C50D9"/>
    <w:rsid w:val="006C57FF"/>
    <w:rsid w:val="006C7E8B"/>
    <w:rsid w:val="006D045B"/>
    <w:rsid w:val="006E4087"/>
    <w:rsid w:val="006E5826"/>
    <w:rsid w:val="006E5D77"/>
    <w:rsid w:val="006E6F49"/>
    <w:rsid w:val="006F11E5"/>
    <w:rsid w:val="006F287B"/>
    <w:rsid w:val="006F5AD8"/>
    <w:rsid w:val="00701D0D"/>
    <w:rsid w:val="007158B3"/>
    <w:rsid w:val="0071626C"/>
    <w:rsid w:val="007166CA"/>
    <w:rsid w:val="00721ACA"/>
    <w:rsid w:val="007226F8"/>
    <w:rsid w:val="00724A27"/>
    <w:rsid w:val="00731725"/>
    <w:rsid w:val="00732380"/>
    <w:rsid w:val="007323B4"/>
    <w:rsid w:val="0073505C"/>
    <w:rsid w:val="00736804"/>
    <w:rsid w:val="0074174E"/>
    <w:rsid w:val="00744AAA"/>
    <w:rsid w:val="00747328"/>
    <w:rsid w:val="00750EF2"/>
    <w:rsid w:val="0075130B"/>
    <w:rsid w:val="00751EAC"/>
    <w:rsid w:val="00752B74"/>
    <w:rsid w:val="00756FE5"/>
    <w:rsid w:val="0076052C"/>
    <w:rsid w:val="00760D6B"/>
    <w:rsid w:val="00761185"/>
    <w:rsid w:val="00765EC2"/>
    <w:rsid w:val="00770A36"/>
    <w:rsid w:val="00770CCD"/>
    <w:rsid w:val="00776735"/>
    <w:rsid w:val="007769B8"/>
    <w:rsid w:val="0077758E"/>
    <w:rsid w:val="007853C4"/>
    <w:rsid w:val="00785616"/>
    <w:rsid w:val="0078570D"/>
    <w:rsid w:val="007948EB"/>
    <w:rsid w:val="00795747"/>
    <w:rsid w:val="007A0118"/>
    <w:rsid w:val="007A14E6"/>
    <w:rsid w:val="007A2F19"/>
    <w:rsid w:val="007A5B1D"/>
    <w:rsid w:val="007A6DBE"/>
    <w:rsid w:val="007A70B2"/>
    <w:rsid w:val="007A78B9"/>
    <w:rsid w:val="007C6070"/>
    <w:rsid w:val="007C6145"/>
    <w:rsid w:val="007D2BA7"/>
    <w:rsid w:val="007D42A5"/>
    <w:rsid w:val="007D71B7"/>
    <w:rsid w:val="007E114F"/>
    <w:rsid w:val="007E200E"/>
    <w:rsid w:val="007E2ADE"/>
    <w:rsid w:val="007E3736"/>
    <w:rsid w:val="007E6E6B"/>
    <w:rsid w:val="007E7BBF"/>
    <w:rsid w:val="007F1F90"/>
    <w:rsid w:val="007F2A10"/>
    <w:rsid w:val="007F3B72"/>
    <w:rsid w:val="007F4DBA"/>
    <w:rsid w:val="00807474"/>
    <w:rsid w:val="0080794F"/>
    <w:rsid w:val="00813B41"/>
    <w:rsid w:val="00816E9B"/>
    <w:rsid w:val="0082019B"/>
    <w:rsid w:val="00821B9A"/>
    <w:rsid w:val="0084160B"/>
    <w:rsid w:val="0084261F"/>
    <w:rsid w:val="008456B2"/>
    <w:rsid w:val="00853E93"/>
    <w:rsid w:val="00856322"/>
    <w:rsid w:val="00861367"/>
    <w:rsid w:val="00862B38"/>
    <w:rsid w:val="0086346E"/>
    <w:rsid w:val="0086444D"/>
    <w:rsid w:val="00865D9E"/>
    <w:rsid w:val="008675B7"/>
    <w:rsid w:val="00867E23"/>
    <w:rsid w:val="00870848"/>
    <w:rsid w:val="00871281"/>
    <w:rsid w:val="008712D0"/>
    <w:rsid w:val="00871737"/>
    <w:rsid w:val="0087423B"/>
    <w:rsid w:val="00874A18"/>
    <w:rsid w:val="00874AF8"/>
    <w:rsid w:val="00880071"/>
    <w:rsid w:val="0088071A"/>
    <w:rsid w:val="00882DDA"/>
    <w:rsid w:val="0088799F"/>
    <w:rsid w:val="00893161"/>
    <w:rsid w:val="008939A0"/>
    <w:rsid w:val="008A0270"/>
    <w:rsid w:val="008A0BC4"/>
    <w:rsid w:val="008A3D2B"/>
    <w:rsid w:val="008B111D"/>
    <w:rsid w:val="008B2077"/>
    <w:rsid w:val="008B29E7"/>
    <w:rsid w:val="008B4922"/>
    <w:rsid w:val="008B6C8A"/>
    <w:rsid w:val="008C2470"/>
    <w:rsid w:val="008C357F"/>
    <w:rsid w:val="008C463D"/>
    <w:rsid w:val="008D1CAE"/>
    <w:rsid w:val="008D241D"/>
    <w:rsid w:val="008D43A8"/>
    <w:rsid w:val="008D5CE1"/>
    <w:rsid w:val="008E4942"/>
    <w:rsid w:val="008E6F0A"/>
    <w:rsid w:val="008F2AD1"/>
    <w:rsid w:val="008F35F6"/>
    <w:rsid w:val="008F5D5A"/>
    <w:rsid w:val="008F7015"/>
    <w:rsid w:val="009041E4"/>
    <w:rsid w:val="00906F2E"/>
    <w:rsid w:val="00907FE0"/>
    <w:rsid w:val="00916A5F"/>
    <w:rsid w:val="00916E55"/>
    <w:rsid w:val="00920030"/>
    <w:rsid w:val="0092212F"/>
    <w:rsid w:val="00922B34"/>
    <w:rsid w:val="00922FA2"/>
    <w:rsid w:val="009235A2"/>
    <w:rsid w:val="00923F5A"/>
    <w:rsid w:val="00925191"/>
    <w:rsid w:val="00925E11"/>
    <w:rsid w:val="0093240D"/>
    <w:rsid w:val="00932A8F"/>
    <w:rsid w:val="0093691F"/>
    <w:rsid w:val="00941640"/>
    <w:rsid w:val="00942001"/>
    <w:rsid w:val="00942299"/>
    <w:rsid w:val="00942C98"/>
    <w:rsid w:val="009468D5"/>
    <w:rsid w:val="00947129"/>
    <w:rsid w:val="00947C4D"/>
    <w:rsid w:val="009508B5"/>
    <w:rsid w:val="00951A3F"/>
    <w:rsid w:val="009522DA"/>
    <w:rsid w:val="009530FD"/>
    <w:rsid w:val="00954146"/>
    <w:rsid w:val="00957432"/>
    <w:rsid w:val="00960871"/>
    <w:rsid w:val="009622AE"/>
    <w:rsid w:val="009643E2"/>
    <w:rsid w:val="0096487E"/>
    <w:rsid w:val="00966B11"/>
    <w:rsid w:val="009671BE"/>
    <w:rsid w:val="00971A4F"/>
    <w:rsid w:val="00971C88"/>
    <w:rsid w:val="00971C9D"/>
    <w:rsid w:val="0097242B"/>
    <w:rsid w:val="00975AB7"/>
    <w:rsid w:val="009767EF"/>
    <w:rsid w:val="0097779F"/>
    <w:rsid w:val="00981BDE"/>
    <w:rsid w:val="009828C6"/>
    <w:rsid w:val="00982EC9"/>
    <w:rsid w:val="00983384"/>
    <w:rsid w:val="00995126"/>
    <w:rsid w:val="009A7671"/>
    <w:rsid w:val="009B399E"/>
    <w:rsid w:val="009C4134"/>
    <w:rsid w:val="009D1808"/>
    <w:rsid w:val="009E094D"/>
    <w:rsid w:val="009E413B"/>
    <w:rsid w:val="009E688A"/>
    <w:rsid w:val="009E7DE6"/>
    <w:rsid w:val="009F22DB"/>
    <w:rsid w:val="009F23D9"/>
    <w:rsid w:val="009F257E"/>
    <w:rsid w:val="009F296D"/>
    <w:rsid w:val="009F2F90"/>
    <w:rsid w:val="009F47E7"/>
    <w:rsid w:val="009F6939"/>
    <w:rsid w:val="00A002FA"/>
    <w:rsid w:val="00A00376"/>
    <w:rsid w:val="00A01494"/>
    <w:rsid w:val="00A05633"/>
    <w:rsid w:val="00A06DAC"/>
    <w:rsid w:val="00A109CD"/>
    <w:rsid w:val="00A147AE"/>
    <w:rsid w:val="00A165F9"/>
    <w:rsid w:val="00A21447"/>
    <w:rsid w:val="00A231AA"/>
    <w:rsid w:val="00A26CF7"/>
    <w:rsid w:val="00A31D6A"/>
    <w:rsid w:val="00A36E31"/>
    <w:rsid w:val="00A37249"/>
    <w:rsid w:val="00A40558"/>
    <w:rsid w:val="00A42B1E"/>
    <w:rsid w:val="00A43257"/>
    <w:rsid w:val="00A51A23"/>
    <w:rsid w:val="00A55E04"/>
    <w:rsid w:val="00A570FB"/>
    <w:rsid w:val="00A5755E"/>
    <w:rsid w:val="00A618B6"/>
    <w:rsid w:val="00A6677E"/>
    <w:rsid w:val="00A81A5E"/>
    <w:rsid w:val="00A82ADD"/>
    <w:rsid w:val="00A84A52"/>
    <w:rsid w:val="00A90862"/>
    <w:rsid w:val="00A90ED7"/>
    <w:rsid w:val="00A91609"/>
    <w:rsid w:val="00A92F40"/>
    <w:rsid w:val="00A93145"/>
    <w:rsid w:val="00A952B9"/>
    <w:rsid w:val="00AA1085"/>
    <w:rsid w:val="00AA4E36"/>
    <w:rsid w:val="00AA655E"/>
    <w:rsid w:val="00AB11C1"/>
    <w:rsid w:val="00AB12A7"/>
    <w:rsid w:val="00AB201A"/>
    <w:rsid w:val="00AB56C9"/>
    <w:rsid w:val="00AB7534"/>
    <w:rsid w:val="00AB762B"/>
    <w:rsid w:val="00AC105F"/>
    <w:rsid w:val="00AC14A3"/>
    <w:rsid w:val="00AC1B91"/>
    <w:rsid w:val="00AC51D5"/>
    <w:rsid w:val="00AC5748"/>
    <w:rsid w:val="00AC6480"/>
    <w:rsid w:val="00AC71B2"/>
    <w:rsid w:val="00AD26D7"/>
    <w:rsid w:val="00AD2BC4"/>
    <w:rsid w:val="00AD5A8C"/>
    <w:rsid w:val="00AD6E80"/>
    <w:rsid w:val="00AE02DF"/>
    <w:rsid w:val="00AE056A"/>
    <w:rsid w:val="00AE1501"/>
    <w:rsid w:val="00AE2AF5"/>
    <w:rsid w:val="00AE562A"/>
    <w:rsid w:val="00AE682B"/>
    <w:rsid w:val="00AE7389"/>
    <w:rsid w:val="00AF15C8"/>
    <w:rsid w:val="00AF1970"/>
    <w:rsid w:val="00AF21C0"/>
    <w:rsid w:val="00AF7C55"/>
    <w:rsid w:val="00B00A48"/>
    <w:rsid w:val="00B05880"/>
    <w:rsid w:val="00B10623"/>
    <w:rsid w:val="00B10EAD"/>
    <w:rsid w:val="00B12C32"/>
    <w:rsid w:val="00B12DA7"/>
    <w:rsid w:val="00B16744"/>
    <w:rsid w:val="00B17F6F"/>
    <w:rsid w:val="00B26F0A"/>
    <w:rsid w:val="00B317AE"/>
    <w:rsid w:val="00B33812"/>
    <w:rsid w:val="00B340C7"/>
    <w:rsid w:val="00B35E6C"/>
    <w:rsid w:val="00B36407"/>
    <w:rsid w:val="00B41414"/>
    <w:rsid w:val="00B437B3"/>
    <w:rsid w:val="00B4677F"/>
    <w:rsid w:val="00B479A2"/>
    <w:rsid w:val="00B515B4"/>
    <w:rsid w:val="00B52A19"/>
    <w:rsid w:val="00B5430F"/>
    <w:rsid w:val="00B6291A"/>
    <w:rsid w:val="00B64A86"/>
    <w:rsid w:val="00B72E67"/>
    <w:rsid w:val="00B76F64"/>
    <w:rsid w:val="00B80BCC"/>
    <w:rsid w:val="00B82047"/>
    <w:rsid w:val="00B90B08"/>
    <w:rsid w:val="00B914DF"/>
    <w:rsid w:val="00B915A1"/>
    <w:rsid w:val="00B929B8"/>
    <w:rsid w:val="00B960FC"/>
    <w:rsid w:val="00B96169"/>
    <w:rsid w:val="00B96EB9"/>
    <w:rsid w:val="00B972DD"/>
    <w:rsid w:val="00BA2109"/>
    <w:rsid w:val="00BA4FF9"/>
    <w:rsid w:val="00BB322F"/>
    <w:rsid w:val="00BB52EA"/>
    <w:rsid w:val="00BB5318"/>
    <w:rsid w:val="00BB7146"/>
    <w:rsid w:val="00BC34AB"/>
    <w:rsid w:val="00BC457D"/>
    <w:rsid w:val="00BC5192"/>
    <w:rsid w:val="00BC530A"/>
    <w:rsid w:val="00BC5FD7"/>
    <w:rsid w:val="00BC6511"/>
    <w:rsid w:val="00BD1F0D"/>
    <w:rsid w:val="00BD2B63"/>
    <w:rsid w:val="00BD2F56"/>
    <w:rsid w:val="00BD4A7A"/>
    <w:rsid w:val="00BD56F2"/>
    <w:rsid w:val="00BE2ABC"/>
    <w:rsid w:val="00BE36EE"/>
    <w:rsid w:val="00BE5B6E"/>
    <w:rsid w:val="00BF150E"/>
    <w:rsid w:val="00BF210F"/>
    <w:rsid w:val="00BF34E6"/>
    <w:rsid w:val="00BF4D09"/>
    <w:rsid w:val="00BF4ED8"/>
    <w:rsid w:val="00C00C99"/>
    <w:rsid w:val="00C01468"/>
    <w:rsid w:val="00C02F63"/>
    <w:rsid w:val="00C04468"/>
    <w:rsid w:val="00C06885"/>
    <w:rsid w:val="00C06A6D"/>
    <w:rsid w:val="00C07634"/>
    <w:rsid w:val="00C07848"/>
    <w:rsid w:val="00C13899"/>
    <w:rsid w:val="00C15DDA"/>
    <w:rsid w:val="00C16B8C"/>
    <w:rsid w:val="00C20E60"/>
    <w:rsid w:val="00C21DB5"/>
    <w:rsid w:val="00C26977"/>
    <w:rsid w:val="00C316F1"/>
    <w:rsid w:val="00C32E88"/>
    <w:rsid w:val="00C43CA1"/>
    <w:rsid w:val="00C44D1A"/>
    <w:rsid w:val="00C46D07"/>
    <w:rsid w:val="00C5756E"/>
    <w:rsid w:val="00C6070D"/>
    <w:rsid w:val="00C61064"/>
    <w:rsid w:val="00C62551"/>
    <w:rsid w:val="00C70C59"/>
    <w:rsid w:val="00C72F6B"/>
    <w:rsid w:val="00C73B93"/>
    <w:rsid w:val="00C74625"/>
    <w:rsid w:val="00C74FDA"/>
    <w:rsid w:val="00C7514D"/>
    <w:rsid w:val="00C76330"/>
    <w:rsid w:val="00C76C91"/>
    <w:rsid w:val="00C86E2A"/>
    <w:rsid w:val="00C9053F"/>
    <w:rsid w:val="00C93B25"/>
    <w:rsid w:val="00C96359"/>
    <w:rsid w:val="00C97857"/>
    <w:rsid w:val="00C97CDF"/>
    <w:rsid w:val="00CA256C"/>
    <w:rsid w:val="00CA3818"/>
    <w:rsid w:val="00CA4266"/>
    <w:rsid w:val="00CA4C56"/>
    <w:rsid w:val="00CA5D52"/>
    <w:rsid w:val="00CA6704"/>
    <w:rsid w:val="00CA7686"/>
    <w:rsid w:val="00CB0391"/>
    <w:rsid w:val="00CB4EDB"/>
    <w:rsid w:val="00CB590E"/>
    <w:rsid w:val="00CB5BF8"/>
    <w:rsid w:val="00CC2678"/>
    <w:rsid w:val="00CC3941"/>
    <w:rsid w:val="00CD0B54"/>
    <w:rsid w:val="00CD39EA"/>
    <w:rsid w:val="00CD3E7F"/>
    <w:rsid w:val="00CE05F2"/>
    <w:rsid w:val="00CE383D"/>
    <w:rsid w:val="00CE3C94"/>
    <w:rsid w:val="00CE4C7E"/>
    <w:rsid w:val="00CE4ED4"/>
    <w:rsid w:val="00CE507B"/>
    <w:rsid w:val="00CF0107"/>
    <w:rsid w:val="00CF1C62"/>
    <w:rsid w:val="00CF26C9"/>
    <w:rsid w:val="00CF7CEE"/>
    <w:rsid w:val="00D016AD"/>
    <w:rsid w:val="00D01E24"/>
    <w:rsid w:val="00D05394"/>
    <w:rsid w:val="00D059BA"/>
    <w:rsid w:val="00D07A1A"/>
    <w:rsid w:val="00D10207"/>
    <w:rsid w:val="00D104C1"/>
    <w:rsid w:val="00D11A50"/>
    <w:rsid w:val="00D1399E"/>
    <w:rsid w:val="00D2366E"/>
    <w:rsid w:val="00D2563D"/>
    <w:rsid w:val="00D27F37"/>
    <w:rsid w:val="00D30316"/>
    <w:rsid w:val="00D311ED"/>
    <w:rsid w:val="00D3353C"/>
    <w:rsid w:val="00D35F20"/>
    <w:rsid w:val="00D36D1F"/>
    <w:rsid w:val="00D40F09"/>
    <w:rsid w:val="00D43D6C"/>
    <w:rsid w:val="00D442CE"/>
    <w:rsid w:val="00D46191"/>
    <w:rsid w:val="00D461CB"/>
    <w:rsid w:val="00D553EB"/>
    <w:rsid w:val="00D55715"/>
    <w:rsid w:val="00D56383"/>
    <w:rsid w:val="00D57E92"/>
    <w:rsid w:val="00D602C6"/>
    <w:rsid w:val="00D60A92"/>
    <w:rsid w:val="00D645CE"/>
    <w:rsid w:val="00D64E42"/>
    <w:rsid w:val="00D6655C"/>
    <w:rsid w:val="00D667D6"/>
    <w:rsid w:val="00D675D3"/>
    <w:rsid w:val="00D71ABC"/>
    <w:rsid w:val="00D72056"/>
    <w:rsid w:val="00D7291F"/>
    <w:rsid w:val="00D87998"/>
    <w:rsid w:val="00DA2129"/>
    <w:rsid w:val="00DA214B"/>
    <w:rsid w:val="00DA7D12"/>
    <w:rsid w:val="00DA7E5C"/>
    <w:rsid w:val="00DB0E61"/>
    <w:rsid w:val="00DB11B1"/>
    <w:rsid w:val="00DB3DD9"/>
    <w:rsid w:val="00DB4822"/>
    <w:rsid w:val="00DC1D6D"/>
    <w:rsid w:val="00DC5DDB"/>
    <w:rsid w:val="00DD66FE"/>
    <w:rsid w:val="00DD7FBB"/>
    <w:rsid w:val="00DE1D5F"/>
    <w:rsid w:val="00DE36B7"/>
    <w:rsid w:val="00DE6206"/>
    <w:rsid w:val="00DF0542"/>
    <w:rsid w:val="00DF64F1"/>
    <w:rsid w:val="00E0143F"/>
    <w:rsid w:val="00E02449"/>
    <w:rsid w:val="00E075A6"/>
    <w:rsid w:val="00E112D7"/>
    <w:rsid w:val="00E11527"/>
    <w:rsid w:val="00E134F6"/>
    <w:rsid w:val="00E1396E"/>
    <w:rsid w:val="00E13AC1"/>
    <w:rsid w:val="00E14EC0"/>
    <w:rsid w:val="00E152EE"/>
    <w:rsid w:val="00E1538A"/>
    <w:rsid w:val="00E216BC"/>
    <w:rsid w:val="00E26C84"/>
    <w:rsid w:val="00E335AD"/>
    <w:rsid w:val="00E36C2A"/>
    <w:rsid w:val="00E41E48"/>
    <w:rsid w:val="00E45DF6"/>
    <w:rsid w:val="00E46D42"/>
    <w:rsid w:val="00E4751B"/>
    <w:rsid w:val="00E47FE3"/>
    <w:rsid w:val="00E52206"/>
    <w:rsid w:val="00E52E0D"/>
    <w:rsid w:val="00E53C02"/>
    <w:rsid w:val="00E604E3"/>
    <w:rsid w:val="00E60F27"/>
    <w:rsid w:val="00E711E7"/>
    <w:rsid w:val="00E7414B"/>
    <w:rsid w:val="00E766DA"/>
    <w:rsid w:val="00E7745B"/>
    <w:rsid w:val="00E80D15"/>
    <w:rsid w:val="00E93ED3"/>
    <w:rsid w:val="00E9456B"/>
    <w:rsid w:val="00E95985"/>
    <w:rsid w:val="00E95CA5"/>
    <w:rsid w:val="00EA00F0"/>
    <w:rsid w:val="00EA6A22"/>
    <w:rsid w:val="00EA723F"/>
    <w:rsid w:val="00EB1D4E"/>
    <w:rsid w:val="00EB4B41"/>
    <w:rsid w:val="00EB6345"/>
    <w:rsid w:val="00EC1D8B"/>
    <w:rsid w:val="00EC3A08"/>
    <w:rsid w:val="00EC5BCF"/>
    <w:rsid w:val="00EC620E"/>
    <w:rsid w:val="00ED1711"/>
    <w:rsid w:val="00ED2915"/>
    <w:rsid w:val="00ED2D10"/>
    <w:rsid w:val="00ED5B76"/>
    <w:rsid w:val="00EE2FDD"/>
    <w:rsid w:val="00EE3084"/>
    <w:rsid w:val="00EE7826"/>
    <w:rsid w:val="00EF331A"/>
    <w:rsid w:val="00EF3403"/>
    <w:rsid w:val="00EF5036"/>
    <w:rsid w:val="00EF717B"/>
    <w:rsid w:val="00EF7BE5"/>
    <w:rsid w:val="00F00C98"/>
    <w:rsid w:val="00F03092"/>
    <w:rsid w:val="00F05159"/>
    <w:rsid w:val="00F06354"/>
    <w:rsid w:val="00F065E2"/>
    <w:rsid w:val="00F07D01"/>
    <w:rsid w:val="00F07D09"/>
    <w:rsid w:val="00F143D0"/>
    <w:rsid w:val="00F14669"/>
    <w:rsid w:val="00F218D2"/>
    <w:rsid w:val="00F22379"/>
    <w:rsid w:val="00F24ECD"/>
    <w:rsid w:val="00F264AF"/>
    <w:rsid w:val="00F27979"/>
    <w:rsid w:val="00F27AC2"/>
    <w:rsid w:val="00F30FAA"/>
    <w:rsid w:val="00F41261"/>
    <w:rsid w:val="00F43595"/>
    <w:rsid w:val="00F45F9B"/>
    <w:rsid w:val="00F46CB7"/>
    <w:rsid w:val="00F650BC"/>
    <w:rsid w:val="00F6726B"/>
    <w:rsid w:val="00F72AA2"/>
    <w:rsid w:val="00F73EBE"/>
    <w:rsid w:val="00F766C8"/>
    <w:rsid w:val="00F76974"/>
    <w:rsid w:val="00F77166"/>
    <w:rsid w:val="00F805D6"/>
    <w:rsid w:val="00F83F49"/>
    <w:rsid w:val="00F84FCA"/>
    <w:rsid w:val="00F92799"/>
    <w:rsid w:val="00F92F41"/>
    <w:rsid w:val="00F92FDC"/>
    <w:rsid w:val="00F95880"/>
    <w:rsid w:val="00F96B77"/>
    <w:rsid w:val="00F97984"/>
    <w:rsid w:val="00FA1646"/>
    <w:rsid w:val="00FA1FC8"/>
    <w:rsid w:val="00FA3C33"/>
    <w:rsid w:val="00FA4598"/>
    <w:rsid w:val="00FB331F"/>
    <w:rsid w:val="00FC0FC6"/>
    <w:rsid w:val="00FC2D38"/>
    <w:rsid w:val="00FC37BE"/>
    <w:rsid w:val="00FD114A"/>
    <w:rsid w:val="00FD6767"/>
    <w:rsid w:val="00FE1E2D"/>
    <w:rsid w:val="00FE236A"/>
    <w:rsid w:val="00FE7B27"/>
    <w:rsid w:val="00FF2191"/>
    <w:rsid w:val="00FF294D"/>
    <w:rsid w:val="00FF6B07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32A8"/>
  <w15:chartTrackingRefBased/>
  <w15:docId w15:val="{9B14FF05-C4FD-4B16-8BC0-A36D9CBE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A2"/>
    <w:pPr>
      <w:spacing w:before="120" w:after="0" w:line="480" w:lineRule="auto"/>
    </w:pPr>
    <w:rPr>
      <w:rFonts w:ascii="Times New Roman" w:eastAsiaTheme="minorEastAsia" w:hAnsi="Times New Roman" w:cs="Calibri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753"/>
    <w:pPr>
      <w:keepNext/>
      <w:keepLines/>
      <w:numPr>
        <w:numId w:val="1"/>
      </w:numPr>
      <w:spacing w:before="240"/>
      <w:outlineLvl w:val="0"/>
    </w:pPr>
    <w:rPr>
      <w:rFonts w:eastAsiaTheme="majorEastAsia" w:cs="Times New Roman"/>
      <w:b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753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="Times New Roman"/>
      <w:color w:val="2E74B5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2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2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BC4"/>
    <w:rPr>
      <w:rFonts w:ascii="Calibri" w:eastAsiaTheme="minorEastAsia" w:hAnsi="Calibri" w:cs="Calibri"/>
      <w:sz w:val="20"/>
      <w:szCs w:val="20"/>
      <w:lang w:eastAsia="zh-CN"/>
    </w:rPr>
  </w:style>
  <w:style w:type="paragraph" w:styleId="Title">
    <w:name w:val="Title"/>
    <w:aliases w:val="AG Title"/>
    <w:basedOn w:val="Normal"/>
    <w:next w:val="Normal"/>
    <w:link w:val="TitleChar"/>
    <w:uiPriority w:val="7"/>
    <w:qFormat/>
    <w:rsid w:val="00AD2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aliases w:val="AG Title Char"/>
    <w:basedOn w:val="DefaultParagraphFont"/>
    <w:link w:val="Title"/>
    <w:uiPriority w:val="7"/>
    <w:rsid w:val="00AD2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C4"/>
    <w:rPr>
      <w:rFonts w:ascii="Segoe UI" w:eastAsiaTheme="minorEastAsia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BC4"/>
    <w:rPr>
      <w:rFonts w:ascii="Calibri" w:eastAsiaTheme="minorEastAsia" w:hAnsi="Calibri" w:cs="Calibri"/>
      <w:b/>
      <w:bCs/>
      <w:sz w:val="20"/>
      <w:szCs w:val="20"/>
      <w:lang w:eastAsia="zh-CN"/>
    </w:rPr>
  </w:style>
  <w:style w:type="character" w:styleId="Hyperlink">
    <w:name w:val="Hyperlink"/>
    <w:aliases w:val="AG Hyperlink"/>
    <w:basedOn w:val="DefaultParagraphFont"/>
    <w:uiPriority w:val="99"/>
    <w:unhideWhenUsed/>
    <w:rsid w:val="005A39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23753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23753"/>
    <w:rPr>
      <w:rFonts w:ascii="Times New Roman" w:eastAsiaTheme="majorEastAsia" w:hAnsi="Times New Roman" w:cs="Times New Roman"/>
      <w:color w:val="2E74B5" w:themeColor="accent1" w:themeShade="BF"/>
      <w:sz w:val="24"/>
      <w:szCs w:val="24"/>
      <w:lang w:eastAsia="zh-CN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7A78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12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customStyle="1" w:styleId="BMSBullets">
    <w:name w:val="BMS Bullets"/>
    <w:basedOn w:val="Normal"/>
    <w:link w:val="BMSBulletsChar"/>
    <w:rsid w:val="00AB12A7"/>
    <w:pPr>
      <w:numPr>
        <w:numId w:val="6"/>
      </w:numPr>
      <w:spacing w:after="60"/>
      <w:jc w:val="both"/>
    </w:pPr>
    <w:rPr>
      <w:rFonts w:cs="Times New Roman"/>
      <w:color w:val="000000"/>
      <w:szCs w:val="20"/>
      <w:lang w:eastAsia="en-US"/>
    </w:rPr>
  </w:style>
  <w:style w:type="paragraph" w:customStyle="1" w:styleId="BMSBodyTextSmall">
    <w:name w:val="BMS Body Text Small"/>
    <w:basedOn w:val="Normal"/>
    <w:link w:val="BMSBodyTextSmallChar"/>
    <w:rsid w:val="00AB12A7"/>
    <w:pPr>
      <w:spacing w:after="120"/>
      <w:jc w:val="both"/>
    </w:pPr>
    <w:rPr>
      <w:rFonts w:cs="Times New Roman"/>
      <w:color w:val="000000"/>
      <w:sz w:val="20"/>
      <w:szCs w:val="20"/>
      <w:lang w:eastAsia="en-US"/>
    </w:rPr>
  </w:style>
  <w:style w:type="character" w:customStyle="1" w:styleId="BMSBulletsChar">
    <w:name w:val="BMS Bullets Char"/>
    <w:basedOn w:val="DefaultParagraphFont"/>
    <w:link w:val="BMSBullets"/>
    <w:rsid w:val="00AB12A7"/>
    <w:rPr>
      <w:rFonts w:ascii="Times New Roman" w:eastAsiaTheme="minorEastAsia" w:hAnsi="Times New Roman" w:cs="Times New Roman"/>
      <w:color w:val="000000"/>
      <w:sz w:val="24"/>
      <w:szCs w:val="20"/>
    </w:rPr>
  </w:style>
  <w:style w:type="character" w:customStyle="1" w:styleId="BMSBodyTextSmallChar">
    <w:name w:val="BMS Body Text Small Char"/>
    <w:link w:val="BMSBodyTextSmall"/>
    <w:locked/>
    <w:rsid w:val="00AB12A7"/>
    <w:rPr>
      <w:rFonts w:ascii="Times New Roman" w:eastAsiaTheme="minorEastAsia" w:hAnsi="Times New Roman" w:cs="Times New Roman"/>
      <w:color w:val="000000"/>
      <w:sz w:val="20"/>
      <w:szCs w:val="20"/>
    </w:rPr>
  </w:style>
  <w:style w:type="paragraph" w:customStyle="1" w:styleId="BMSBodyText">
    <w:name w:val="BMS Body Text"/>
    <w:link w:val="BMSBodyTextChar"/>
    <w:rsid w:val="00744AAA"/>
    <w:pPr>
      <w:spacing w:after="120" w:line="264" w:lineRule="auto"/>
      <w:jc w:val="both"/>
    </w:pPr>
    <w:rPr>
      <w:rFonts w:ascii="Times New Roman" w:eastAsiaTheme="minorEastAsia" w:hAnsi="Times New Roman" w:cs="Times New Roman"/>
      <w:color w:val="000000"/>
      <w:sz w:val="24"/>
      <w:szCs w:val="20"/>
    </w:rPr>
  </w:style>
  <w:style w:type="character" w:customStyle="1" w:styleId="BMSBodyTextChar">
    <w:name w:val="BMS Body Text Char"/>
    <w:link w:val="BMSBodyText"/>
    <w:rsid w:val="00744AAA"/>
    <w:rPr>
      <w:rFonts w:ascii="Times New Roman" w:eastAsiaTheme="minorEastAsia" w:hAnsi="Times New Roman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4598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6C7E8B"/>
    <w:pPr>
      <w:spacing w:after="120" w:line="240" w:lineRule="auto"/>
    </w:pPr>
    <w:rPr>
      <w:rFonts w:eastAsia="Times New Roman" w:cs="Times New Roman"/>
      <w:noProof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C7E8B"/>
    <w:rPr>
      <w:rFonts w:ascii="Times New Roman" w:eastAsia="Times New Roman" w:hAnsi="Times New Roman" w:cs="Times New Roman"/>
      <w:noProof/>
      <w:sz w:val="24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F14669"/>
    <w:rPr>
      <w:rFonts w:ascii="Calibri" w:eastAsiaTheme="minorEastAsia" w:hAnsi="Calibri" w:cs="Calibri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423753"/>
    <w:pPr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3753"/>
    <w:rPr>
      <w:rFonts w:ascii="Times New Roman" w:eastAsiaTheme="minorEastAsia" w:hAnsi="Times New Roman" w:cs="Times New Roman"/>
      <w:noProof/>
      <w:sz w:val="24"/>
      <w:lang w:eastAsia="zh-CN"/>
    </w:rPr>
  </w:style>
  <w:style w:type="paragraph" w:customStyle="1" w:styleId="Tabletitle">
    <w:name w:val="Table title"/>
    <w:basedOn w:val="Normal"/>
    <w:qFormat/>
    <w:rsid w:val="00136C1C"/>
    <w:pPr>
      <w:spacing w:line="240" w:lineRule="auto"/>
    </w:pPr>
    <w:rPr>
      <w:b/>
    </w:rPr>
  </w:style>
  <w:style w:type="paragraph" w:styleId="FootnoteText">
    <w:name w:val="footnote text"/>
    <w:basedOn w:val="Normal"/>
    <w:link w:val="FootnoteTextChar"/>
    <w:uiPriority w:val="99"/>
    <w:unhideWhenUsed/>
    <w:rsid w:val="006947A2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47A2"/>
    <w:rPr>
      <w:rFonts w:ascii="Times New Roman" w:eastAsiaTheme="minorEastAsia" w:hAnsi="Times New Roman" w:cs="Calibri"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622AE"/>
    <w:pPr>
      <w:spacing w:after="0" w:line="240" w:lineRule="auto"/>
    </w:pPr>
    <w:rPr>
      <w:rFonts w:ascii="Times New Roman" w:eastAsiaTheme="minorEastAsia" w:hAnsi="Times New Roman" w:cs="Calibri"/>
      <w:sz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84E03"/>
    <w:pPr>
      <w:spacing w:before="100" w:beforeAutospacing="1" w:after="100" w:afterAutospacing="1" w:line="240" w:lineRule="auto"/>
    </w:pPr>
    <w:rPr>
      <w:rFonts w:cs="Times New Roman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50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16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1" Type="http://schemas.openxmlformats.org/officeDocument/2006/relationships/image" Target="media/image1.JPG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103C4D4387C45AE49AF915855AFEC" ma:contentTypeVersion="12" ma:contentTypeDescription="Create a new document." ma:contentTypeScope="" ma:versionID="37f8a353ceb7285671bf97429e55d695">
  <xsd:schema xmlns:xsd="http://www.w3.org/2001/XMLSchema" xmlns:xs="http://www.w3.org/2001/XMLSchema" xmlns:p="http://schemas.microsoft.com/office/2006/metadata/properties" xmlns:ns3="7396152f-ab30-468a-9c92-10005486a73c" xmlns:ns4="fdce5241-afc1-4e25-acce-e38ee4393522" targetNamespace="http://schemas.microsoft.com/office/2006/metadata/properties" ma:root="true" ma:fieldsID="04d9ffacf1da201680d01969f10f670c" ns3:_="" ns4:_="">
    <xsd:import namespace="7396152f-ab30-468a-9c92-10005486a73c"/>
    <xsd:import namespace="fdce5241-afc1-4e25-acce-e38ee43935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6152f-ab30-468a-9c92-10005486a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e5241-afc1-4e25-acce-e38ee43935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FF4C3676237458F7DFD1671516DDD" ma:contentTypeVersion="13" ma:contentTypeDescription="Create a new document." ma:contentTypeScope="" ma:versionID="189dfd73c40ded290ab01e814e73022d">
  <xsd:schema xmlns:xsd="http://www.w3.org/2001/XMLSchema" xmlns:xs="http://www.w3.org/2001/XMLSchema" xmlns:p="http://schemas.microsoft.com/office/2006/metadata/properties" xmlns:ns3="99772ed4-f5ec-40bf-a7b7-938326e981ff" xmlns:ns4="a166e571-562c-452d-846f-53c1a555fa1f" targetNamespace="http://schemas.microsoft.com/office/2006/metadata/properties" ma:root="true" ma:fieldsID="f779e5ce70bbcc5fcdb9977c7ade6c39" ns3:_="" ns4:_="">
    <xsd:import namespace="99772ed4-f5ec-40bf-a7b7-938326e981ff"/>
    <xsd:import namespace="a166e571-562c-452d-846f-53c1a555f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72ed4-f5ec-40bf-a7b7-938326e98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6e571-562c-452d-846f-53c1a555f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244AD7F81A74BB1F6BE7CC90FA8E8" ma:contentTypeVersion="13" ma:contentTypeDescription="Create a new document." ma:contentTypeScope="" ma:versionID="bbe8ceee71fe37f44d28adf75e956c34">
  <xsd:schema xmlns:xsd="http://www.w3.org/2001/XMLSchema" xmlns:xs="http://www.w3.org/2001/XMLSchema" xmlns:p="http://schemas.microsoft.com/office/2006/metadata/properties" xmlns:ns3="a404bc0d-6635-4632-b9f4-ce7643015644" xmlns:ns4="7e084402-7dce-43c9-86cb-e5c53132b20e" targetNamespace="http://schemas.microsoft.com/office/2006/metadata/properties" ma:root="true" ma:fieldsID="7ea8636141eed2692d3bd9ffe0d1a23b" ns3:_="" ns4:_="">
    <xsd:import namespace="a404bc0d-6635-4632-b9f4-ce7643015644"/>
    <xsd:import namespace="7e084402-7dce-43c9-86cb-e5c53132b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4bc0d-6635-4632-b9f4-ce7643015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84402-7dce-43c9-86cb-e5c53132b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C542E-A552-4A5A-8F7B-6A0499FB9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6152f-ab30-468a-9c92-10005486a73c"/>
    <ds:schemaRef ds:uri="fdce5241-afc1-4e25-acce-e38ee4393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AD3A2-21F1-4548-9DE8-50D3D6A13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3C900-EF88-4792-9E5A-139E1E68B1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50C852-CECE-4776-8B6E-194160840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1DCDEDD-9C07-4F72-AB85-8BA67F940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72ed4-f5ec-40bf-a7b7-938326e981ff"/>
    <ds:schemaRef ds:uri="a166e571-562c-452d-846f-53c1a555f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56462F3-9B0D-4E80-9719-CAA28E6A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4bc0d-6635-4632-b9f4-ce7643015644"/>
    <ds:schemaRef ds:uri="7e084402-7dce-43c9-86cb-e5c53132b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Selvam Sendhil</dc:creator>
  <cp:keywords/>
  <dc:description/>
  <cp:lastModifiedBy>Johanna Todd</cp:lastModifiedBy>
  <cp:revision>2</cp:revision>
  <dcterms:created xsi:type="dcterms:W3CDTF">2021-12-08T10:08:00Z</dcterms:created>
  <dcterms:modified xsi:type="dcterms:W3CDTF">2021-12-08T10:08:00Z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0x010100956103C4D4387C45AE49AF915855AFEC</vt:lpwstr>
  </property>
</Properties>
</file>