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E011" w14:textId="77777777" w:rsidR="005A25A0" w:rsidRPr="006749C6" w:rsidRDefault="005A25A0" w:rsidP="005A25A0">
      <w:pPr>
        <w:spacing w:after="0"/>
        <w:rPr>
          <w:rFonts w:cstheme="minorHAnsi"/>
          <w:i/>
        </w:rPr>
      </w:pPr>
      <w:bookmarkStart w:id="0" w:name="_Hlk50024256"/>
      <w:r w:rsidRPr="006749C6">
        <w:rPr>
          <w:rFonts w:cstheme="minorHAnsi"/>
          <w:b/>
          <w:i/>
        </w:rPr>
        <w:t>Appendix. Parameter Values</w:t>
      </w:r>
      <w:r>
        <w:rPr>
          <w:rFonts w:cstheme="minorHAnsi"/>
          <w:b/>
          <w:i/>
        </w:rPr>
        <w:t>, Treatment Cost Calculations,</w:t>
      </w:r>
      <w:r w:rsidRPr="006749C6">
        <w:rPr>
          <w:rFonts w:cstheme="minorHAnsi"/>
          <w:b/>
          <w:i/>
        </w:rPr>
        <w:t xml:space="preserve"> and Distributions</w:t>
      </w:r>
    </w:p>
    <w:p w14:paraId="4722B96D" w14:textId="77777777" w:rsidR="005A25A0" w:rsidRDefault="005A25A0" w:rsidP="005A25A0">
      <w:pPr>
        <w:pStyle w:val="BodyText-IPR"/>
      </w:pPr>
      <w:r>
        <w:t xml:space="preserve">Table A.1 details the input values used in the model and </w:t>
      </w:r>
      <w:r w:rsidRPr="00922ED4">
        <w:t>respective</w:t>
      </w:r>
      <w:r>
        <w:t xml:space="preserve"> sources. Table A.2 shows ranges used in one-way sensitivity analysis and distributions used in probabilistic sensitivity analysis.   </w:t>
      </w:r>
      <w:bookmarkEnd w:id="0"/>
    </w:p>
    <w:p w14:paraId="1A306EDB" w14:textId="77777777" w:rsidR="005A25A0" w:rsidRPr="0022231A" w:rsidRDefault="005A25A0" w:rsidP="005A25A0">
      <w:pPr>
        <w:pStyle w:val="TableTitle-IPR"/>
      </w:pPr>
      <w:r w:rsidRPr="0022231A">
        <w:t xml:space="preserve">Table </w:t>
      </w:r>
      <w:r>
        <w:t>A.1</w:t>
      </w:r>
      <w:r w:rsidRPr="0022231A">
        <w:t xml:space="preserve">. Parameters </w:t>
      </w:r>
      <w:r>
        <w:t>U</w:t>
      </w:r>
      <w:r w:rsidRPr="0022231A">
        <w:t xml:space="preserve">sed in the </w:t>
      </w:r>
      <w:r>
        <w:t>M</w:t>
      </w:r>
      <w:r w:rsidRPr="0022231A">
        <w:t>odel</w:t>
      </w:r>
      <w:r>
        <w:t xml:space="preserve"> of Increasing Use of Anti-TNF Therapy for Crohn’s Disease </w:t>
      </w:r>
    </w:p>
    <w:tbl>
      <w:tblPr>
        <w:tblStyle w:val="InsightTable"/>
        <w:tblW w:w="5000" w:type="pct"/>
        <w:tblCellMar>
          <w:left w:w="58" w:type="dxa"/>
          <w:right w:w="864" w:type="dxa"/>
        </w:tblCellMar>
        <w:tblLook w:val="04A0" w:firstRow="1" w:lastRow="0" w:firstColumn="1" w:lastColumn="0" w:noHBand="0" w:noVBand="1"/>
      </w:tblPr>
      <w:tblGrid>
        <w:gridCol w:w="4352"/>
        <w:gridCol w:w="1529"/>
        <w:gridCol w:w="7079"/>
      </w:tblGrid>
      <w:tr w:rsidR="005A25A0" w14:paraId="59944E6D" w14:textId="77777777" w:rsidTr="0006589F">
        <w:trPr>
          <w:cnfStyle w:val="100000000000" w:firstRow="1" w:lastRow="0" w:firstColumn="0" w:lastColumn="0" w:oddVBand="0" w:evenVBand="0" w:oddHBand="0" w:evenHBand="0" w:firstRowFirstColumn="0" w:firstRowLastColumn="0" w:lastRowFirstColumn="0" w:lastRowLastColumn="0"/>
          <w:trHeight w:val="43"/>
          <w:tblHeader/>
        </w:trPr>
        <w:tc>
          <w:tcPr>
            <w:tcW w:w="0" w:type="pct"/>
          </w:tcPr>
          <w:p w14:paraId="4F197C62" w14:textId="77777777" w:rsidR="005A25A0" w:rsidRDefault="005A25A0" w:rsidP="0006589F">
            <w:pPr>
              <w:pStyle w:val="TableHeaderRow-IPR"/>
            </w:pPr>
            <w:r>
              <w:t>Parameter Description</w:t>
            </w:r>
          </w:p>
        </w:tc>
        <w:tc>
          <w:tcPr>
            <w:tcW w:w="590" w:type="pct"/>
          </w:tcPr>
          <w:p w14:paraId="1FC5979E" w14:textId="77777777" w:rsidR="005A25A0" w:rsidRDefault="005A25A0" w:rsidP="0006589F">
            <w:pPr>
              <w:pStyle w:val="TableHeaderRow-IPR"/>
            </w:pPr>
            <w:r>
              <w:t>Value</w:t>
            </w:r>
          </w:p>
        </w:tc>
        <w:tc>
          <w:tcPr>
            <w:tcW w:w="2731" w:type="pct"/>
          </w:tcPr>
          <w:p w14:paraId="7A563DF8" w14:textId="77777777" w:rsidR="005A25A0" w:rsidRDefault="005A25A0" w:rsidP="0006589F">
            <w:pPr>
              <w:pStyle w:val="TableHeaderRow-IPR"/>
            </w:pPr>
            <w:r>
              <w:t>Source</w:t>
            </w:r>
          </w:p>
        </w:tc>
      </w:tr>
      <w:tr w:rsidR="005A25A0" w14:paraId="4EA1EC65" w14:textId="77777777" w:rsidTr="0006589F">
        <w:trPr>
          <w:trHeight w:val="43"/>
        </w:trPr>
        <w:tc>
          <w:tcPr>
            <w:tcW w:w="0" w:type="pct"/>
            <w:gridSpan w:val="3"/>
            <w:shd w:val="clear" w:color="auto" w:fill="D9D9D9" w:themeFill="background1" w:themeFillShade="D9"/>
          </w:tcPr>
          <w:p w14:paraId="299184D7" w14:textId="77777777" w:rsidR="005A25A0" w:rsidRDefault="005A25A0" w:rsidP="0006589F">
            <w:pPr>
              <w:pStyle w:val="TableText-IPR"/>
              <w:jc w:val="center"/>
            </w:pPr>
            <w:r w:rsidRPr="00D7006A">
              <w:rPr>
                <w:b/>
              </w:rPr>
              <w:t>Population Parameters</w:t>
            </w:r>
          </w:p>
        </w:tc>
      </w:tr>
      <w:tr w:rsidR="005A25A0" w14:paraId="1600A685" w14:textId="77777777" w:rsidTr="0006589F">
        <w:trPr>
          <w:trHeight w:val="53"/>
        </w:trPr>
        <w:tc>
          <w:tcPr>
            <w:tcW w:w="0" w:type="pct"/>
          </w:tcPr>
          <w:p w14:paraId="34F6B2B0" w14:textId="77777777" w:rsidR="005A25A0" w:rsidRDefault="005A25A0" w:rsidP="0006589F">
            <w:pPr>
              <w:pStyle w:val="TableText-IPR"/>
            </w:pPr>
            <w:r>
              <w:t>U.S. adults 18 and older</w:t>
            </w:r>
          </w:p>
        </w:tc>
        <w:tc>
          <w:tcPr>
            <w:tcW w:w="590" w:type="pct"/>
          </w:tcPr>
          <w:p w14:paraId="7731D52A" w14:textId="77777777" w:rsidR="005A25A0" w:rsidRPr="00112368" w:rsidRDefault="005A25A0" w:rsidP="0006589F">
            <w:pPr>
              <w:pStyle w:val="TableText-IPR"/>
              <w:jc w:val="right"/>
            </w:pPr>
            <w:r w:rsidRPr="00112368">
              <w:t>253</w:t>
            </w:r>
            <w:r>
              <w:t>,</w:t>
            </w:r>
            <w:r w:rsidRPr="00112368">
              <w:t>227</w:t>
            </w:r>
            <w:r>
              <w:t>,</w:t>
            </w:r>
            <w:r w:rsidRPr="00112368">
              <w:t>594</w:t>
            </w:r>
          </w:p>
        </w:tc>
        <w:tc>
          <w:tcPr>
            <w:tcW w:w="2731" w:type="pct"/>
          </w:tcPr>
          <w:p w14:paraId="4DCB942F" w14:textId="77777777" w:rsidR="005A25A0" w:rsidRDefault="005A25A0" w:rsidP="0006589F">
            <w:pPr>
              <w:pStyle w:val="TableText-IPR"/>
            </w:pPr>
            <w:r>
              <w:t xml:space="preserve">U.S. Census, n.d. </w:t>
            </w:r>
            <w:r>
              <w:fldChar w:fldCharType="begin" w:fldLock="1"/>
            </w:r>
            <w:r>
              <w:instrText>ADDIN CSL_CITATION {"citationItems":[{"id":"ITEM-1","itemData":{"URL":"https://www.census.gov/quickfacts/fact/table/US/IPE120218","accessed":{"date-parts":[["2020","1","10"]]},"author":[{"dropping-particle":"","family":"U.S. Census Bureau","given":"","non-dropping-particle":"","parse-names":false,"suffix":""}],"id":"ITEM-1","issued":{"date-parts":[["0"]]},"title":"QuickFacts: United States","type":"webpage"},"uris":["http://www.mendeley.com/documents/?uuid=ba216be8-3bda-3a1e-b513-2a685ec05e76"]}],"mendeley":{"formattedCitation":"[4]","plainTextFormattedCitation":"[4]","previouslyFormattedCitation":"[4]"},"properties":{"noteIndex":0},"schema":"https://github.com/citation-style-language/schema/raw/master/csl-citation.json"}</w:instrText>
            </w:r>
            <w:r>
              <w:fldChar w:fldCharType="separate"/>
            </w:r>
            <w:r w:rsidRPr="009A6FB3">
              <w:rPr>
                <w:noProof/>
              </w:rPr>
              <w:t>[4]</w:t>
            </w:r>
            <w:r>
              <w:fldChar w:fldCharType="end"/>
            </w:r>
          </w:p>
        </w:tc>
      </w:tr>
      <w:tr w:rsidR="005A25A0" w14:paraId="08F96FEF" w14:textId="77777777" w:rsidTr="0006589F">
        <w:trPr>
          <w:trHeight w:val="53"/>
        </w:trPr>
        <w:tc>
          <w:tcPr>
            <w:tcW w:w="1679" w:type="pct"/>
          </w:tcPr>
          <w:p w14:paraId="3200EED2" w14:textId="77777777" w:rsidR="005A25A0" w:rsidRDefault="005A25A0" w:rsidP="0006589F">
            <w:pPr>
              <w:pStyle w:val="TableText-IPR"/>
            </w:pPr>
            <w:r>
              <w:t>Crohn’s disease prevalence</w:t>
            </w:r>
          </w:p>
        </w:tc>
        <w:tc>
          <w:tcPr>
            <w:tcW w:w="590" w:type="pct"/>
          </w:tcPr>
          <w:p w14:paraId="68D6B219" w14:textId="77777777" w:rsidR="005A25A0" w:rsidRDefault="005A25A0" w:rsidP="0006589F">
            <w:pPr>
              <w:pStyle w:val="TableText-IPR"/>
              <w:ind w:left="-57"/>
              <w:jc w:val="right"/>
            </w:pPr>
            <w:r>
              <w:t>201 per 100,000</w:t>
            </w:r>
          </w:p>
        </w:tc>
        <w:tc>
          <w:tcPr>
            <w:tcW w:w="2731" w:type="pct"/>
          </w:tcPr>
          <w:p w14:paraId="0F7B51AF" w14:textId="77777777" w:rsidR="005A25A0" w:rsidRDefault="005A25A0" w:rsidP="0006589F">
            <w:pPr>
              <w:pStyle w:val="TableText-IPR"/>
            </w:pPr>
            <w:proofErr w:type="spellStart"/>
            <w:r>
              <w:t>Kappelman</w:t>
            </w:r>
            <w:proofErr w:type="spellEnd"/>
            <w:r>
              <w:t xml:space="preserve"> et al., 2007 </w:t>
            </w:r>
            <w:r>
              <w:fldChar w:fldCharType="begin" w:fldLock="1"/>
            </w:r>
            <w:r>
              <w:instrText>ADDIN CSL_CITATION {"citationItems":[{"id":"ITEM-1","itemData":{"DOI":"10.1016/j.cgh.2007.07.012","ISSN":"15423565","abstract":"Background &amp; Aims: Previous US studies of inflammatory bowel disease (IBD) prevalence have sampled small, geographically restricted populations and may not be generalizable to the entire nation. This study sought to determine the prevalence of Crohn's disease (CD) and ulcerative colitis (UC) in a large national sample and to compare the prevalence across geographic regions and other sociodemographic characteristics. Methods: We analyzed the health insurance claims for 9 million Americans, pooled from 87 health plans in 33 states, and identified cases of CD and UC using diagnosis codes. Prevalence was determined by dividing the number of cases by the number of persons enrolled for 2 years. Logistic regression was used to compare prevalence estimates by geographic region, age, sex, and insurance type (Medicaid vs commercial). Results: The prevalence of CD and UC in children younger than 20 years was 43 (95% confidence interval [CI], 40-45) and 28 (95% CI, 26-30) per 100,000, respectively. In adults, the prevalence of CD and UC was 201 (95% CI, 197-204) and 238 (95% CI, 234-241), respectively. The prevalence of both conditions was lower in the South, compared with the Northeast, Midwest, and West. IBD appears to be more common in commercially insured individuals, compared with those insured by Medicaid. Conclusions: This estimation of the prevalence of IBD in the US should help quantify the overall burden of disease and inform the planning of appropriate clinical services. © 2007 AGA Institute.","author":[{"dropping-particle":"","family":"Kappelman","given":"Michael D.","non-dropping-particle":"","parse-names":false,"suffix":""},{"dropping-particle":"","family":"Rifas-Shiman","given":"Sheryl L.","non-dropping-particle":"","parse-names":false,"suffix":""},{"dropping-particle":"","family":"Kleinman","given":"Ken","non-dropping-particle":"","parse-names":false,"suffix":""},{"dropping-particle":"","family":"Ollendorf","given":"Dan","non-dropping-particle":"","parse-names":false,"suffix":""},{"dropping-particle":"","family":"Bousvaros","given":"Athos","non-dropping-particle":"","parse-names":false,"suffix":""},{"dropping-particle":"","family":"Grand","given":"Richard J.","non-dropping-particle":"","parse-names":false,"suffix":""},{"dropping-particle":"","family":"Finkelstein","given":"Jonathan A.","non-dropping-particle":"","parse-names":false,"suffix":""}],"container-title":"Clinical Gastroenterology and Hepatology","id":"ITEM-1","issue":"12","issued":{"date-parts":[["2007"]]},"page":"1424-1429","title":"The Prevalence and Geographic Distribution of Crohn's Disease and Ulcerative Colitis in the United States","type":"article-journal","volume":"5"},"uris":["http://www.mendeley.com/documents/?uuid=42ac00d3-1399-4f32-95cd-27aa6a17f5ce"]}],"mendeley":{"formattedCitation":"[1]","plainTextFormattedCitation":"[1]","previouslyFormattedCitation":"[1]"},"properties":{"noteIndex":0},"schema":"https://github.com/citation-style-language/schema/raw/master/csl-citation.json"}</w:instrText>
            </w:r>
            <w:r>
              <w:fldChar w:fldCharType="separate"/>
            </w:r>
            <w:r w:rsidRPr="009A6FB3">
              <w:rPr>
                <w:noProof/>
              </w:rPr>
              <w:t>[1]</w:t>
            </w:r>
            <w:r>
              <w:fldChar w:fldCharType="end"/>
            </w:r>
          </w:p>
        </w:tc>
      </w:tr>
      <w:tr w:rsidR="005A25A0" w14:paraId="56B7B60F" w14:textId="77777777" w:rsidTr="0006589F">
        <w:trPr>
          <w:trHeight w:val="53"/>
        </w:trPr>
        <w:tc>
          <w:tcPr>
            <w:tcW w:w="0" w:type="pct"/>
          </w:tcPr>
          <w:p w14:paraId="6447D0A1" w14:textId="77777777" w:rsidR="005A25A0" w:rsidRDefault="005A25A0" w:rsidP="0006589F">
            <w:pPr>
              <w:pStyle w:val="TableText-IPR"/>
            </w:pPr>
            <w:r>
              <w:t>Crohn’s disease incidence</w:t>
            </w:r>
          </w:p>
        </w:tc>
        <w:tc>
          <w:tcPr>
            <w:tcW w:w="590" w:type="pct"/>
          </w:tcPr>
          <w:p w14:paraId="321BA228" w14:textId="77777777" w:rsidR="005A25A0" w:rsidRDefault="005A25A0" w:rsidP="0006589F">
            <w:pPr>
              <w:pStyle w:val="TableText-IPR"/>
              <w:jc w:val="right"/>
            </w:pPr>
            <w:r>
              <w:t>8.9 per 100,000</w:t>
            </w:r>
          </w:p>
        </w:tc>
        <w:tc>
          <w:tcPr>
            <w:tcW w:w="2731" w:type="pct"/>
          </w:tcPr>
          <w:p w14:paraId="6928A10F" w14:textId="77777777" w:rsidR="005A25A0" w:rsidRDefault="005A25A0" w:rsidP="0006589F">
            <w:pPr>
              <w:pStyle w:val="TableText-IPR"/>
            </w:pPr>
            <w:r>
              <w:t xml:space="preserve">Average calculated from Loftus et al., 2004 </w:t>
            </w:r>
            <w:r>
              <w:fldChar w:fldCharType="begin" w:fldLock="1"/>
            </w:r>
            <w:r>
              <w:instrText>ADDIN CSL_CITATION {"citationItems":[{"id":"ITEM-1","itemData":{"DOI":"10.1053/j.gastro.2004.01.063","ISSN":"00165085","abstract":"Although the incidence and prevalence of ulcerative colitis and Crohn's disease are beginning to stabilize in high-incidence areas such as northern Europe and North America, they continue to rise in low-incidence areas such as southern Europe, Asia, and much of the developing world. As many as 1.4 million persons in the United States and 2.2 million persons in Europe suffer from these diseases. Previously noted racial and ethnic differences seem to be narrowing. Differences in incidence across age, time, and geographic region suggest that environmental factors significantly modify the expression of Crohn's disease and ulcerative colitis. The strongest environmental factors identified are cigarette smoking and appendectomy. Whether other factors such as diet, oral contraceptives, perinatal/childhood infections, or atypical mycobacterial infections play a role in expression of inflammatory bowel disease remains unclear. Additional epidemiologic studies to define better the burden of illness, explore the mechanism of association with environmental factors, and identify new risk factors are needed.","author":[{"dropping-particle":"V.","family":"Loftus","given":"Edward","non-dropping-particle":"","parse-names":false,"suffix":""}],"container-title":"Gastroenterology","id":"ITEM-1","issue":"6","issued":{"date-parts":[["2004"]]},"page":"1504-1517","title":"Clinical epidemiology of inflammatory bowel disease: Incidence, prevalence, and environmental influences","type":"article-journal","volume":"126"},"uris":["http://www.mendeley.com/documents/?uuid=4c24af90-e881-41da-8a5d-f873e00d20bf"]}],"mendeley":{"formattedCitation":"[5]","plainTextFormattedCitation":"[5]","previouslyFormattedCitation":"[5]"},"properties":{"noteIndex":0},"schema":"https://github.com/citation-style-language/schema/raw/master/csl-citation.json"}</w:instrText>
            </w:r>
            <w:r>
              <w:fldChar w:fldCharType="separate"/>
            </w:r>
            <w:r w:rsidRPr="009A6FB3">
              <w:rPr>
                <w:noProof/>
              </w:rPr>
              <w:t>[5]</w:t>
            </w:r>
            <w:r>
              <w:fldChar w:fldCharType="end"/>
            </w:r>
          </w:p>
        </w:tc>
      </w:tr>
      <w:tr w:rsidR="005A25A0" w14:paraId="22527B91" w14:textId="77777777" w:rsidTr="0006589F">
        <w:trPr>
          <w:trHeight w:val="188"/>
        </w:trPr>
        <w:tc>
          <w:tcPr>
            <w:tcW w:w="0" w:type="pct"/>
          </w:tcPr>
          <w:p w14:paraId="60D02FB8" w14:textId="77777777" w:rsidR="005A25A0" w:rsidRDefault="005A25A0" w:rsidP="0006589F">
            <w:pPr>
              <w:pStyle w:val="TableText-IPR"/>
            </w:pPr>
            <w:r>
              <w:t>Crohn’s patients with moderate-to-severe disease</w:t>
            </w:r>
          </w:p>
        </w:tc>
        <w:tc>
          <w:tcPr>
            <w:tcW w:w="590" w:type="pct"/>
          </w:tcPr>
          <w:p w14:paraId="2DC3909E" w14:textId="77777777" w:rsidR="005A25A0" w:rsidRDefault="005A25A0" w:rsidP="0006589F">
            <w:pPr>
              <w:pStyle w:val="TableText-IPR"/>
              <w:jc w:val="right"/>
            </w:pPr>
            <w:r>
              <w:t>60%</w:t>
            </w:r>
          </w:p>
        </w:tc>
        <w:tc>
          <w:tcPr>
            <w:tcW w:w="2731" w:type="pct"/>
          </w:tcPr>
          <w:p w14:paraId="428FD105" w14:textId="77777777" w:rsidR="005A25A0" w:rsidRDefault="005A25A0" w:rsidP="0006589F">
            <w:pPr>
              <w:pStyle w:val="TableText-IPR"/>
            </w:pPr>
            <w:r>
              <w:t>Subject matter expert</w:t>
            </w:r>
            <w:r w:rsidDel="00C7368C">
              <w:t xml:space="preserve"> </w:t>
            </w:r>
            <w:r>
              <w:t xml:space="preserve">opinion </w:t>
            </w:r>
            <w:r>
              <w:fldChar w:fldCharType="begin" w:fldLock="1"/>
            </w:r>
            <w:r>
              <w:instrText>ADDIN CSL_CITATION {"citationItems":[{"id":"ITEM-1","itemData":{"author":[{"dropping-particle":"","family":"Long","given":"M","non-dropping-particle":"","parse-names":false,"suffix":""}],"id":"ITEM-1","issued":{"date-parts":[["2019"]]},"title":"Personal communication. March 6","type":"article"},"uris":["http://www.mendeley.com/documents/?uuid=8dae9793-3136-4ca7-8604-171165d4814d"]}],"mendeley":{"formattedCitation":"[6]","plainTextFormattedCitation":"[6]","previouslyFormattedCitation":"[6]"},"properties":{"noteIndex":0},"schema":"https://github.com/citation-style-language/schema/raw/master/csl-citation.json"}</w:instrText>
            </w:r>
            <w:r>
              <w:fldChar w:fldCharType="separate"/>
            </w:r>
            <w:r w:rsidRPr="009A6FB3">
              <w:rPr>
                <w:noProof/>
              </w:rPr>
              <w:t>[6]</w:t>
            </w:r>
            <w:r>
              <w:fldChar w:fldCharType="end"/>
            </w:r>
          </w:p>
        </w:tc>
      </w:tr>
      <w:tr w:rsidR="005A25A0" w14:paraId="6DE5533E" w14:textId="77777777" w:rsidTr="0006589F">
        <w:trPr>
          <w:trHeight w:val="53"/>
        </w:trPr>
        <w:tc>
          <w:tcPr>
            <w:tcW w:w="0" w:type="pct"/>
          </w:tcPr>
          <w:p w14:paraId="515B3FD8" w14:textId="77777777" w:rsidR="005A25A0" w:rsidRDefault="005A25A0" w:rsidP="0006589F">
            <w:pPr>
              <w:pStyle w:val="TableText-IPR"/>
            </w:pPr>
            <w:r>
              <w:t>Crohn’s patients aged 65+</w:t>
            </w:r>
          </w:p>
        </w:tc>
        <w:tc>
          <w:tcPr>
            <w:tcW w:w="590" w:type="pct"/>
          </w:tcPr>
          <w:p w14:paraId="34AD16F7" w14:textId="77777777" w:rsidR="005A25A0" w:rsidRDefault="005A25A0" w:rsidP="0006589F">
            <w:pPr>
              <w:pStyle w:val="TableText-IPR"/>
              <w:jc w:val="right"/>
            </w:pPr>
            <w:r>
              <w:t>35%</w:t>
            </w:r>
          </w:p>
        </w:tc>
        <w:tc>
          <w:tcPr>
            <w:tcW w:w="2731" w:type="pct"/>
          </w:tcPr>
          <w:p w14:paraId="6F56BEDF" w14:textId="77777777" w:rsidR="005A25A0" w:rsidRDefault="005A25A0" w:rsidP="0006589F">
            <w:pPr>
              <w:pStyle w:val="TableText-IPR"/>
            </w:pPr>
            <w:r>
              <w:t xml:space="preserve">Lewis et al., 2018; used as estimate of proportion of patients with Medicare as primary payer </w:t>
            </w:r>
            <w:r>
              <w:fldChar w:fldCharType="begin" w:fldLock="1"/>
            </w:r>
            <w:r>
              <w:instrText>ADDIN CSL_CITATION {"citationItems":[{"id":"ITEM-1","itemData":{"DOI":"10.1038/ajg.2017.479","ISSN":"15720241","abstract":"OBJECTIVES Crohn's disease (CD) and ulcerative colitis (UC) are inflammatory bowel diseases (IBD) that compromise quality of life and may increase mortality. This study compared the mortality risk with prolonged corticosteroid use vs. antitumor necrosis factor-α (anti-TNF) drugs in IBD. METHODS A retrospective cohort study was conducted among Medicaid and Medicare beneficiaries from 2001 to 2013 with IBD prescribed either &gt;3,000 mg of prednisone or equivalent within a 12-month period or new initiation of anti-TNF therapy, each treated as time-updating exposures. The primary outcome was all-cause mortality. Secondary outcomes included common causes of death. Marginal structural models were used to determine odds ratios (ORs) and 95% confidence intervals (CIs) for anti-TNF use relative to corticosteroids. RESULTS Among patients with CD, 7,694 entered the cohort as prolonged corticosteroid users and 1,879 as new anti-TNF users. Among patients with UC, 3,224 and 459 entered the cohort as prolonged CS users and new anti-TNF users, respectively. The risk of death was statistically significantly lower in patients treated with anti-TNF therapy for CD (21.4 vs. 30.1 per 1,000 person-years, OR 0.78, 0.65-0.93) but not for UC (23.0 vs. 30.9 per 1,000 person-years, OR 0.87, 0.63-1.22). Among the CD cohort, anti-TNF therapy was also associated with lower rates of major adverse cardiovascular events (OR 0.68, 0.55-0.85) and hip fracture (OR 0.54, 0.34-0.83). CONCLUSIONS Compared with prolonged corticosteroid exposure, anti-TNF drug use was associated with reduced mortality in patients with CD that may be explained by lower rates of major adverse cardiovascular events and hip fracture.Am J Gastroenterol advance online publication, 16 January 2018; doi:10.1038/ajg.2017.479.","author":[{"dropping-particle":"","family":"Lewis","given":"James D.","non-dropping-particle":"","parse-names":false,"suffix":""},{"dropping-particle":"","family":"Scott","given":"Frank I.","non-dropping-particle":"","parse-names":false,"suffix":""},{"dropping-particle":"","family":"Brensinger","given":"Colleen M.","non-dropping-particle":"","parse-names":false,"suffix":""},{"dropping-particle":"","family":"Roy","given":"Jason A.","non-dropping-particle":"","parse-names":false,"suffix":""},{"dropping-particle":"","family":"Osterman","given":"Mark T.","non-dropping-particle":"","parse-names":false,"suffix":""},{"dropping-particle":"","family":"Mamtani","given":"Ronac","non-dropping-particle":"","parse-names":false,"suffix":""},{"dropping-particle":"","family":"Bewtra","given":"Meenakshi","non-dropping-particle":"","parse-names":false,"suffix":""},{"dropping-particle":"","family":"Chen","given":"Lang","non-dropping-particle":"","parse-names":false,"suffix":""},{"dropping-particle":"","family":"Yun","given":"Huifeng","non-dropping-particle":"","parse-names":false,"suffix":""},{"dropping-particle":"","family":"Xie","given":"Fenglong","non-dropping-particle":"","parse-names":false,"suffix":""},{"dropping-particle":"","family":"Curtis","given":"Jeffrey R.","non-dropping-particle":"","parse-names":false,"suffix":""}],"container-title":"American Journal of Gastroenterology","id":"ITEM-1","issue":"3","issued":{"date-parts":[["2018"]]},"page":"405-417","publisher":"Nature Publishing Group","title":"Increased mortality rates with prolonged corticosteroid therapy when compared with antitumor necrosis factor-α-directed therapy for inflammatory bowel disease","type":"article-journal","volume":"113"},"uris":["http://www.mendeley.com/documents/?uuid=8e4f2146-26bc-451b-8c1e-a15942c14037"]}],"mendeley":{"formattedCitation":"[2]","plainTextFormattedCitation":"[2]","previouslyFormattedCitation":"[2]"},"properties":{"noteIndex":0},"schema":"https://github.com/citation-style-language/schema/raw/master/csl-citation.json"}</w:instrText>
            </w:r>
            <w:r>
              <w:fldChar w:fldCharType="separate"/>
            </w:r>
            <w:r w:rsidRPr="00F5744D">
              <w:rPr>
                <w:noProof/>
              </w:rPr>
              <w:t>[2]</w:t>
            </w:r>
            <w:r>
              <w:fldChar w:fldCharType="end"/>
            </w:r>
          </w:p>
        </w:tc>
      </w:tr>
      <w:tr w:rsidR="005A25A0" w14:paraId="29D51419" w14:textId="77777777" w:rsidTr="0006589F">
        <w:trPr>
          <w:trHeight w:val="53"/>
        </w:trPr>
        <w:tc>
          <w:tcPr>
            <w:tcW w:w="0" w:type="pct"/>
          </w:tcPr>
          <w:p w14:paraId="11B75076" w14:textId="77777777" w:rsidR="005A25A0" w:rsidRDefault="005A25A0" w:rsidP="0006589F">
            <w:pPr>
              <w:pStyle w:val="TableText-IPR"/>
            </w:pPr>
            <w:r>
              <w:t>Patients using CS</w:t>
            </w:r>
          </w:p>
        </w:tc>
        <w:tc>
          <w:tcPr>
            <w:tcW w:w="590" w:type="pct"/>
          </w:tcPr>
          <w:p w14:paraId="409677BD" w14:textId="77777777" w:rsidR="005A25A0" w:rsidRDefault="005A25A0" w:rsidP="0006589F">
            <w:pPr>
              <w:pStyle w:val="TableText-IPR"/>
              <w:jc w:val="right"/>
            </w:pPr>
            <w:r>
              <w:t>85%</w:t>
            </w:r>
          </w:p>
        </w:tc>
        <w:tc>
          <w:tcPr>
            <w:tcW w:w="2731" w:type="pct"/>
          </w:tcPr>
          <w:p w14:paraId="677C6254" w14:textId="77777777" w:rsidR="005A25A0" w:rsidRDefault="005A25A0" w:rsidP="0006589F">
            <w:pPr>
              <w:pStyle w:val="TableText-IPR"/>
            </w:pPr>
            <w:r>
              <w:t>Subject matter expert</w:t>
            </w:r>
            <w:r w:rsidDel="00C7368C">
              <w:t xml:space="preserve"> </w:t>
            </w:r>
            <w:r>
              <w:t xml:space="preserve">opinion, consistent with Lewis et al. (2018) </w:t>
            </w:r>
            <w:r>
              <w:fldChar w:fldCharType="begin" w:fldLock="1"/>
            </w:r>
            <w:r>
              <w:instrText>ADDIN CSL_CITATION {"citationItems":[{"id":"ITEM-1","itemData":{"author":[{"dropping-particle":"","family":"Long","given":"M","non-dropping-particle":"","parse-names":false,"suffix":""}],"id":"ITEM-1","issued":{"date-parts":[["2019"]]},"title":"Personal communication. March 6","type":"article"},"uris":["http://www.mendeley.com/documents/?uuid=8dae9793-3136-4ca7-8604-171165d4814d"]},{"id":"ITEM-2","itemData":{"DOI":"10.1038/ajg.2017.479","ISSN":"15720241","abstract":"OBJECTIVES Crohn's disease (CD) and ulcerative colitis (UC) are inflammatory bowel diseases (IBD) that compromise quality of life and may increase mortality. This study compared the mortality risk with prolonged corticosteroid use vs. antitumor necrosis factor-α (anti-TNF) drugs in IBD. METHODS A retrospective cohort study was conducted among Medicaid and Medicare beneficiaries from 2001 to 2013 with IBD prescribed either &gt;3,000 mg of prednisone or equivalent within a 12-month period or new initiation of anti-TNF therapy, each treated as time-updating exposures. The primary outcome was all-cause mortality. Secondary outcomes included common causes of death. Marginal structural models were used to determine odds ratios (ORs) and 95% confidence intervals (CIs) for anti-TNF use relative to corticosteroids. RESULTS Among patients with CD, 7,694 entered the cohort as prolonged corticosteroid users and 1,879 as new anti-TNF users. Among patients with UC, 3,224 and 459 entered the cohort as prolonged CS users and new anti-TNF users, respectively. The risk of death was statistically significantly lower in patients treated with anti-TNF therapy for CD (21.4 vs. 30.1 per 1,000 person-years, OR 0.78, 0.65-0.93) but not for UC (23.0 vs. 30.9 per 1,000 person-years, OR 0.87, 0.63-1.22). Among the CD cohort, anti-TNF therapy was also associated with lower rates of major adverse cardiovascular events (OR 0.68, 0.55-0.85) and hip fracture (OR 0.54, 0.34-0.83). CONCLUSIONS Compared with prolonged corticosteroid exposure, anti-TNF drug use was associated with reduced mortality in patients with CD that may be explained by lower rates of major adverse cardiovascular events and hip fracture.Am J Gastroenterol advance online publication, 16 January 2018; doi:10.1038/ajg.2017.479.","author":[{"dropping-particle":"","family":"Lewis","given":"James D.","non-dropping-particle":"","parse-names":false,"suffix":""},{"dropping-particle":"","family":"Scott","given":"Frank I.","non-dropping-particle":"","parse-names":false,"suffix":""},{"dropping-particle":"","family":"Brensinger","given":"Colleen M.","non-dropping-particle":"","parse-names":false,"suffix":""},{"dropping-particle":"","family":"Roy","given":"Jason A.","non-dropping-particle":"","parse-names":false,"suffix":""},{"dropping-particle":"","family":"Osterman","given":"Mark T.","non-dropping-particle":"","parse-names":false,"suffix":""},{"dropping-particle":"","family":"Mamtani","given":"Ronac","non-dropping-particle":"","parse-names":false,"suffix":""},{"dropping-particle":"","family":"Bewtra","given":"Meenakshi","non-dropping-particle":"","parse-names":false,"suffix":""},{"dropping-particle":"","family":"Chen","given":"Lang","non-dropping-particle":"","parse-names":false,"suffix":""},{"dropping-particle":"","family":"Yun","given":"Huifeng","non-dropping-particle":"","parse-names":false,"suffix":""},{"dropping-particle":"","family":"Xie","given":"Fenglong","non-dropping-particle":"","parse-names":false,"suffix":""},{"dropping-particle":"","family":"Curtis","given":"Jeffrey R.","non-dropping-particle":"","parse-names":false,"suffix":""}],"container-title":"American Journal of Gastroenterology","id":"ITEM-2","issue":"3","issued":{"date-parts":[["2018"]]},"page":"405-417","publisher":"Nature Publishing Group","title":"Increased mortality rates with prolonged corticosteroid therapy when compared with antitumor necrosis factor-α-directed therapy for inflammatory bowel disease","type":"article-journal","volume":"113"},"uris":["http://www.mendeley.com/documents/?uuid=8e4f2146-26bc-451b-8c1e-a15942c14037"]}],"mendeley":{"formattedCitation":"[2,6]","plainTextFormattedCitation":"[2,6]","previouslyFormattedCitation":"[2,6]"},"properties":{"noteIndex":0},"schema":"https://github.com/citation-style-language/schema/raw/master/csl-citation.json"}</w:instrText>
            </w:r>
            <w:r>
              <w:fldChar w:fldCharType="separate"/>
            </w:r>
            <w:r w:rsidRPr="00F5744D">
              <w:rPr>
                <w:noProof/>
              </w:rPr>
              <w:t>[2,6]</w:t>
            </w:r>
            <w:r>
              <w:fldChar w:fldCharType="end"/>
            </w:r>
          </w:p>
        </w:tc>
      </w:tr>
      <w:tr w:rsidR="005A25A0" w14:paraId="5CFC9DE8" w14:textId="77777777" w:rsidTr="0006589F">
        <w:trPr>
          <w:trHeight w:val="53"/>
        </w:trPr>
        <w:tc>
          <w:tcPr>
            <w:tcW w:w="0" w:type="pct"/>
          </w:tcPr>
          <w:p w14:paraId="6E70C5EA" w14:textId="77777777" w:rsidR="005A25A0" w:rsidRDefault="005A25A0" w:rsidP="0006589F">
            <w:pPr>
              <w:pStyle w:val="TableText-IPR"/>
            </w:pPr>
            <w:r>
              <w:t>Patients using anti-TNF therapy</w:t>
            </w:r>
          </w:p>
        </w:tc>
        <w:tc>
          <w:tcPr>
            <w:tcW w:w="590" w:type="pct"/>
          </w:tcPr>
          <w:p w14:paraId="7765A31B" w14:textId="77777777" w:rsidR="005A25A0" w:rsidRDefault="005A25A0" w:rsidP="0006589F">
            <w:pPr>
              <w:pStyle w:val="TableText-IPR"/>
              <w:jc w:val="right"/>
            </w:pPr>
            <w:r>
              <w:t>15%</w:t>
            </w:r>
          </w:p>
        </w:tc>
        <w:tc>
          <w:tcPr>
            <w:tcW w:w="2731" w:type="pct"/>
          </w:tcPr>
          <w:p w14:paraId="112F41D1" w14:textId="77777777" w:rsidR="005A25A0" w:rsidRDefault="005A25A0" w:rsidP="0006589F">
            <w:pPr>
              <w:pStyle w:val="TableText-IPR"/>
            </w:pPr>
            <w:r>
              <w:t>Subject matter expert</w:t>
            </w:r>
            <w:r w:rsidDel="00C7368C">
              <w:t xml:space="preserve"> </w:t>
            </w:r>
            <w:r>
              <w:t xml:space="preserve">opinion, consistent with Lewis et al. (2018) </w:t>
            </w:r>
            <w:r>
              <w:fldChar w:fldCharType="begin" w:fldLock="1"/>
            </w:r>
            <w:r>
              <w:instrText>ADDIN CSL_CITATION {"citationItems":[{"id":"ITEM-1","itemData":{"author":[{"dropping-particle":"","family":"Long","given":"M","non-dropping-particle":"","parse-names":false,"suffix":""}],"id":"ITEM-1","issued":{"date-parts":[["2019"]]},"title":"Personal communication. March 6","type":"article"},"uris":["http://www.mendeley.com/documents/?uuid=8dae9793-3136-4ca7-8604-171165d4814d"]},{"id":"ITEM-2","itemData":{"DOI":"10.1038/ajg.2017.479","ISSN":"15720241","abstract":"OBJECTIVES Crohn's disease (CD) and ulcerative colitis (UC) are inflammatory bowel diseases (IBD) that compromise quality of life and may increase mortality. This study compared the mortality risk with prolonged corticosteroid use vs. antitumor necrosis factor-α (anti-TNF) drugs in IBD. METHODS A retrospective cohort study was conducted among Medicaid and Medicare beneficiaries from 2001 to 2013 with IBD prescribed either &gt;3,000 mg of prednisone or equivalent within a 12-month period or new initiation of anti-TNF therapy, each treated as time-updating exposures. The primary outcome was all-cause mortality. Secondary outcomes included common causes of death. Marginal structural models were used to determine odds ratios (ORs) and 95% confidence intervals (CIs) for anti-TNF use relative to corticosteroids. RESULTS Among patients with CD, 7,694 entered the cohort as prolonged corticosteroid users and 1,879 as new anti-TNF users. Among patients with UC, 3,224 and 459 entered the cohort as prolonged CS users and new anti-TNF users, respectively. The risk of death was statistically significantly lower in patients treated with anti-TNF therapy for CD (21.4 vs. 30.1 per 1,000 person-years, OR 0.78, 0.65-0.93) but not for UC (23.0 vs. 30.9 per 1,000 person-years, OR 0.87, 0.63-1.22). Among the CD cohort, anti-TNF therapy was also associated with lower rates of major adverse cardiovascular events (OR 0.68, 0.55-0.85) and hip fracture (OR 0.54, 0.34-0.83). CONCLUSIONS Compared with prolonged corticosteroid exposure, anti-TNF drug use was associated with reduced mortality in patients with CD that may be explained by lower rates of major adverse cardiovascular events and hip fracture.Am J Gastroenterol advance online publication, 16 January 2018; doi:10.1038/ajg.2017.479.","author":[{"dropping-particle":"","family":"Lewis","given":"James D.","non-dropping-particle":"","parse-names":false,"suffix":""},{"dropping-particle":"","family":"Scott","given":"Frank I.","non-dropping-particle":"","parse-names":false,"suffix":""},{"dropping-particle":"","family":"Brensinger","given":"Colleen M.","non-dropping-particle":"","parse-names":false,"suffix":""},{"dropping-particle":"","family":"Roy","given":"Jason A.","non-dropping-particle":"","parse-names":false,"suffix":""},{"dropping-particle":"","family":"Osterman","given":"Mark T.","non-dropping-particle":"","parse-names":false,"suffix":""},{"dropping-particle":"","family":"Mamtani","given":"Ronac","non-dropping-particle":"","parse-names":false,"suffix":""},{"dropping-particle":"","family":"Bewtra","given":"Meenakshi","non-dropping-particle":"","parse-names":false,"suffix":""},{"dropping-particle":"","family":"Chen","given":"Lang","non-dropping-particle":"","parse-names":false,"suffix":""},{"dropping-particle":"","family":"Yun","given":"Huifeng","non-dropping-particle":"","parse-names":false,"suffix":""},{"dropping-particle":"","family":"Xie","given":"Fenglong","non-dropping-particle":"","parse-names":false,"suffix":""},{"dropping-particle":"","family":"Curtis","given":"Jeffrey R.","non-dropping-particle":"","parse-names":false,"suffix":""}],"container-title":"American Journal of Gastroenterology","id":"ITEM-2","issue":"3","issued":{"date-parts":[["2018"]]},"page":"405-417","publisher":"Nature Publishing Group","title":"Increased mortality rates with prolonged corticosteroid therapy when compared with antitumor necrosis factor-α-directed therapy for inflammatory bowel disease","type":"article-journal","volume":"113"},"uris":["http://www.mendeley.com/documents/?uuid=8e4f2146-26bc-451b-8c1e-a15942c14037"]}],"mendeley":{"formattedCitation":"[2,6]","plainTextFormattedCitation":"[2,6]","previouslyFormattedCitation":"[2,6]"},"properties":{"noteIndex":0},"schema":"https://github.com/citation-style-language/schema/raw/master/csl-citation.json"}</w:instrText>
            </w:r>
            <w:r>
              <w:fldChar w:fldCharType="separate"/>
            </w:r>
            <w:r w:rsidRPr="00F5744D">
              <w:rPr>
                <w:noProof/>
              </w:rPr>
              <w:t>[2,6]</w:t>
            </w:r>
            <w:r>
              <w:fldChar w:fldCharType="end"/>
            </w:r>
          </w:p>
        </w:tc>
      </w:tr>
      <w:tr w:rsidR="005A25A0" w14:paraId="316E494E" w14:textId="77777777" w:rsidTr="0006589F">
        <w:trPr>
          <w:trHeight w:val="53"/>
        </w:trPr>
        <w:tc>
          <w:tcPr>
            <w:tcW w:w="0" w:type="pct"/>
            <w:gridSpan w:val="3"/>
            <w:shd w:val="clear" w:color="auto" w:fill="D9D9D9" w:themeFill="background1" w:themeFillShade="D9"/>
          </w:tcPr>
          <w:p w14:paraId="6242A2D9" w14:textId="77777777" w:rsidR="005A25A0" w:rsidRDefault="005A25A0" w:rsidP="0006589F">
            <w:pPr>
              <w:pStyle w:val="TableText-IPR"/>
              <w:jc w:val="center"/>
            </w:pPr>
            <w:r>
              <w:rPr>
                <w:b/>
              </w:rPr>
              <w:t>Healthcare</w:t>
            </w:r>
          </w:p>
        </w:tc>
      </w:tr>
      <w:tr w:rsidR="005A25A0" w14:paraId="4A99DBA6" w14:textId="77777777" w:rsidTr="0006589F">
        <w:trPr>
          <w:trHeight w:val="53"/>
        </w:trPr>
        <w:tc>
          <w:tcPr>
            <w:tcW w:w="0" w:type="pct"/>
            <w:gridSpan w:val="3"/>
            <w:shd w:val="clear" w:color="auto" w:fill="F2F2F2" w:themeFill="background1" w:themeFillShade="F2"/>
          </w:tcPr>
          <w:p w14:paraId="6EFF1371" w14:textId="77777777" w:rsidR="005A25A0" w:rsidRPr="0051425A" w:rsidRDefault="005A25A0" w:rsidP="0006589F">
            <w:pPr>
              <w:pStyle w:val="TableText-IPR"/>
              <w:jc w:val="center"/>
              <w:rPr>
                <w:b/>
              </w:rPr>
            </w:pPr>
            <w:r w:rsidRPr="0051425A">
              <w:rPr>
                <w:b/>
                <w:i/>
              </w:rPr>
              <w:t>Payer Costs (2018$)</w:t>
            </w:r>
          </w:p>
        </w:tc>
      </w:tr>
      <w:tr w:rsidR="005A25A0" w14:paraId="4E494389" w14:textId="77777777" w:rsidTr="0006589F">
        <w:trPr>
          <w:trHeight w:val="53"/>
        </w:trPr>
        <w:tc>
          <w:tcPr>
            <w:tcW w:w="0" w:type="pct"/>
          </w:tcPr>
          <w:p w14:paraId="0B8C440D" w14:textId="77777777" w:rsidR="005A25A0" w:rsidRDefault="005A25A0" w:rsidP="0006589F">
            <w:pPr>
              <w:pStyle w:val="TableText-IPR"/>
            </w:pPr>
            <w:r>
              <w:t>CS treatment</w:t>
            </w:r>
          </w:p>
        </w:tc>
        <w:tc>
          <w:tcPr>
            <w:tcW w:w="590" w:type="pct"/>
          </w:tcPr>
          <w:p w14:paraId="1F1B6AE9" w14:textId="77777777" w:rsidR="005A25A0" w:rsidRDefault="005A25A0" w:rsidP="0006589F">
            <w:pPr>
              <w:pStyle w:val="TableText-IPR"/>
              <w:jc w:val="right"/>
            </w:pPr>
            <w:r>
              <w:t>$408</w:t>
            </w:r>
          </w:p>
        </w:tc>
        <w:tc>
          <w:tcPr>
            <w:tcW w:w="2731" w:type="pct"/>
          </w:tcPr>
          <w:p w14:paraId="79E12B5B" w14:textId="77777777" w:rsidR="005A25A0" w:rsidRDefault="005A25A0" w:rsidP="0006589F">
            <w:pPr>
              <w:pStyle w:val="TableText-IPR"/>
            </w:pPr>
            <w:r>
              <w:t xml:space="preserve">Authors’ calculations based on </w:t>
            </w:r>
            <w:proofErr w:type="spellStart"/>
            <w:r>
              <w:t>GoodRx</w:t>
            </w:r>
            <w:proofErr w:type="spellEnd"/>
            <w:r>
              <w:t xml:space="preserve"> (2019) and subject matter expert</w:t>
            </w:r>
            <w:r w:rsidDel="00C7368C">
              <w:t xml:space="preserve"> </w:t>
            </w:r>
            <w:r>
              <w:t xml:space="preserve">input  </w:t>
            </w:r>
            <w:r>
              <w:fldChar w:fldCharType="begin" w:fldLock="1"/>
            </w:r>
            <w:r>
              <w:instrText>ADDIN CSL_CITATION {"citationItems":[{"id":"ITEM-1","itemData":{"author":[{"dropping-particle":"","family":"Long","given":"M","non-dropping-particle":"","parse-names":false,"suffix":""}],"id":"ITEM-1","issued":{"date-parts":[["2019"]]},"title":"Personal communication. March 6","type":"article"},"uris":["http://www.mendeley.com/documents/?uuid=8dae9793-3136-4ca7-8604-171165d4814d"]}],"mendeley":{"formattedCitation":"[6]","plainTextFormattedCitation":"[6]","previouslyFormattedCitation":"[6]"},"properties":{"noteIndex":0},"schema":"https://github.com/citation-style-language/schema/raw/master/csl-citation.json"}</w:instrText>
            </w:r>
            <w:r>
              <w:fldChar w:fldCharType="separate"/>
            </w:r>
            <w:r w:rsidRPr="009A6FB3">
              <w:rPr>
                <w:noProof/>
              </w:rPr>
              <w:t>[6]</w:t>
            </w:r>
            <w:r>
              <w:fldChar w:fldCharType="end"/>
            </w:r>
          </w:p>
        </w:tc>
      </w:tr>
      <w:tr w:rsidR="005A25A0" w14:paraId="2660697D" w14:textId="77777777" w:rsidTr="0006589F">
        <w:trPr>
          <w:trHeight w:val="53"/>
        </w:trPr>
        <w:tc>
          <w:tcPr>
            <w:tcW w:w="0" w:type="pct"/>
          </w:tcPr>
          <w:p w14:paraId="6BB0B3D0" w14:textId="77777777" w:rsidR="005A25A0" w:rsidRDefault="005A25A0" w:rsidP="0006589F">
            <w:pPr>
              <w:pStyle w:val="TableText-IPR"/>
            </w:pPr>
            <w:r>
              <w:t>Anti-TNF treatment</w:t>
            </w:r>
          </w:p>
        </w:tc>
        <w:tc>
          <w:tcPr>
            <w:tcW w:w="590" w:type="pct"/>
          </w:tcPr>
          <w:p w14:paraId="74EF129E" w14:textId="77777777" w:rsidR="005A25A0" w:rsidRDefault="005A25A0" w:rsidP="0006589F">
            <w:pPr>
              <w:pStyle w:val="TableText-IPR"/>
              <w:jc w:val="right"/>
            </w:pPr>
            <w:r>
              <w:t>$27,160</w:t>
            </w:r>
          </w:p>
        </w:tc>
        <w:tc>
          <w:tcPr>
            <w:tcW w:w="2731" w:type="pct"/>
          </w:tcPr>
          <w:p w14:paraId="12AA3282" w14:textId="77777777" w:rsidR="005A25A0" w:rsidRDefault="005A25A0" w:rsidP="0006589F">
            <w:pPr>
              <w:pStyle w:val="TableText-IPR"/>
            </w:pPr>
            <w:r>
              <w:t xml:space="preserve">Institute for Clinical and Economic Review, 2017 </w:t>
            </w:r>
            <w:r>
              <w:fldChar w:fldCharType="begin" w:fldLock="1"/>
            </w:r>
            <w:r>
              <w:instrText>ADDIN CSL_CITATION {"citationItems":[{"id":"ITEM-1","itemData":{"author":[{"dropping-particle":"","family":"Institute for Clinical and Economic Review","given":"","non-dropping-particle":"","parse-names":false,"suffix":""}],"id":"ITEM-1","issue":"February","issued":{"date-parts":[["2017"]]},"number-of-pages":"1-8","title":"A Look at Immune Modulators for Rheumatoid Arthritis","type":"report"},"uris":["http://www.mendeley.com/documents/?uuid=b1452ae0-f799-4b1e-b47e-512c7a843806"]}],"mendeley":{"formattedCitation":"[12]","plainTextFormattedCitation":"[12]","previouslyFormattedCitation":"[11]"},"properties":{"noteIndex":0},"schema":"https://github.com/citation-style-language/schema/raw/master/csl-citation.json"}</w:instrText>
            </w:r>
            <w:r>
              <w:fldChar w:fldCharType="separate"/>
            </w:r>
            <w:r w:rsidRPr="00BD1B6A">
              <w:rPr>
                <w:noProof/>
              </w:rPr>
              <w:t>[12]</w:t>
            </w:r>
            <w:r>
              <w:fldChar w:fldCharType="end"/>
            </w:r>
          </w:p>
        </w:tc>
      </w:tr>
      <w:tr w:rsidR="005A25A0" w14:paraId="55E9984E" w14:textId="77777777" w:rsidTr="0006589F">
        <w:trPr>
          <w:trHeight w:val="53"/>
        </w:trPr>
        <w:tc>
          <w:tcPr>
            <w:tcW w:w="0" w:type="pct"/>
          </w:tcPr>
          <w:p w14:paraId="5BBBA618" w14:textId="77777777" w:rsidR="005A25A0" w:rsidRDefault="005A25A0" w:rsidP="0006589F">
            <w:pPr>
              <w:pStyle w:val="TableText-IPR"/>
            </w:pPr>
            <w:r>
              <w:t>Death</w:t>
            </w:r>
          </w:p>
        </w:tc>
        <w:tc>
          <w:tcPr>
            <w:tcW w:w="590" w:type="pct"/>
          </w:tcPr>
          <w:p w14:paraId="48DFBDB6" w14:textId="77777777" w:rsidR="005A25A0" w:rsidRDefault="005A25A0" w:rsidP="0006589F">
            <w:pPr>
              <w:pStyle w:val="TableText-IPR"/>
              <w:jc w:val="right"/>
            </w:pPr>
            <w:r>
              <w:t>$26,060</w:t>
            </w:r>
          </w:p>
        </w:tc>
        <w:tc>
          <w:tcPr>
            <w:tcW w:w="2731" w:type="pct"/>
          </w:tcPr>
          <w:p w14:paraId="4A7DC489" w14:textId="77777777" w:rsidR="005A25A0" w:rsidRDefault="005A25A0" w:rsidP="0006589F">
            <w:pPr>
              <w:pStyle w:val="TableText-IPR"/>
            </w:pPr>
            <w:r>
              <w:t xml:space="preserve">Hospital spending for last year of life from French et al., 2017 </w:t>
            </w:r>
            <w:r>
              <w:fldChar w:fldCharType="begin" w:fldLock="1"/>
            </w:r>
            <w:r>
              <w:instrText>ADDIN CSL_CITATION {"citationItems":[{"id":"ITEM-1","itemData":{"DOI":"10.1377/hlthaff.2017.0174","ISSN":"15445208","abstract":"Although end-of-life medical spending is often viewed as a major component of aggregate medical expenditure, accurate measures of this type of medical spending are scarce. We used detailed health care data for the period 2009–11 from Denmark, England, France, Germany, Japan, the Netherlands, Taiwan, the United States, and the Canadian province of Quebec to measure the composition and magnitude of medical spending in the three years before death. In all nine countries, medical spending at the end of life was high relative to spending at other ages. Spending during the last twelve months of life made up a modest share of aggregate spending, ranging from 8.5 percent in the United States to 11.2 percent in Taiwan, but spending in the last three calendar years of life reached 24.5 percent in Taiwan. This suggests that high aggregate medical spending is due not to last-ditch efforts to save lives but to spending on people with chronic conditions, which are associated with shorter life expectancies.","author":[{"dropping-particle":"","family":"French","given":"Eric B.","non-dropping-particle":"","parse-names":false,"suffix":""},{"dropping-particle":"","family":"McCauley","given":"Jeremy","non-dropping-particle":"","parse-names":false,"suffix":""},{"dropping-particle":"","family":"Aragon","given":"Maria","non-dropping-particle":"","parse-names":false,"suffix":""},{"dropping-particle":"","family":"Bakx","given":"Pieter","non-dropping-particle":"","parse-names":false,"suffix":""},{"dropping-particle":"","family":"Chalkley","given":"Martin","non-dropping-particle":"","parse-names":false,"suffix":""},{"dropping-particle":"","family":"Chen","given":"Stacey H.","non-dropping-particle":"","parse-names":false,"suffix":""},{"dropping-particle":"","family":"Christensen","given":"Bent J.","non-dropping-particle":"","parse-names":false,"suffix":""},{"dropping-particle":"","family":"Chuang","given":"Hongwei","non-dropping-particle":"","parse-names":false,"suffix":""},{"dropping-particle":"","family":"Côté-Sergent","given":"Aurelie","non-dropping-particle":"","parse-names":false,"suffix":""},{"dropping-particle":"De","family":"Nardi","given":"Mariacristina","non-dropping-particle":"","parse-names":false,"suffix":""},{"dropping-particle":"","family":"Fan","given":"Elliott","non-dropping-particle":"","parse-names":false,"suffix":""},{"dropping-particle":"","family":"échevin","given":"Damien","non-dropping-particle":"","parse-names":false,"suffix":""},{"dropping-particle":"","family":"Geoffard","given":"Pierre Yves","non-dropping-particle":"","parse-names":false,"suffix":""},{"dropping-particle":"","family":"Gastaldi-Ménager","given":"Christelle","non-dropping-particle":"","parse-names":false,"suffix":""},{"dropping-particle":"","family":"Gørtz","given":"Mette","non-dropping-particle":"","parse-names":false,"suffix":""},{"dropping-particle":"","family":"Ibuka","given":"Yoko","non-dropping-particle":"","parse-names":false,"suffix":""},{"dropping-particle":"","family":"Jones","given":"John B.","non-dropping-particle":"","parse-names":false,"suffix":""},{"dropping-particle":"","family":"Kallestrup-Lamb","given":"Malene","non-dropping-particle":"","parse-names":false,"suffix":""},{"dropping-particle":"","family":"Karlsson","given":"Martin","non-dropping-particle":"","parse-names":false,"suffix":""},{"dropping-particle":"","family":"Klein","given":"Tobias J.","non-dropping-particle":"","parse-names":false,"suffix":""},{"dropping-particle":"de","family":"Lagasnerie","given":"Grégoire","non-dropping-particle":"","parse-names":false,"suffix":""},{"dropping-particle":"","family":"Michaud","given":"Pierre Carl","non-dropping-particle":"","parse-names":false,"suffix":""},{"dropping-particle":"","family":"O'Donnell","given":"Owen","non-dropping-particle":"","parse-names":false,"suffix":""},{"dropping-particle":"","family":"Rice","given":"Nigel","non-dropping-particle":"","parse-names":false,"suffix":""},{"dropping-particle":"","family":"Skinner","given":"Jonathan S.","non-dropping-particle":"","parse-names":false,"suffix":""},{"dropping-particle":"van","family":"Doorslaer","given":"Eddy","non-dropping-particle":"","parse-names":false,"suffix":""},{"dropping-particle":"","family":"Ziebarth","given":"Nicolas R.","non-dropping-particle":"","parse-names":false,"suffix":""},{"dropping-particle":"","family":"Kelly","given":"Elaine","non-dropping-particle":"","parse-names":false,"suffix":""}],"container-title":"Health Affairs","id":"ITEM-1","issue":"7","issued":{"date-parts":[["2017"]]},"page":"1211-1217","title":"End-of-life medical spending in last twelve months of life is lower than previously reported","type":"article-journal","volume":"36"},"uris":["http://www.mendeley.com/documents/?uuid=419d673c-b5b6-4012-b7c8-b0b90810d284"]}],"mendeley":{"formattedCitation":"[11]","plainTextFormattedCitation":"[11]","previouslyFormattedCitation":"[15]"},"properties":{"noteIndex":0},"schema":"https://github.com/citation-style-language/schema/raw/master/csl-citation.json"}</w:instrText>
            </w:r>
            <w:r>
              <w:fldChar w:fldCharType="separate"/>
            </w:r>
            <w:r w:rsidRPr="00BD1B6A">
              <w:rPr>
                <w:noProof/>
              </w:rPr>
              <w:t>[11]</w:t>
            </w:r>
            <w:r>
              <w:fldChar w:fldCharType="end"/>
            </w:r>
          </w:p>
        </w:tc>
      </w:tr>
      <w:tr w:rsidR="005A25A0" w14:paraId="4F5A6049" w14:textId="77777777" w:rsidTr="0006589F">
        <w:trPr>
          <w:trHeight w:val="80"/>
        </w:trPr>
        <w:tc>
          <w:tcPr>
            <w:tcW w:w="0" w:type="pct"/>
          </w:tcPr>
          <w:p w14:paraId="7D84CEAF" w14:textId="77777777" w:rsidR="005A25A0" w:rsidRDefault="005A25A0" w:rsidP="0006589F">
            <w:pPr>
              <w:pStyle w:val="TableText-IPR"/>
            </w:pPr>
            <w:r>
              <w:t>Hip fracture</w:t>
            </w:r>
          </w:p>
        </w:tc>
        <w:tc>
          <w:tcPr>
            <w:tcW w:w="590" w:type="pct"/>
          </w:tcPr>
          <w:p w14:paraId="6AFA146B" w14:textId="77777777" w:rsidR="005A25A0" w:rsidRDefault="005A25A0" w:rsidP="0006589F">
            <w:pPr>
              <w:pStyle w:val="TableText-IPR"/>
              <w:jc w:val="right"/>
            </w:pPr>
            <w:r>
              <w:t>$20,390</w:t>
            </w:r>
          </w:p>
        </w:tc>
        <w:tc>
          <w:tcPr>
            <w:tcW w:w="2731" w:type="pct"/>
          </w:tcPr>
          <w:p w14:paraId="16EE4F06" w14:textId="77777777" w:rsidR="005A25A0" w:rsidRDefault="005A25A0" w:rsidP="0006589F">
            <w:pPr>
              <w:pStyle w:val="TableText-IPR"/>
            </w:pPr>
            <w:r>
              <w:t xml:space="preserve">Authors’ calculations using Shi, Foley, Lenhart, &amp; </w:t>
            </w:r>
            <w:proofErr w:type="spellStart"/>
            <w:r>
              <w:t>Badamgarav</w:t>
            </w:r>
            <w:proofErr w:type="spellEnd"/>
            <w:r>
              <w:t xml:space="preserve">, 2009 </w:t>
            </w:r>
            <w:r>
              <w:fldChar w:fldCharType="begin" w:fldLock="1"/>
            </w:r>
            <w:r>
              <w:instrText>ADDIN CSL_CITATION {"citationItems":[{"id":"ITEM-1","itemData":{"DOI":"10.1016/j.bone.2009.07.086","ISSN":"87563282","abstract":"Limited data exist regarding the cost of non-hip, non-vertebral (NHNV) fractures. Although NHNV fractures may be less expensive than hip and vertebral fractures, they have a higher incidence rate. The objective of this study was to quantify first-year healthcare costs of hip, vertebral, and NHNV fractures. This was a claims-based retrospective analysis using a case-control design among patients with commercial insurance and Medicare employer-based supplemental coverage. Patients were ≥ 50 years old with a closed hip, vertebral, or NHNV fracture between 7/1/2001 and 12/31/2004, and continuous enrollment 6 months prior to and 12 months after the index fracture. Adjusted mean first-year healthcare costs associated with these fractures were determined. Six cohorts were identified. Patients 50-64 years: NHNV (n = 27,424), vertebral (n = 3386) and hip (n = 2423); patients ≥ 65 years: NHNV (n = 40,960), vertebral (n = 11,751) and hip (n = 21,504). The ratio of NHNV to hip fractures was 11:1 in the 50-64 cohort and 2:1 in the ≥ 65 cohort. Adjusted mean first-year costs associated with hip, vertebral, and NHNV fractures were $26,545, $14,977, and $9183 for the 50-64 age cohort, and $15,196, $6701, and $6106 for patients ≥ 65 years. After taking prevalence rate into account, the proportion of the total fracture costs accounted for by NHNV, hip, and vertebral fractures were 66%, 21% and 13% for the 50-64 age cohort, and 36%, 52% and 12% for the ≥ 65 age cohort. Limitations included the exclusion of the uninsured and those covered by Medicaid or military-based insurance programs. The results of this study demonstrate that osteoporotic fractures are associated with significant costs. Although NHNV fractures have a lower per-patient cost than hip or vertebral fractures, their total first-year cost is greater for those 50-64 because of their higher prevalence. © 2009 Elsevier Inc. All rights reserved.","author":[{"dropping-particle":"","family":"Shi","given":"Nianwen","non-dropping-particle":"","parse-names":false,"suffix":""},{"dropping-particle":"","family":"Foley","given":"Kathleen","non-dropping-particle":"","parse-names":false,"suffix":""},{"dropping-particle":"","family":"Lenhart","given":"Gregory","non-dropping-particle":"","parse-names":false,"suffix":""},{"dropping-particle":"","family":"Badamgarav","given":"Enkhe","non-dropping-particle":"","parse-names":false,"suffix":""}],"container-title":"Bone","id":"ITEM-1","issue":"6","issued":{"date-parts":[["2009"]]},"page":"1084-1090","publisher":"Elsevier Inc.","title":"Direct healthcare costs of hip, vertebral, and non-hip, non-vertebral fractures","type":"article-journal","volume":"45"},"uris":["http://www.mendeley.com/documents/?uuid=f79c7a7a-cfd9-4baa-b12c-c0ba25952ab9"]}],"mendeley":{"formattedCitation":"[13]","plainTextFormattedCitation":"[13]","previouslyFormattedCitation":"[16]"},"properties":{"noteIndex":0},"schema":"https://github.com/citation-style-language/schema/raw/master/csl-citation.json"}</w:instrText>
            </w:r>
            <w:r>
              <w:fldChar w:fldCharType="separate"/>
            </w:r>
            <w:r w:rsidRPr="00BD1B6A">
              <w:rPr>
                <w:noProof/>
              </w:rPr>
              <w:t>[13]</w:t>
            </w:r>
            <w:r>
              <w:fldChar w:fldCharType="end"/>
            </w:r>
          </w:p>
        </w:tc>
      </w:tr>
      <w:tr w:rsidR="005A25A0" w14:paraId="2F80E688" w14:textId="77777777" w:rsidTr="0006589F">
        <w:trPr>
          <w:trHeight w:val="53"/>
        </w:trPr>
        <w:tc>
          <w:tcPr>
            <w:tcW w:w="0" w:type="pct"/>
          </w:tcPr>
          <w:p w14:paraId="592CB8D2" w14:textId="77777777" w:rsidR="005A25A0" w:rsidRDefault="005A25A0" w:rsidP="0006589F">
            <w:pPr>
              <w:pStyle w:val="TableText-IPR"/>
            </w:pPr>
            <w:r>
              <w:t xml:space="preserve">MACE </w:t>
            </w:r>
          </w:p>
        </w:tc>
        <w:tc>
          <w:tcPr>
            <w:tcW w:w="590" w:type="pct"/>
          </w:tcPr>
          <w:p w14:paraId="23BB2423" w14:textId="77777777" w:rsidR="005A25A0" w:rsidRDefault="005A25A0" w:rsidP="0006589F">
            <w:pPr>
              <w:pStyle w:val="TableText-IPR"/>
              <w:jc w:val="right"/>
            </w:pPr>
            <w:r>
              <w:t>$36,980</w:t>
            </w:r>
          </w:p>
        </w:tc>
        <w:tc>
          <w:tcPr>
            <w:tcW w:w="2731" w:type="pct"/>
          </w:tcPr>
          <w:p w14:paraId="5D661001" w14:textId="77777777" w:rsidR="005A25A0" w:rsidRDefault="005A25A0" w:rsidP="0006589F">
            <w:pPr>
              <w:pStyle w:val="TableText-IPR"/>
            </w:pPr>
            <w:r>
              <w:t xml:space="preserve">Authors’ calculations using O’Sullivan et al., 2011 </w:t>
            </w:r>
            <w:r>
              <w:fldChar w:fldCharType="begin" w:fldLock="1"/>
            </w:r>
            <w:r>
              <w:instrText>ADDIN CSL_CITATION {"citationItems":[{"id":"ITEM-1","itemData":{"DOI":"10.2165/11584620-000000000-00000","ISSN":"11707690","abstract":"Abstract: Background: In this study, we developed cost prediction equations that facilitate estimation of the costs of various cardiovascular events for patients of specific demographic and clinical characteristics over varying time horizons. Methods: We used administrative claims data and generalized linear models to develop cost prediction equations for selected cardiovascular events, including myocardial infarction (MI), angina, strokes and revascularization procedures. Separate equations were estimated for patients with events and for their propensity score-matched controls. Attributable costs were estimated on a monthly basis for the first 36 months after each event and annually thereafter, with differences in survival between cases and controls factored into the longitudinal cost calculations. The regression models were used to estimate event costs ($US, year 2007 values) for the 'average' patient in each event group, over various time periods ranging from 1 month to lifetime. Results: When the equations are run for the average patient in each event group, attributable costs of each event in the acute phase (i.e. first 3 years) are substantial (e.g. MI $US73 300; hospitalization for angina $US36 000; non-fatal haemorrhagic stroke $US71 600). Furthermore, for most events, cumulative costs remain substantially higher among cases than among controls over the remaining lifetime of the patients. Conclusions: This study provides updated estimates of medical care costs of cardiovascular events among a managed care population over various time horizons. Results suggest that the economic burden of cardiovascular disease is substantial, both in the acute phase as well as over the longer term.","author":[{"dropping-particle":"","family":"O'Sullivan","given":"Amy K.","non-dropping-particle":"","parse-names":false,"suffix":""},{"dropping-particle":"","family":"Rubin","given":"Jaime","non-dropping-particle":"","parse-names":false,"suffix":""},{"dropping-particle":"","family":"Nyambose","given":"Joshua","non-dropping-particle":"","parse-names":false,"suffix":""},{"dropping-particle":"","family":"Kuznik","given":"Andreas","non-dropping-particle":"","parse-names":false,"suffix":""},{"dropping-particle":"","family":"Cohen","given":"David J.","non-dropping-particle":"","parse-names":false,"suffix":""},{"dropping-particle":"","family":"Thompson","given":"David","non-dropping-particle":"","parse-names":false,"suffix":""}],"container-title":"PharmacoEconomics","id":"ITEM-1","issue":"8","issued":{"date-parts":[["2011"]]},"page":"693-704","title":"Cost estimation of cardiovascular disease events in the US","type":"article-journal","volume":"29"},"uris":["http://www.mendeley.com/documents/?uuid=ac35b0b2-bee6-42cc-850f-d0e2d525873c"]}],"mendeley":{"formattedCitation":"[14]","plainTextFormattedCitation":"[14]","previouslyFormattedCitation":"[17]"},"properties":{"noteIndex":0},"schema":"https://github.com/citation-style-language/schema/raw/master/csl-citation.json"}</w:instrText>
            </w:r>
            <w:r>
              <w:fldChar w:fldCharType="separate"/>
            </w:r>
            <w:r w:rsidRPr="00BD1B6A">
              <w:rPr>
                <w:noProof/>
              </w:rPr>
              <w:t>[14]</w:t>
            </w:r>
            <w:r>
              <w:fldChar w:fldCharType="end"/>
            </w:r>
          </w:p>
        </w:tc>
      </w:tr>
      <w:tr w:rsidR="005A25A0" w14:paraId="7400C90E" w14:textId="77777777" w:rsidTr="0006589F">
        <w:trPr>
          <w:trHeight w:val="53"/>
        </w:trPr>
        <w:tc>
          <w:tcPr>
            <w:tcW w:w="0" w:type="pct"/>
          </w:tcPr>
          <w:p w14:paraId="7F18C605" w14:textId="77777777" w:rsidR="005A25A0" w:rsidRDefault="005A25A0" w:rsidP="0006589F">
            <w:pPr>
              <w:pStyle w:val="TableText-IPR"/>
            </w:pPr>
            <w:r>
              <w:t>IBD</w:t>
            </w:r>
            <w:r>
              <w:rPr>
                <w:rFonts w:asciiTheme="minorHAnsi" w:hAnsiTheme="minorHAnsi"/>
              </w:rPr>
              <w:t>-related</w:t>
            </w:r>
            <w:r>
              <w:t xml:space="preserve"> hospitalization</w:t>
            </w:r>
          </w:p>
        </w:tc>
        <w:tc>
          <w:tcPr>
            <w:tcW w:w="590" w:type="pct"/>
          </w:tcPr>
          <w:p w14:paraId="7471AD1E" w14:textId="77777777" w:rsidR="005A25A0" w:rsidRDefault="005A25A0" w:rsidP="0006589F">
            <w:pPr>
              <w:pStyle w:val="TableText-IPR"/>
              <w:jc w:val="right"/>
            </w:pPr>
            <w:r>
              <w:t>$12,060</w:t>
            </w:r>
          </w:p>
        </w:tc>
        <w:tc>
          <w:tcPr>
            <w:tcW w:w="2731" w:type="pct"/>
          </w:tcPr>
          <w:p w14:paraId="480B491D" w14:textId="77777777" w:rsidR="005A25A0" w:rsidRDefault="005A25A0" w:rsidP="0006589F">
            <w:pPr>
              <w:pStyle w:val="TableText-IPR"/>
            </w:pPr>
            <w:r>
              <w:t xml:space="preserve">Centers for Disease Control and Prevention, 2019 </w:t>
            </w:r>
            <w:r>
              <w:fldChar w:fldCharType="begin" w:fldLock="1"/>
            </w:r>
            <w:r>
              <w:instrText>ADDIN CSL_CITATION {"citationItems":[{"id":"ITEM-1","itemData":{"URL":"https://www.cdc.gov/ibd/data-statistics.htm","author":[{"dropping-particle":"","family":"Centers for Disease Control and Prevention","given":"","non-dropping-particle":"","parse-names":false,"suffix":""}],"id":"ITEM-1","issued":{"date-parts":[["2019"]]},"title":"Data and statistics: Inflammatory bowel disease (IBD) prevalence in the United States","type":"webpage"},"uris":["http://www.mendeley.com/documents/?uuid=f9c25125-6a7a-41f3-b0d3-f05f7d7e60c1"]}],"mendeley":{"formattedCitation":"[17]","plainTextFormattedCitation":"[17]","previouslyFormattedCitation":"[19]"},"properties":{"noteIndex":0},"schema":"https://github.com/citation-style-language/schema/raw/master/csl-citation.json"}</w:instrText>
            </w:r>
            <w:r>
              <w:fldChar w:fldCharType="separate"/>
            </w:r>
            <w:r w:rsidRPr="00BD1B6A">
              <w:rPr>
                <w:noProof/>
              </w:rPr>
              <w:t>[17]</w:t>
            </w:r>
            <w:r>
              <w:fldChar w:fldCharType="end"/>
            </w:r>
          </w:p>
        </w:tc>
      </w:tr>
      <w:tr w:rsidR="005A25A0" w14:paraId="338502F0" w14:textId="77777777" w:rsidTr="0006589F">
        <w:trPr>
          <w:trHeight w:val="125"/>
        </w:trPr>
        <w:tc>
          <w:tcPr>
            <w:tcW w:w="0" w:type="pct"/>
          </w:tcPr>
          <w:p w14:paraId="5D2E1106" w14:textId="77777777" w:rsidR="005A25A0" w:rsidRDefault="005A25A0" w:rsidP="0006589F">
            <w:pPr>
              <w:pStyle w:val="TableText-IPR"/>
            </w:pPr>
            <w:r>
              <w:t>Office visit</w:t>
            </w:r>
          </w:p>
        </w:tc>
        <w:tc>
          <w:tcPr>
            <w:tcW w:w="590" w:type="pct"/>
          </w:tcPr>
          <w:p w14:paraId="4B500598" w14:textId="77777777" w:rsidR="005A25A0" w:rsidRDefault="005A25A0" w:rsidP="0006589F">
            <w:pPr>
              <w:pStyle w:val="TableText-IPR"/>
              <w:jc w:val="right"/>
            </w:pPr>
            <w:r>
              <w:t>$410</w:t>
            </w:r>
          </w:p>
        </w:tc>
        <w:tc>
          <w:tcPr>
            <w:tcW w:w="2731" w:type="pct"/>
          </w:tcPr>
          <w:p w14:paraId="57F38011" w14:textId="77777777" w:rsidR="005A25A0" w:rsidRPr="00927C26" w:rsidRDefault="005A25A0" w:rsidP="0006589F">
            <w:pPr>
              <w:pStyle w:val="TableText-IPR"/>
            </w:pPr>
            <w:r>
              <w:t>Authors’</w:t>
            </w:r>
            <w:r w:rsidRPr="00D9367B">
              <w:t xml:space="preserve"> Analysis of MEPS 2010</w:t>
            </w:r>
            <w:r>
              <w:t>–</w:t>
            </w:r>
            <w:r w:rsidRPr="00D9367B">
              <w:t>2015 data</w:t>
            </w:r>
            <w:r>
              <w:t xml:space="preserve"> </w:t>
            </w:r>
            <w:r>
              <w:fldChar w:fldCharType="begin" w:fldLock="1"/>
            </w:r>
            <w: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[16]","plainTextFormattedCitation":"[16]","previouslyFormattedCitation":"[18]"},"properties":{"noteIndex":0},"schema":"https://github.com/citation-style-language/schema/raw/master/csl-citation.json"}</w:instrText>
            </w:r>
            <w:r>
              <w:fldChar w:fldCharType="separate"/>
            </w:r>
            <w:r w:rsidRPr="00BD1B6A">
              <w:rPr>
                <w:noProof/>
              </w:rPr>
              <w:t>[16]</w:t>
            </w:r>
            <w:r>
              <w:fldChar w:fldCharType="end"/>
            </w:r>
          </w:p>
        </w:tc>
      </w:tr>
      <w:tr w:rsidR="005A25A0" w14:paraId="49647065" w14:textId="77777777" w:rsidTr="0006589F">
        <w:trPr>
          <w:trHeight w:val="62"/>
        </w:trPr>
        <w:tc>
          <w:tcPr>
            <w:tcW w:w="0" w:type="pct"/>
          </w:tcPr>
          <w:p w14:paraId="10CE8735" w14:textId="77777777" w:rsidR="005A25A0" w:rsidRDefault="005A25A0" w:rsidP="0006589F">
            <w:pPr>
              <w:pStyle w:val="TableText-IPR"/>
            </w:pPr>
            <w:r>
              <w:t>Adult patients &lt;65 with Medicaid as primary payer</w:t>
            </w:r>
          </w:p>
        </w:tc>
        <w:tc>
          <w:tcPr>
            <w:tcW w:w="590" w:type="pct"/>
          </w:tcPr>
          <w:p w14:paraId="5E25C3CF" w14:textId="77777777" w:rsidR="005A25A0" w:rsidRDefault="005A25A0" w:rsidP="0006589F">
            <w:pPr>
              <w:pStyle w:val="TableText-IPR"/>
              <w:jc w:val="right"/>
            </w:pPr>
            <w:r>
              <w:t>12.5%</w:t>
            </w:r>
          </w:p>
        </w:tc>
        <w:tc>
          <w:tcPr>
            <w:tcW w:w="2731" w:type="pct"/>
          </w:tcPr>
          <w:p w14:paraId="69D5C7F2" w14:textId="77777777" w:rsidR="005A25A0" w:rsidRPr="00D9367B" w:rsidRDefault="005A25A0" w:rsidP="0006589F">
            <w:pPr>
              <w:pStyle w:val="TableText-IPR"/>
            </w:pPr>
            <w:r>
              <w:t xml:space="preserve">Medicaid and CHIP Access and Payment Commission, 2018 </w:t>
            </w:r>
            <w:r>
              <w:fldChar w:fldCharType="begin" w:fldLock="1"/>
            </w:r>
            <w:r>
              <w:instrText>ADDIN CSL_CITATION {"citationItems":[{"id":"ITEM-1","itemData":{"author":[{"dropping-particle":"","family":"Medicaid and CHIP Access and Payment Commission","given":"","non-dropping-particle":"","parse-names":false,"suffix":""}],"container-title":"MACStats","id":"ITEM-1","issued":{"date-parts":[["2018"]]},"title":"Medicaid and CHIP Access and Payment Commission. Exhibit 40","type":"report"},"uris":["http://www.mendeley.com/documents/?uuid=0354d56b-9f95-4fd6-8775-a677ad8fb4aa"]}],"mendeley":{"formattedCitation":"[18]","plainTextFormattedCitation":"[18]","previouslyFormattedCitation":"[20]"},"properties":{"noteIndex":0},"schema":"https://github.com/citation-style-language/schema/raw/master/csl-citation.json"}</w:instrText>
            </w:r>
            <w:r>
              <w:fldChar w:fldCharType="separate"/>
            </w:r>
            <w:r w:rsidRPr="00BD1B6A">
              <w:rPr>
                <w:noProof/>
              </w:rPr>
              <w:t>[18]</w:t>
            </w:r>
            <w:r>
              <w:fldChar w:fldCharType="end"/>
            </w:r>
          </w:p>
        </w:tc>
      </w:tr>
      <w:tr w:rsidR="005A25A0" w14:paraId="740E7A41" w14:textId="77777777" w:rsidTr="0006589F">
        <w:trPr>
          <w:trHeight w:val="53"/>
        </w:trPr>
        <w:tc>
          <w:tcPr>
            <w:tcW w:w="0" w:type="pct"/>
            <w:gridSpan w:val="3"/>
            <w:shd w:val="clear" w:color="auto" w:fill="F2F2F2" w:themeFill="background1" w:themeFillShade="F2"/>
          </w:tcPr>
          <w:p w14:paraId="2D38B898" w14:textId="77777777" w:rsidR="005A25A0" w:rsidRPr="0051425A" w:rsidRDefault="005A25A0" w:rsidP="0006589F">
            <w:pPr>
              <w:pStyle w:val="TableText-IPR"/>
              <w:keepNext/>
              <w:jc w:val="center"/>
              <w:rPr>
                <w:b/>
              </w:rPr>
            </w:pPr>
            <w:r w:rsidRPr="0051425A">
              <w:rPr>
                <w:b/>
                <w:i/>
              </w:rPr>
              <w:t>Patient Out-of-Pocket Costs (2018$)</w:t>
            </w:r>
          </w:p>
        </w:tc>
      </w:tr>
      <w:tr w:rsidR="005A25A0" w14:paraId="0AD476A2" w14:textId="77777777" w:rsidTr="0006589F">
        <w:trPr>
          <w:trHeight w:val="53"/>
        </w:trPr>
        <w:tc>
          <w:tcPr>
            <w:tcW w:w="0" w:type="pct"/>
          </w:tcPr>
          <w:p w14:paraId="6A75040D" w14:textId="77777777" w:rsidR="005A25A0" w:rsidRDefault="005A25A0" w:rsidP="0006589F">
            <w:pPr>
              <w:pStyle w:val="TableText-IPR"/>
              <w:keepNext/>
            </w:pPr>
            <w:r>
              <w:t>CS treatment</w:t>
            </w:r>
          </w:p>
        </w:tc>
        <w:tc>
          <w:tcPr>
            <w:tcW w:w="590" w:type="pct"/>
          </w:tcPr>
          <w:p w14:paraId="26294B0E" w14:textId="77777777" w:rsidR="005A25A0" w:rsidRDefault="005A25A0" w:rsidP="0006589F">
            <w:pPr>
              <w:pStyle w:val="TableText-IPR"/>
              <w:keepNext/>
              <w:jc w:val="right"/>
            </w:pPr>
            <w:r>
              <w:t>$22</w:t>
            </w:r>
          </w:p>
        </w:tc>
        <w:tc>
          <w:tcPr>
            <w:tcW w:w="2731" w:type="pct"/>
          </w:tcPr>
          <w:p w14:paraId="193113E2" w14:textId="77777777" w:rsidR="005A25A0" w:rsidRDefault="005A25A0" w:rsidP="0006589F">
            <w:pPr>
              <w:pStyle w:val="TableText-IPR"/>
              <w:keepNext/>
            </w:pPr>
            <w:r>
              <w:t xml:space="preserve">Authors’ analysis of MEPS 2006–2015 data </w:t>
            </w:r>
            <w:r>
              <w:fldChar w:fldCharType="begin" w:fldLock="1"/>
            </w:r>
            <w: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[16]","plainTextFormattedCitation":"[16]","previouslyFormattedCitation":"[18]"},"properties":{"noteIndex":0},"schema":"https://github.com/citation-style-language/schema/raw/master/csl-citation.json"}</w:instrText>
            </w:r>
            <w:r>
              <w:fldChar w:fldCharType="separate"/>
            </w:r>
            <w:r w:rsidRPr="00BD1B6A">
              <w:rPr>
                <w:noProof/>
              </w:rPr>
              <w:t>[16]</w:t>
            </w:r>
            <w:r>
              <w:fldChar w:fldCharType="end"/>
            </w:r>
          </w:p>
        </w:tc>
      </w:tr>
      <w:tr w:rsidR="005A25A0" w14:paraId="04786BF0" w14:textId="77777777" w:rsidTr="0006589F">
        <w:trPr>
          <w:trHeight w:val="134"/>
        </w:trPr>
        <w:tc>
          <w:tcPr>
            <w:tcW w:w="0" w:type="pct"/>
          </w:tcPr>
          <w:p w14:paraId="13D7DACE" w14:textId="77777777" w:rsidR="005A25A0" w:rsidRDefault="005A25A0" w:rsidP="0006589F">
            <w:pPr>
              <w:pStyle w:val="TableText-IPR"/>
            </w:pPr>
            <w:r>
              <w:t>Anti-TNF treatment</w:t>
            </w:r>
          </w:p>
        </w:tc>
        <w:tc>
          <w:tcPr>
            <w:tcW w:w="590" w:type="pct"/>
          </w:tcPr>
          <w:p w14:paraId="5AF1BBEB" w14:textId="77777777" w:rsidR="005A25A0" w:rsidRDefault="005A25A0" w:rsidP="0006589F">
            <w:pPr>
              <w:pStyle w:val="TableText-IPR"/>
              <w:jc w:val="right"/>
            </w:pPr>
            <w:r>
              <w:t>$111</w:t>
            </w:r>
          </w:p>
        </w:tc>
        <w:tc>
          <w:tcPr>
            <w:tcW w:w="2731" w:type="pct"/>
          </w:tcPr>
          <w:p w14:paraId="06C31139" w14:textId="77777777" w:rsidR="005A25A0" w:rsidRDefault="005A25A0" w:rsidP="0006589F">
            <w:pPr>
              <w:pStyle w:val="TableText-IPR"/>
            </w:pPr>
            <w:r>
              <w:t xml:space="preserve">Authors’ calculations, assuming $25 copay per infliximab infusion visit  </w:t>
            </w:r>
          </w:p>
        </w:tc>
      </w:tr>
      <w:tr w:rsidR="005A25A0" w14:paraId="616C22E8" w14:textId="77777777" w:rsidTr="0006589F">
        <w:trPr>
          <w:trHeight w:val="143"/>
        </w:trPr>
        <w:tc>
          <w:tcPr>
            <w:tcW w:w="0" w:type="pct"/>
          </w:tcPr>
          <w:p w14:paraId="1AD17A75" w14:textId="77777777" w:rsidR="005A25A0" w:rsidRDefault="005A25A0" w:rsidP="0006589F">
            <w:pPr>
              <w:pStyle w:val="TableText-IPR"/>
            </w:pPr>
            <w:r>
              <w:t>Hip fracture</w:t>
            </w:r>
            <w:r w:rsidDel="00C7368C">
              <w:t xml:space="preserve"> </w:t>
            </w:r>
          </w:p>
        </w:tc>
        <w:tc>
          <w:tcPr>
            <w:tcW w:w="590" w:type="pct"/>
          </w:tcPr>
          <w:p w14:paraId="71538AAE" w14:textId="77777777" w:rsidR="005A25A0" w:rsidRDefault="005A25A0" w:rsidP="0006589F">
            <w:pPr>
              <w:pStyle w:val="TableText-IPR"/>
              <w:jc w:val="right"/>
            </w:pPr>
            <w:r>
              <w:t>$1,192</w:t>
            </w:r>
          </w:p>
        </w:tc>
        <w:tc>
          <w:tcPr>
            <w:tcW w:w="2731" w:type="pct"/>
          </w:tcPr>
          <w:p w14:paraId="2CFC2D8C" w14:textId="77777777" w:rsidR="005A25A0" w:rsidRDefault="005A25A0" w:rsidP="0006589F">
            <w:pPr>
              <w:pStyle w:val="TableText-IPR"/>
            </w:pPr>
            <w:r>
              <w:t xml:space="preserve">Authors’ calculations using Song et al., 2011 </w:t>
            </w:r>
            <w:r>
              <w:fldChar w:fldCharType="begin" w:fldLock="1"/>
            </w:r>
            <w:r>
              <w:instrText>ADDIN CSL_CITATION {"citationItems":[{"id":"ITEM-1","itemData":{"DOI":"10.1016/j.bone.2010.12.021","ISSN":"87563282","abstract":"Objectives: This retrospective claim-based study assessed 1-year medical costs associated with second fracture(s) for patients over 50. years old with an initial closed hip, clinical vertebral or non-hip non-vertebral (NHNV) fracture using 2002-2008 MarketScan® Commercial and Medicare Supplemental Databases. Methods: Patients with incident fracture and ≥ 12-month pre-period and follow-up period from the incident fracture were extracted. Index date was the first subsequent fracture date for patients with subsequent fracture during the 12-month (cases); index dates for patients without subsequent fractures during the 12-month follow-up (controls) were randomly assigned based on the distribution of index dates of cases. Total costs were examined during the 12-month follow-up period using generalized linear models. A decomposition analysis of the incremental costs attributable to the second fracture was conducted to examine what proportion of the difference was due to different patient characteristics and what proportion was due to different model structures between cases and controls. Results: For privately insured patients with hip, vertebral, or NHNV fracture, the 1-year second fracture rate was 8.0%, 5.1%, and 4.0%, and 1-year incremental costs were $47,351, $43,238, and $23,852, respectively; for Medicare patients, the corresponding rates and costs were 8.8%, 9.2%, and 8.2%, and $18,645, $19,702, and $19,697. Nationally projected annual cost of second fracture was $834 (95% confidence interval: $763-$914) million for patients with commercial insurance and $1.13 (95% confidence interval: $1.09-$1.17) billion for Medicare patients. Conclusions: The average cost of patients with subsequent fracture(s) was substantial. Effective management of first fractures may help reduce the long-term economic and clinical burden. © 2010 Elsevier Inc.","author":[{"dropping-particle":"","family":"Song","given":"Xue","non-dropping-particle":"","parse-names":false,"suffix":""},{"dropping-particle":"","family":"Shi","given":"Nianwen","non-dropping-particle":"","parse-names":false,"suffix":""},{"dropping-particle":"","family":"Badamgarav","given":"Enkhe","non-dropping-particle":"","parse-names":false,"suffix":""},{"dropping-particle":"","family":"Kallich","given":"Joel","non-dropping-particle":"","parse-names":false,"suffix":""},{"dropping-particle":"","family":"Varker","given":"Helen","non-dropping-particle":"","parse-names":false,"suffix":""},{"dropping-particle":"","family":"Lenhart","given":"Gregory","non-dropping-particle":"","parse-names":false,"suffix":""},{"dropping-particle":"","family":"Curtis","given":"Jeffery R.","non-dropping-particle":"","parse-names":false,"suffix":""}],"container-title":"Bone","id":"ITEM-1","issue":"4","issued":{"date-parts":[["2011"]]},"page":"828-836","publisher":"Elsevier Inc.","title":"Cost burden of second fracture in the US Health System","type":"article-journal","volume":"48"},"uris":["http://www.mendeley.com/documents/?uuid=87c992c7-4966-452b-96c5-0033c26b0f9c"]}],"mendeley":{"formattedCitation":"[19]","plainTextFormattedCitation":"[19]","previouslyFormattedCitation":"[21]"},"properties":{"noteIndex":0},"schema":"https://github.com/citation-style-language/schema/raw/master/csl-citation.json"}</w:instrText>
            </w:r>
            <w:r>
              <w:fldChar w:fldCharType="separate"/>
            </w:r>
            <w:r w:rsidRPr="00BD1B6A">
              <w:rPr>
                <w:noProof/>
              </w:rPr>
              <w:t>[19]</w:t>
            </w:r>
            <w:r>
              <w:fldChar w:fldCharType="end"/>
            </w:r>
          </w:p>
        </w:tc>
      </w:tr>
      <w:tr w:rsidR="005A25A0" w14:paraId="4D6F7DB3" w14:textId="77777777" w:rsidTr="0006589F">
        <w:trPr>
          <w:trHeight w:val="71"/>
        </w:trPr>
        <w:tc>
          <w:tcPr>
            <w:tcW w:w="0" w:type="pct"/>
          </w:tcPr>
          <w:p w14:paraId="0C841053" w14:textId="77777777" w:rsidR="005A25A0" w:rsidRDefault="005A25A0" w:rsidP="0006589F">
            <w:pPr>
              <w:pStyle w:val="TableText-IPR"/>
            </w:pPr>
            <w:r>
              <w:t>MACE event</w:t>
            </w:r>
            <w:r w:rsidDel="00C7368C">
              <w:t xml:space="preserve"> </w:t>
            </w:r>
          </w:p>
        </w:tc>
        <w:tc>
          <w:tcPr>
            <w:tcW w:w="590" w:type="pct"/>
          </w:tcPr>
          <w:p w14:paraId="41730529" w14:textId="77777777" w:rsidR="005A25A0" w:rsidRDefault="005A25A0" w:rsidP="0006589F">
            <w:pPr>
              <w:pStyle w:val="TableText-IPR"/>
              <w:jc w:val="right"/>
            </w:pPr>
            <w:r>
              <w:t>$343</w:t>
            </w:r>
          </w:p>
        </w:tc>
        <w:tc>
          <w:tcPr>
            <w:tcW w:w="2731" w:type="pct"/>
          </w:tcPr>
          <w:p w14:paraId="7499DAE5" w14:textId="77777777" w:rsidR="005A25A0" w:rsidRDefault="005A25A0" w:rsidP="0006589F">
            <w:pPr>
              <w:pStyle w:val="TableText-IPR"/>
            </w:pPr>
            <w:r>
              <w:t xml:space="preserve">Authors’ analysis of MEPS 2010–2015 data </w:t>
            </w:r>
            <w:r>
              <w:fldChar w:fldCharType="begin" w:fldLock="1"/>
            </w:r>
            <w: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[16]","plainTextFormattedCitation":"[16]","previouslyFormattedCitation":"[18]"},"properties":{"noteIndex":0},"schema":"https://github.com/citation-style-language/schema/raw/master/csl-citation.json"}</w:instrText>
            </w:r>
            <w:r>
              <w:fldChar w:fldCharType="separate"/>
            </w:r>
            <w:r w:rsidRPr="00BD1B6A">
              <w:rPr>
                <w:noProof/>
              </w:rPr>
              <w:t>[16]</w:t>
            </w:r>
            <w:r>
              <w:fldChar w:fldCharType="end"/>
            </w:r>
          </w:p>
        </w:tc>
      </w:tr>
      <w:tr w:rsidR="005A25A0" w14:paraId="58E89750" w14:textId="77777777" w:rsidTr="0006589F">
        <w:trPr>
          <w:trHeight w:val="288"/>
        </w:trPr>
        <w:tc>
          <w:tcPr>
            <w:tcW w:w="1679" w:type="pct"/>
          </w:tcPr>
          <w:p w14:paraId="49361544" w14:textId="77777777" w:rsidR="005A25A0" w:rsidRDefault="005A25A0" w:rsidP="0006589F">
            <w:pPr>
              <w:pStyle w:val="TableText-IPR"/>
            </w:pPr>
            <w:r>
              <w:t>Travel</w:t>
            </w:r>
          </w:p>
        </w:tc>
        <w:tc>
          <w:tcPr>
            <w:tcW w:w="590" w:type="pct"/>
          </w:tcPr>
          <w:p w14:paraId="3ADAB85B" w14:textId="77777777" w:rsidR="005A25A0" w:rsidRDefault="005A25A0" w:rsidP="0006589F">
            <w:pPr>
              <w:pStyle w:val="TableText-IPR"/>
              <w:jc w:val="right"/>
            </w:pPr>
            <w:r>
              <w:t>$71</w:t>
            </w:r>
          </w:p>
        </w:tc>
        <w:tc>
          <w:tcPr>
            <w:tcW w:w="2731" w:type="pct"/>
          </w:tcPr>
          <w:p w14:paraId="73DF4F0D" w14:textId="77777777" w:rsidR="005A25A0" w:rsidRDefault="005A25A0" w:rsidP="0006589F">
            <w:pPr>
              <w:pStyle w:val="TableText-IPR"/>
            </w:pPr>
            <w:r>
              <w:t xml:space="preserve">Authors’ calculations using </w:t>
            </w:r>
            <w:r w:rsidRPr="00894708">
              <w:t>Park et al., 2014</w:t>
            </w:r>
            <w:r>
              <w:t xml:space="preserve">, estimate of 68% of Crohn’s anti-TNF users receiving infliximab, </w:t>
            </w:r>
            <w:r w:rsidRPr="008D3343">
              <w:t>assumes $16 travel cost per infliximab infusion visit (Schmier</w:t>
            </w:r>
            <w:r w:rsidRPr="007C42FC">
              <w:t xml:space="preserve"> et al.</w:t>
            </w:r>
            <w:r w:rsidRPr="008D3343">
              <w:t xml:space="preserve">, </w:t>
            </w:r>
            <w:r w:rsidRPr="007C42FC">
              <w:t>2017</w:t>
            </w:r>
            <w:r w:rsidRPr="008D3343">
              <w:t>)</w:t>
            </w:r>
            <w:r>
              <w:t xml:space="preserve"> </w:t>
            </w:r>
            <w:r>
              <w:fldChar w:fldCharType="begin" w:fldLock="1"/>
            </w:r>
            <w:r>
              <w:instrText>ADDIN CSL_CITATION {"citationItems":[{"id":"ITEM-1","itemData":{"DOI":"10.1016/j.clinthera.2017.06.007","ISSN":"1879114X","abstract":"Purpose Many hospital-based infusion centers treat patients with rheumatoid arthritis (RA) with intravenous biologic agents, yet may have a limited understanding of the overall costs of infusion in this setting. The purposes of this study were to conduct a microcosting analysis from a hospital perspective and to develop a model using an activity-based costing approach for estimating costs associated with the provision of hospital-based infusion services (preparation, administration, and follow-up) in the United States for maintenance treatment of moderate to severe RA. Methods A spreadsheet-based model was developed. Inputs included hourly wages, time spent providing care, supply/overhead costs, laboratory testing, infusion center size, and practice pattern information. Base-case values were derived from data from surveys, published studies, standard cost sources, and expert opinion. Costs are presented in year-2017 US dollars. The base case modeled a hospital infusion center serving patients with RA treated with abatacept, tocilizumab, infliximab, or rituximab. Findings Estimated overall costs of infusions per patient per year were $36,663 (rituximab), $36,821 (tocilizumab), $44,973 (infliximab), and $46,532 (abatacept). Of all therapies, the biologic agents represented the greatest share of overall costs, ranging from 87% to $91% of overall costs per year. Excluding infusion drug costs, labor accounted for 53% to 57% of infusion costs. Implications Biologic agents represented the highest single cost associated with RA infusion care; however, personnel, supplies, and overhead costs also contributed substantially to overall costs (8%–16%). This model may provide a helpful and adaptable framework for use by hospitals in informing decision making about services offered and their associated financial implications.","author":[{"dropping-particle":"","family":"Schmier","given":"Jordana","non-dropping-particle":"","parse-names":false,"suffix":""},{"dropping-particle":"","family":"Ogden","given":"Kristine","non-dropping-particle":"","parse-names":false,"suffix":""},{"dropping-particle":"","family":"Nickman","given":"Nancy","non-dropping-particle":"","parse-names":false,"suffix":""},{"dropping-particle":"","family":"Halpern","given":"Michael T.","non-dropping-particle":"","parse-names":false,"suffix":""},{"dropping-particle":"","family":"Cifaldi","given":"Mary","non-dropping-particle":"","parse-names":false,"suffix":""},{"dropping-particle":"","family":"Ganguli","given":"Arijit","non-dropping-particle":"","parse-names":false,"suffix":""},{"dropping-particle":"","family":"Bao","given":"Yanjun","non-dropping-particle":"","parse-names":false,"suffix":""},{"dropping-particle":"","family":"Garg","given":"Vishvas","non-dropping-particle":"","parse-names":false,"suffix":""}],"container-title":"Clinical Therapeutics","id":"ITEM-1","issue":"8","issued":{"date-parts":[["2017"]]},"page":"1600-1617","publisher":"Elsevier HS Journals, Inc.","title":"Costs of Providing Infusion Therapy for Rheumatoid Arthritis in a Hospital-based Infusion Center Setting","type":"article-journal","volume":"39"},"uris":["http://www.mendeley.com/documents/?uuid=f916bae3-f850-4420-86e3-0a898d41bb7f"]}],"mendeley":{"formattedCitation":"[24]","plainTextFormattedCitation":"[24]","previouslyFormattedCitation":"[25]"},"properties":{"noteIndex":0},"schema":"https://github.com/citation-style-language/schema/raw/master/csl-citation.json"}</w:instrText>
            </w:r>
            <w:r>
              <w:fldChar w:fldCharType="separate"/>
            </w:r>
            <w:r w:rsidRPr="00BD1B6A">
              <w:rPr>
                <w:noProof/>
              </w:rPr>
              <w:t>[24]</w:t>
            </w:r>
            <w:r>
              <w:fldChar w:fldCharType="end"/>
            </w:r>
          </w:p>
        </w:tc>
      </w:tr>
      <w:tr w:rsidR="005A25A0" w14:paraId="30A7D2F9" w14:textId="77777777" w:rsidTr="0006589F">
        <w:trPr>
          <w:trHeight w:val="53"/>
        </w:trPr>
        <w:tc>
          <w:tcPr>
            <w:tcW w:w="0" w:type="pct"/>
          </w:tcPr>
          <w:p w14:paraId="6E01BFFC" w14:textId="77777777" w:rsidR="005A25A0" w:rsidRDefault="005A25A0" w:rsidP="0006589F">
            <w:pPr>
              <w:pStyle w:val="TableText-IPR"/>
            </w:pPr>
            <w:r>
              <w:t>IBD</w:t>
            </w:r>
            <w:r>
              <w:rPr>
                <w:rFonts w:asciiTheme="minorHAnsi" w:hAnsiTheme="minorHAnsi"/>
              </w:rPr>
              <w:t>-related</w:t>
            </w:r>
            <w:r>
              <w:t xml:space="preserve"> hospitalization</w:t>
            </w:r>
          </w:p>
        </w:tc>
        <w:tc>
          <w:tcPr>
            <w:tcW w:w="590" w:type="pct"/>
          </w:tcPr>
          <w:p w14:paraId="542F2447" w14:textId="77777777" w:rsidR="005A25A0" w:rsidRPr="007C1803" w:rsidRDefault="005A25A0" w:rsidP="0006589F">
            <w:pPr>
              <w:pStyle w:val="TableText-IPR"/>
              <w:jc w:val="right"/>
            </w:pPr>
            <w:r>
              <w:t>$249</w:t>
            </w:r>
          </w:p>
        </w:tc>
        <w:tc>
          <w:tcPr>
            <w:tcW w:w="2731" w:type="pct"/>
          </w:tcPr>
          <w:p w14:paraId="2F8F89D7" w14:textId="77777777" w:rsidR="005A25A0" w:rsidRDefault="005A25A0" w:rsidP="0006589F">
            <w:pPr>
              <w:pStyle w:val="TableText-IPR"/>
            </w:pPr>
            <w:r>
              <w:t xml:space="preserve">Authors’ analysis of MEPS 2010–2015 data </w:t>
            </w:r>
            <w:r>
              <w:fldChar w:fldCharType="begin" w:fldLock="1"/>
            </w:r>
            <w: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[16]","plainTextFormattedCitation":"[16]","previouslyFormattedCitation":"[18]"},"properties":{"noteIndex":0},"schema":"https://github.com/citation-style-language/schema/raw/master/csl-citation.json"}</w:instrText>
            </w:r>
            <w:r>
              <w:fldChar w:fldCharType="separate"/>
            </w:r>
            <w:r w:rsidRPr="00BD1B6A">
              <w:rPr>
                <w:noProof/>
              </w:rPr>
              <w:t>[16]</w:t>
            </w:r>
            <w:r>
              <w:fldChar w:fldCharType="end"/>
            </w:r>
          </w:p>
        </w:tc>
      </w:tr>
      <w:tr w:rsidR="005A25A0" w14:paraId="08C991B7" w14:textId="77777777" w:rsidTr="0006589F">
        <w:trPr>
          <w:trHeight w:val="53"/>
        </w:trPr>
        <w:tc>
          <w:tcPr>
            <w:tcW w:w="0" w:type="pct"/>
          </w:tcPr>
          <w:p w14:paraId="31557A71" w14:textId="77777777" w:rsidR="005A25A0" w:rsidRDefault="005A25A0" w:rsidP="0006589F">
            <w:pPr>
              <w:pStyle w:val="TableText-IPR"/>
            </w:pPr>
            <w:r>
              <w:t>Office visit</w:t>
            </w:r>
          </w:p>
        </w:tc>
        <w:tc>
          <w:tcPr>
            <w:tcW w:w="590" w:type="pct"/>
          </w:tcPr>
          <w:p w14:paraId="37470EAD" w14:textId="77777777" w:rsidR="005A25A0" w:rsidRDefault="005A25A0" w:rsidP="0006589F">
            <w:pPr>
              <w:pStyle w:val="TableText-IPR"/>
              <w:jc w:val="right"/>
            </w:pPr>
            <w:r>
              <w:t>$46</w:t>
            </w:r>
          </w:p>
        </w:tc>
        <w:tc>
          <w:tcPr>
            <w:tcW w:w="2731" w:type="pct"/>
          </w:tcPr>
          <w:p w14:paraId="3C0AE395" w14:textId="77777777" w:rsidR="005A25A0" w:rsidRDefault="005A25A0" w:rsidP="0006589F">
            <w:pPr>
              <w:pStyle w:val="TableText-IPR"/>
            </w:pPr>
            <w:r>
              <w:t>Authors’ a</w:t>
            </w:r>
            <w:r w:rsidRPr="00D9367B">
              <w:t>nalysis of MEPS 2010-2015 data</w:t>
            </w:r>
            <w:r>
              <w:t xml:space="preserve"> </w:t>
            </w:r>
            <w:r>
              <w:fldChar w:fldCharType="begin" w:fldLock="1"/>
            </w:r>
            <w: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[16]","plainTextFormattedCitation":"[16]","previouslyFormattedCitation":"[18]"},"properties":{"noteIndex":0},"schema":"https://github.com/citation-style-language/schema/raw/master/csl-citation.json"}</w:instrText>
            </w:r>
            <w:r>
              <w:fldChar w:fldCharType="separate"/>
            </w:r>
            <w:r w:rsidRPr="00BD1B6A">
              <w:rPr>
                <w:noProof/>
              </w:rPr>
              <w:t>[16]</w:t>
            </w:r>
            <w:r>
              <w:fldChar w:fldCharType="end"/>
            </w:r>
          </w:p>
        </w:tc>
      </w:tr>
      <w:tr w:rsidR="005A25A0" w14:paraId="5349DDB1" w14:textId="77777777" w:rsidTr="0006589F">
        <w:trPr>
          <w:trHeight w:val="53"/>
        </w:trPr>
        <w:tc>
          <w:tcPr>
            <w:tcW w:w="0" w:type="pct"/>
            <w:gridSpan w:val="3"/>
            <w:shd w:val="clear" w:color="auto" w:fill="F2F2F2" w:themeFill="background1" w:themeFillShade="F2"/>
          </w:tcPr>
          <w:p w14:paraId="37E7D101" w14:textId="77777777" w:rsidR="005A25A0" w:rsidRPr="0051425A" w:rsidRDefault="005A25A0" w:rsidP="0006589F">
            <w:pPr>
              <w:pStyle w:val="TableText-IPR"/>
              <w:jc w:val="center"/>
              <w:rPr>
                <w:b/>
              </w:rPr>
            </w:pPr>
            <w:r w:rsidRPr="0051425A">
              <w:rPr>
                <w:b/>
                <w:i/>
              </w:rPr>
              <w:t>Utilization</w:t>
            </w:r>
          </w:p>
        </w:tc>
      </w:tr>
      <w:tr w:rsidR="005A25A0" w14:paraId="2290BCC5" w14:textId="77777777" w:rsidTr="0006589F">
        <w:trPr>
          <w:trHeight w:val="62"/>
        </w:trPr>
        <w:tc>
          <w:tcPr>
            <w:tcW w:w="0" w:type="pct"/>
          </w:tcPr>
          <w:p w14:paraId="53CAB055" w14:textId="77777777" w:rsidR="005A25A0" w:rsidRDefault="005A25A0" w:rsidP="0006589F">
            <w:pPr>
              <w:pStyle w:val="TableText-IPR"/>
            </w:pPr>
            <w:r>
              <w:lastRenderedPageBreak/>
              <w:t>Number of annual visits, CS users</w:t>
            </w:r>
          </w:p>
        </w:tc>
        <w:tc>
          <w:tcPr>
            <w:tcW w:w="590" w:type="pct"/>
          </w:tcPr>
          <w:p w14:paraId="21DB8F56" w14:textId="77777777" w:rsidR="005A25A0" w:rsidRDefault="005A25A0" w:rsidP="0006589F">
            <w:pPr>
              <w:pStyle w:val="TableText-IPR"/>
              <w:jc w:val="right"/>
            </w:pPr>
            <w:r>
              <w:t>4</w:t>
            </w:r>
          </w:p>
        </w:tc>
        <w:tc>
          <w:tcPr>
            <w:tcW w:w="2731" w:type="pct"/>
          </w:tcPr>
          <w:p w14:paraId="7F16A3A4" w14:textId="77777777" w:rsidR="005A25A0" w:rsidRPr="00D9367B" w:rsidRDefault="005A25A0" w:rsidP="0006589F">
            <w:pPr>
              <w:pStyle w:val="TableText-IPR"/>
            </w:pPr>
            <w:r>
              <w:t xml:space="preserve">Subject matter expert opinion </w:t>
            </w:r>
            <w:r>
              <w:fldChar w:fldCharType="begin" w:fldLock="1"/>
            </w:r>
            <w:r>
              <w:instrText>ADDIN CSL_CITATION {"citationItems":[{"id":"ITEM-1","itemData":{"author":[{"dropping-particle":"","family":"Long","given":"M","non-dropping-particle":"","parse-names":false,"suffix":""}],"id":"ITEM-1","issued":{"date-parts":[["2019"]]},"title":"Personal communication. March 6","type":"article"},"uris":["http://www.mendeley.com/documents/?uuid=8dae9793-3136-4ca7-8604-171165d4814d"]}],"mendeley":{"formattedCitation":"[6]","plainTextFormattedCitation":"[6]","previouslyFormattedCitation":"[6]"},"properties":{"noteIndex":0},"schema":"https://github.com/citation-style-language/schema/raw/master/csl-citation.json"}</w:instrText>
            </w:r>
            <w:r>
              <w:fldChar w:fldCharType="separate"/>
            </w:r>
            <w:r w:rsidRPr="009A6FB3">
              <w:rPr>
                <w:noProof/>
              </w:rPr>
              <w:t>[6]</w:t>
            </w:r>
            <w:r>
              <w:fldChar w:fldCharType="end"/>
            </w:r>
          </w:p>
        </w:tc>
      </w:tr>
      <w:tr w:rsidR="005A25A0" w14:paraId="3FA301FA" w14:textId="77777777" w:rsidTr="0006589F">
        <w:trPr>
          <w:trHeight w:val="251"/>
        </w:trPr>
        <w:tc>
          <w:tcPr>
            <w:tcW w:w="0" w:type="pct"/>
          </w:tcPr>
          <w:p w14:paraId="25A6A484" w14:textId="77777777" w:rsidR="005A25A0" w:rsidRDefault="005A25A0" w:rsidP="0006589F">
            <w:pPr>
              <w:pStyle w:val="TableText-IPR"/>
            </w:pPr>
            <w:r>
              <w:t>Number of annual visits, anti-TNF users</w:t>
            </w:r>
          </w:p>
        </w:tc>
        <w:tc>
          <w:tcPr>
            <w:tcW w:w="590" w:type="pct"/>
          </w:tcPr>
          <w:p w14:paraId="0502125B" w14:textId="77777777" w:rsidR="005A25A0" w:rsidRDefault="005A25A0" w:rsidP="0006589F">
            <w:pPr>
              <w:pStyle w:val="TableText-IPR"/>
              <w:jc w:val="right"/>
            </w:pPr>
            <w:r>
              <w:t>2</w:t>
            </w:r>
          </w:p>
        </w:tc>
        <w:tc>
          <w:tcPr>
            <w:tcW w:w="2731" w:type="pct"/>
          </w:tcPr>
          <w:p w14:paraId="3B86DB97" w14:textId="77777777" w:rsidR="005A25A0" w:rsidRPr="00D9367B" w:rsidRDefault="005A25A0" w:rsidP="0006589F">
            <w:pPr>
              <w:pStyle w:val="TableText-IPR"/>
            </w:pPr>
            <w:r>
              <w:t>Subject matter expert</w:t>
            </w:r>
            <w:r w:rsidDel="00C7368C">
              <w:t xml:space="preserve"> </w:t>
            </w:r>
            <w:r>
              <w:t xml:space="preserve">opinion </w:t>
            </w:r>
            <w:r>
              <w:fldChar w:fldCharType="begin" w:fldLock="1"/>
            </w:r>
            <w:r>
              <w:instrText>ADDIN CSL_CITATION {"citationItems":[{"id":"ITEM-1","itemData":{"author":[{"dropping-particle":"","family":"Long","given":"M","non-dropping-particle":"","parse-names":false,"suffix":""}],"id":"ITEM-1","issued":{"date-parts":[["2019"]]},"title":"Personal communication. March 6","type":"article"},"uris":["http://www.mendeley.com/documents/?uuid=8dae9793-3136-4ca7-8604-171165d4814d"]}],"mendeley":{"formattedCitation":"[6]","plainTextFormattedCitation":"[6]","previouslyFormattedCitation":"[6]"},"properties":{"noteIndex":0},"schema":"https://github.com/citation-style-language/schema/raw/master/csl-citation.json"}</w:instrText>
            </w:r>
            <w:r>
              <w:fldChar w:fldCharType="separate"/>
            </w:r>
            <w:r w:rsidRPr="009A6FB3">
              <w:rPr>
                <w:noProof/>
              </w:rPr>
              <w:t>[6]</w:t>
            </w:r>
            <w:r>
              <w:fldChar w:fldCharType="end"/>
            </w:r>
          </w:p>
        </w:tc>
      </w:tr>
      <w:tr w:rsidR="005A25A0" w14:paraId="0278F8E6" w14:textId="77777777" w:rsidTr="0006589F">
        <w:trPr>
          <w:trHeight w:val="53"/>
        </w:trPr>
        <w:tc>
          <w:tcPr>
            <w:tcW w:w="0" w:type="pct"/>
            <w:gridSpan w:val="3"/>
            <w:shd w:val="clear" w:color="auto" w:fill="D9D9D9" w:themeFill="background1" w:themeFillShade="D9"/>
          </w:tcPr>
          <w:p w14:paraId="6B8FB0A7" w14:textId="77777777" w:rsidR="005A25A0" w:rsidRDefault="005A25A0" w:rsidP="0006589F">
            <w:pPr>
              <w:pStyle w:val="TableText-IPR"/>
              <w:jc w:val="center"/>
            </w:pPr>
            <w:r>
              <w:rPr>
                <w:b/>
              </w:rPr>
              <w:t>Probabilities and Fractions</w:t>
            </w:r>
          </w:p>
        </w:tc>
      </w:tr>
      <w:tr w:rsidR="005A25A0" w14:paraId="40CE434B" w14:textId="77777777" w:rsidTr="0006589F">
        <w:trPr>
          <w:trHeight w:val="53"/>
        </w:trPr>
        <w:tc>
          <w:tcPr>
            <w:tcW w:w="0" w:type="pct"/>
          </w:tcPr>
          <w:p w14:paraId="75F13757" w14:textId="77777777" w:rsidR="005A25A0" w:rsidRDefault="005A25A0" w:rsidP="0006589F">
            <w:pPr>
              <w:pStyle w:val="TableText-IPR"/>
            </w:pPr>
            <w:r>
              <w:t>Stopping treatment, CS</w:t>
            </w:r>
          </w:p>
        </w:tc>
        <w:tc>
          <w:tcPr>
            <w:tcW w:w="590" w:type="pct"/>
          </w:tcPr>
          <w:p w14:paraId="41E4EFC1" w14:textId="77777777" w:rsidR="005A25A0" w:rsidRDefault="005A25A0" w:rsidP="0006589F">
            <w:pPr>
              <w:pStyle w:val="TableText-IPR"/>
              <w:jc w:val="right"/>
            </w:pPr>
            <w:r>
              <w:t>0.48</w:t>
            </w:r>
          </w:p>
        </w:tc>
        <w:tc>
          <w:tcPr>
            <w:tcW w:w="2731" w:type="pct"/>
          </w:tcPr>
          <w:p w14:paraId="06CEA64B" w14:textId="77777777" w:rsidR="005A25A0" w:rsidRDefault="005A25A0" w:rsidP="0006589F">
            <w:pPr>
              <w:pStyle w:val="TableText-IPR"/>
            </w:pPr>
            <w:r>
              <w:t>Assumed for modeling purposes</w:t>
            </w:r>
          </w:p>
        </w:tc>
      </w:tr>
      <w:tr w:rsidR="005A25A0" w14:paraId="23E5443E" w14:textId="77777777" w:rsidTr="0006589F">
        <w:trPr>
          <w:trHeight w:val="53"/>
        </w:trPr>
        <w:tc>
          <w:tcPr>
            <w:tcW w:w="0" w:type="pct"/>
          </w:tcPr>
          <w:p w14:paraId="43F868FD" w14:textId="77777777" w:rsidR="005A25A0" w:rsidRDefault="005A25A0" w:rsidP="0006589F">
            <w:pPr>
              <w:pStyle w:val="TableText-IPR"/>
            </w:pPr>
            <w:r>
              <w:t>Stopping treatment, anti-TNF</w:t>
            </w:r>
          </w:p>
        </w:tc>
        <w:tc>
          <w:tcPr>
            <w:tcW w:w="590" w:type="pct"/>
          </w:tcPr>
          <w:p w14:paraId="2BE09C76" w14:textId="77777777" w:rsidR="005A25A0" w:rsidRDefault="005A25A0" w:rsidP="0006589F">
            <w:pPr>
              <w:pStyle w:val="TableText-IPR"/>
              <w:jc w:val="right"/>
            </w:pPr>
            <w:r>
              <w:t>0.48</w:t>
            </w:r>
          </w:p>
        </w:tc>
        <w:tc>
          <w:tcPr>
            <w:tcW w:w="2731" w:type="pct"/>
          </w:tcPr>
          <w:p w14:paraId="62DF1995" w14:textId="77777777" w:rsidR="005A25A0" w:rsidRDefault="005A25A0" w:rsidP="0006589F">
            <w:pPr>
              <w:pStyle w:val="TableText-IPR"/>
            </w:pPr>
            <w:r>
              <w:t xml:space="preserve">Subject matter expert opinion </w:t>
            </w:r>
            <w:r>
              <w:fldChar w:fldCharType="begin" w:fldLock="1"/>
            </w:r>
            <w:r>
              <w:instrText>ADDIN CSL_CITATION {"citationItems":[{"id":"ITEM-1","itemData":{"author":[{"dropping-particle":"","family":"Long","given":"M","non-dropping-particle":"","parse-names":false,"suffix":""}],"id":"ITEM-1","issued":{"date-parts":[["2019"]]},"title":"Personal communication. March 6","type":"article"},"uris":["http://www.mendeley.com/documents/?uuid=8dae9793-3136-4ca7-8604-171165d4814d"]}],"mendeley":{"formattedCitation":"[6]","plainTextFormattedCitation":"[6]","previouslyFormattedCitation":"[6]"},"properties":{"noteIndex":0},"schema":"https://github.com/citation-style-language/schema/raw/master/csl-citation.json"}</w:instrText>
            </w:r>
            <w:r>
              <w:fldChar w:fldCharType="separate"/>
            </w:r>
            <w:r w:rsidRPr="009A6FB3">
              <w:rPr>
                <w:noProof/>
              </w:rPr>
              <w:t>[6]</w:t>
            </w:r>
            <w:r>
              <w:fldChar w:fldCharType="end"/>
            </w:r>
          </w:p>
        </w:tc>
      </w:tr>
      <w:tr w:rsidR="005A25A0" w14:paraId="38201071" w14:textId="77777777" w:rsidTr="0006589F">
        <w:trPr>
          <w:trHeight w:val="53"/>
        </w:trPr>
        <w:tc>
          <w:tcPr>
            <w:tcW w:w="0" w:type="pct"/>
          </w:tcPr>
          <w:p w14:paraId="2D77D392" w14:textId="77777777" w:rsidR="005A25A0" w:rsidRDefault="005A25A0" w:rsidP="0006589F">
            <w:pPr>
              <w:pStyle w:val="TableText-IPR"/>
            </w:pPr>
            <w:r>
              <w:t>Death, CS</w:t>
            </w:r>
          </w:p>
        </w:tc>
        <w:tc>
          <w:tcPr>
            <w:tcW w:w="590" w:type="pct"/>
          </w:tcPr>
          <w:p w14:paraId="68FC41BB" w14:textId="77777777" w:rsidR="005A25A0" w:rsidRDefault="005A25A0" w:rsidP="0006589F">
            <w:pPr>
              <w:pStyle w:val="TableText-IPR"/>
              <w:jc w:val="right"/>
            </w:pPr>
            <w:r>
              <w:t>0.0301</w:t>
            </w:r>
          </w:p>
        </w:tc>
        <w:tc>
          <w:tcPr>
            <w:tcW w:w="2731" w:type="pct"/>
          </w:tcPr>
          <w:p w14:paraId="30729DE4" w14:textId="77777777" w:rsidR="005A25A0" w:rsidRDefault="005A25A0" w:rsidP="0006589F">
            <w:pPr>
              <w:pStyle w:val="TableText-IPR"/>
            </w:pPr>
            <w:r w:rsidRPr="00E82E88">
              <w:t>Lewis et al., 2018</w:t>
            </w:r>
            <w:r>
              <w:t xml:space="preserve"> </w:t>
            </w:r>
            <w:r>
              <w:fldChar w:fldCharType="begin" w:fldLock="1"/>
            </w:r>
            <w:r>
              <w:instrText>ADDIN CSL_CITATION {"citationItems":[{"id":"ITEM-1","itemData":{"DOI":"10.1038/ajg.2017.479","ISSN":"15720241","abstract":"OBJECTIVES Crohn's disease (CD) and ulcerative colitis (UC) are inflammatory bowel diseases (IBD) that compromise quality of life and may increase mortality. This study compared the mortality risk with prolonged corticosteroid use vs. antitumor necrosis factor-α (anti-TNF) drugs in IBD. METHODS A retrospective cohort study was conducted among Medicaid and Medicare beneficiaries from 2001 to 2013 with IBD prescribed either &gt;3,000 mg of prednisone or equivalent within a 12-month period or new initiation of anti-TNF therapy, each treated as time-updating exposures. The primary outcome was all-cause mortality. Secondary outcomes included common causes of death. Marginal structural models were used to determine odds ratios (ORs) and 95% confidence intervals (CIs) for anti-TNF use relative to corticosteroids. RESULTS Among patients with CD, 7,694 entered the cohort as prolonged corticosteroid users and 1,879 as new anti-TNF users. Among patients with UC, 3,224 and 459 entered the cohort as prolonged CS users and new anti-TNF users, respectively. The risk of death was statistically significantly lower in patients treated with anti-TNF therapy for CD (21.4 vs. 30.1 per 1,000 person-years, OR 0.78, 0.65-0.93) but not for UC (23.0 vs. 30.9 per 1,000 person-years, OR 0.87, 0.63-1.22). Among the CD cohort, anti-TNF therapy was also associated with lower rates of major adverse cardiovascular events (OR 0.68, 0.55-0.85) and hip fracture (OR 0.54, 0.34-0.83). CONCLUSIONS Compared with prolonged corticosteroid exposure, anti-TNF drug use was associated with reduced mortality in patients with CD that may be explained by lower rates of major adverse cardiovascular events and hip fracture.Am J Gastroenterol advance online publication, 16 January 2018; doi:10.1038/ajg.2017.479.","author":[{"dropping-particle":"","family":"Lewis","given":"James D.","non-dropping-particle":"","parse-names":false,"suffix":""},{"dropping-particle":"","family":"Scott","given":"Frank I.","non-dropping-particle":"","parse-names":false,"suffix":""},{"dropping-particle":"","family":"Brensinger","given":"Colleen M.","non-dropping-particle":"","parse-names":false,"suffix":""},{"dropping-particle":"","family":"Roy","given":"Jason A.","non-dropping-particle":"","parse-names":false,"suffix":""},{"dropping-particle":"","family":"Osterman","given":"Mark T.","non-dropping-particle":"","parse-names":false,"suffix":""},{"dropping-particle":"","family":"Mamtani","given":"Ronac","non-dropping-particle":"","parse-names":false,"suffix":""},{"dropping-particle":"","family":"Bewtra","given":"Meenakshi","non-dropping-particle":"","parse-names":false,"suffix":""},{"dropping-particle":"","family":"Chen","given":"Lang","non-dropping-particle":"","parse-names":false,"suffix":""},{"dropping-particle":"","family":"Yun","given":"Huifeng","non-dropping-particle":"","parse-names":false,"suffix":""},{"dropping-particle":"","family":"Xie","given":"Fenglong","non-dropping-particle":"","parse-names":false,"suffix":""},{"dropping-particle":"","family":"Curtis","given":"Jeffrey R.","non-dropping-particle":"","parse-names":false,"suffix":""}],"container-title":"American Journal of Gastroenterology","id":"ITEM-1","issue":"3","issued":{"date-parts":[["2018"]]},"page":"405-417","publisher":"Nature Publishing Group","title":"Increased mortality rates with prolonged corticosteroid therapy when compared with antitumor necrosis factor-α-directed therapy for inflammatory bowel disease","type":"article-journal","volume":"113"},"uris":["http://www.mendeley.com/documents/?uuid=8e4f2146-26bc-451b-8c1e-a15942c14037"]}],"mendeley":{"formattedCitation":"[2]","plainTextFormattedCitation":"[2]","previouslyFormattedCitation":"[2]"},"properties":{"noteIndex":0},"schema":"https://github.com/citation-style-language/schema/raw/master/csl-citation.json"}</w:instrText>
            </w:r>
            <w:r>
              <w:fldChar w:fldCharType="separate"/>
            </w:r>
            <w:r w:rsidRPr="00F5744D">
              <w:rPr>
                <w:noProof/>
              </w:rPr>
              <w:t>[2]</w:t>
            </w:r>
            <w:r>
              <w:fldChar w:fldCharType="end"/>
            </w:r>
          </w:p>
        </w:tc>
      </w:tr>
      <w:tr w:rsidR="005A25A0" w14:paraId="601E64F4" w14:textId="77777777" w:rsidTr="0006589F">
        <w:trPr>
          <w:trHeight w:val="53"/>
        </w:trPr>
        <w:tc>
          <w:tcPr>
            <w:tcW w:w="0" w:type="pct"/>
          </w:tcPr>
          <w:p w14:paraId="41238602" w14:textId="77777777" w:rsidR="005A25A0" w:rsidRDefault="005A25A0" w:rsidP="0006589F">
            <w:pPr>
              <w:pStyle w:val="TableText-IPR"/>
            </w:pPr>
            <w:r>
              <w:t>Death, anti-TNF</w:t>
            </w:r>
          </w:p>
        </w:tc>
        <w:tc>
          <w:tcPr>
            <w:tcW w:w="590" w:type="pct"/>
          </w:tcPr>
          <w:p w14:paraId="0AD8D518" w14:textId="77777777" w:rsidR="005A25A0" w:rsidRDefault="005A25A0" w:rsidP="0006589F">
            <w:pPr>
              <w:pStyle w:val="TableText-IPR"/>
              <w:jc w:val="right"/>
            </w:pPr>
            <w:r>
              <w:t>0.0214</w:t>
            </w:r>
          </w:p>
        </w:tc>
        <w:tc>
          <w:tcPr>
            <w:tcW w:w="2731" w:type="pct"/>
          </w:tcPr>
          <w:p w14:paraId="3B73AF71" w14:textId="77777777" w:rsidR="005A25A0" w:rsidRDefault="005A25A0" w:rsidP="0006589F">
            <w:pPr>
              <w:pStyle w:val="TableText-IPR"/>
            </w:pPr>
            <w:r w:rsidRPr="00E82E88">
              <w:t>Lewis et al., 2018</w:t>
            </w:r>
            <w:r>
              <w:t xml:space="preserve"> </w:t>
            </w:r>
            <w:r>
              <w:fldChar w:fldCharType="begin" w:fldLock="1"/>
            </w:r>
            <w:r>
              <w:instrText>ADDIN CSL_CITATION {"citationItems":[{"id":"ITEM-1","itemData":{"DOI":"10.1038/ajg.2017.479","ISSN":"15720241","abstract":"OBJECTIVES Crohn's disease (CD) and ulcerative colitis (UC) are inflammatory bowel diseases (IBD) that compromise quality of life and may increase mortality. This study compared the mortality risk with prolonged corticosteroid use vs. antitumor necrosis factor-α (anti-TNF) drugs in IBD. METHODS A retrospective cohort study was conducted among Medicaid and Medicare beneficiaries from 2001 to 2013 with IBD prescribed either &gt;3,000 mg of prednisone or equivalent within a 12-month period or new initiation of anti-TNF therapy, each treated as time-updating exposures. The primary outcome was all-cause mortality. Secondary outcomes included common causes of death. Marginal structural models were used to determine odds ratios (ORs) and 95% confidence intervals (CIs) for anti-TNF use relative to corticosteroids. RESULTS Among patients with CD, 7,694 entered the cohort as prolonged corticosteroid users and 1,879 as new anti-TNF users. Among patients with UC, 3,224 and 459 entered the cohort as prolonged CS users and new anti-TNF users, respectively. The risk of death was statistically significantly lower in patients treated with anti-TNF therapy for CD (21.4 vs. 30.1 per 1,000 person-years, OR 0.78, 0.65-0.93) but not for UC (23.0 vs. 30.9 per 1,000 person-years, OR 0.87, 0.63-1.22). Among the CD cohort, anti-TNF therapy was also associated with lower rates of major adverse cardiovascular events (OR 0.68, 0.55-0.85) and hip fracture (OR 0.54, 0.34-0.83). CONCLUSIONS Compared with prolonged corticosteroid exposure, anti-TNF drug use was associated with reduced mortality in patients with CD that may be explained by lower rates of major adverse cardiovascular events and hip fracture.Am J Gastroenterol advance online publication, 16 January 2018; doi:10.1038/ajg.2017.479.","author":[{"dropping-particle":"","family":"Lewis","given":"James D.","non-dropping-particle":"","parse-names":false,"suffix":""},{"dropping-particle":"","family":"Scott","given":"Frank I.","non-dropping-particle":"","parse-names":false,"suffix":""},{"dropping-particle":"","family":"Brensinger","given":"Colleen M.","non-dropping-particle":"","parse-names":false,"suffix":""},{"dropping-particle":"","family":"Roy","given":"Jason A.","non-dropping-particle":"","parse-names":false,"suffix":""},{"dropping-particle":"","family":"Osterman","given":"Mark T.","non-dropping-particle":"","parse-names":false,"suffix":""},{"dropping-particle":"","family":"Mamtani","given":"Ronac","non-dropping-particle":"","parse-names":false,"suffix":""},{"dropping-particle":"","family":"Bewtra","given":"Meenakshi","non-dropping-particle":"","parse-names":false,"suffix":""},{"dropping-particle":"","family":"Chen","given":"Lang","non-dropping-particle":"","parse-names":false,"suffix":""},{"dropping-particle":"","family":"Yun","given":"Huifeng","non-dropping-particle":"","parse-names":false,"suffix":""},{"dropping-particle":"","family":"Xie","given":"Fenglong","non-dropping-particle":"","parse-names":false,"suffix":""},{"dropping-particle":"","family":"Curtis","given":"Jeffrey R.","non-dropping-particle":"","parse-names":false,"suffix":""}],"container-title":"American Journal of Gastroenterology","id":"ITEM-1","issue":"3","issued":{"date-parts":[["2018"]]},"page":"405-417","publisher":"Nature Publishing Group","title":"Increased mortality rates with prolonged corticosteroid therapy when compared with antitumor necrosis factor-α-directed therapy for inflammatory bowel disease","type":"article-journal","volume":"113"},"uris":["http://www.mendeley.com/documents/?uuid=8e4f2146-26bc-451b-8c1e-a15942c14037"]}],"mendeley":{"formattedCitation":"[2]","plainTextFormattedCitation":"[2]","previouslyFormattedCitation":"[2]"},"properties":{"noteIndex":0},"schema":"https://github.com/citation-style-language/schema/raw/master/csl-citation.json"}</w:instrText>
            </w:r>
            <w:r>
              <w:fldChar w:fldCharType="separate"/>
            </w:r>
            <w:r w:rsidRPr="00F5744D">
              <w:rPr>
                <w:noProof/>
              </w:rPr>
              <w:t>[2]</w:t>
            </w:r>
            <w:r>
              <w:fldChar w:fldCharType="end"/>
            </w:r>
          </w:p>
        </w:tc>
      </w:tr>
      <w:tr w:rsidR="005A25A0" w14:paraId="409BDB7D" w14:textId="77777777" w:rsidTr="0006589F">
        <w:trPr>
          <w:trHeight w:val="53"/>
        </w:trPr>
        <w:tc>
          <w:tcPr>
            <w:tcW w:w="0" w:type="pct"/>
          </w:tcPr>
          <w:p w14:paraId="0913DBDB" w14:textId="77777777" w:rsidR="005A25A0" w:rsidRDefault="005A25A0" w:rsidP="0006589F">
            <w:pPr>
              <w:pStyle w:val="TableText-IPR"/>
            </w:pPr>
            <w:r>
              <w:t>Death, hip fracture</w:t>
            </w:r>
          </w:p>
        </w:tc>
        <w:tc>
          <w:tcPr>
            <w:tcW w:w="590" w:type="pct"/>
          </w:tcPr>
          <w:p w14:paraId="59E613A9" w14:textId="77777777" w:rsidR="005A25A0" w:rsidRDefault="005A25A0" w:rsidP="0006589F">
            <w:pPr>
              <w:pStyle w:val="TableText-IPR"/>
              <w:jc w:val="right"/>
            </w:pPr>
            <w:r w:rsidRPr="00CA5E0B">
              <w:t>0.0</w:t>
            </w:r>
            <w:r>
              <w:t>75</w:t>
            </w:r>
          </w:p>
        </w:tc>
        <w:tc>
          <w:tcPr>
            <w:tcW w:w="2731" w:type="pct"/>
          </w:tcPr>
          <w:p w14:paraId="6A8D0F96" w14:textId="77777777" w:rsidR="005A25A0" w:rsidRPr="00E82E88" w:rsidRDefault="005A25A0" w:rsidP="0006589F">
            <w:pPr>
              <w:pStyle w:val="TableText-IPR"/>
            </w:pPr>
            <w:proofErr w:type="spellStart"/>
            <w:r w:rsidRPr="00BD13AA">
              <w:t>Alzahrani</w:t>
            </w:r>
            <w:proofErr w:type="spellEnd"/>
            <w:r w:rsidRPr="00BD13AA">
              <w:t>, Gandhi, Davis, &amp; Mahomed</w:t>
            </w:r>
            <w:r>
              <w:t xml:space="preserve">, 2010 </w:t>
            </w:r>
            <w:r>
              <w:fldChar w:fldCharType="begin" w:fldLock="1"/>
            </w:r>
            <w:r>
              <w:instrText>ADDIN CSL_CITATION {"citationItems":[{"id":"ITEM-1","itemData":{"DOI":"10.1177/1179556518784300","ISBN":"1179556518","ISSN":"1179-5565","abstract":"Objectives Broad-spectrum antibiotics are frequently prescribed for children with upper respiratory tract infections (URI). Excessive use of broad-spectrum antibiotics leads to the emergence of resistant bacteria. This study aimed to identify factors associated with prescribing broad-spectrum antibiotics among children younger than 18 years presenting with URI in outpatient settings. Methods We conducted a cross-sectional analysis of the National Ambulatory Medical Care Survey (NAMCS) and the National Hospital Ambulatory Medical Care Survey-Outpatient Departments (NHAMCS-OPD) between 2006 and 2010. Descriptive statistics of visits from children with URI were estimated. Simple and multiple logistic regression analyses were used to identify socio-demographic and clinical characteristics associated with broad-spectrum antibiotic prescribing. We also completed a stratified analysis by age (</w:instrText>
            </w:r>
            <w:r>
              <w:rPr>
                <w:rFonts w:ascii="Cambria Math" w:hAnsi="Cambria Math" w:cs="Cambria Math"/>
              </w:rPr>
              <w:instrText>⩽</w:instrText>
            </w:r>
            <w:r>
              <w:instrText>2 vs &gt;2). Results A total of 4013 outpatient visits for children with URI from both NAMCS and NHAMCS-0PD data were examined. Broad-spectrum antibiotics were prescribed in 39% of the visits, accounting for an estimated 6.8 million visits annually. Multivariable analysis showed that visits in the South region (odds ratio [OR] = 2.38; 95% confidence interval [CI]: 1.38-4.10) compared with the West region and visits with diagnoses of acute sinusitis (OR = 2.77; 95% CI: 1.65-4.63) and acute otitis media (OR = 1.90; 95% CI: 1.32-2.74) compared with those with acute pharyngitis were associated with greater odds of broad-spectrum antibiotic prescribing. Conclusions The prescribing of broad-spectrum antibiotics is common for children with URI in ambulatory care settings. Diagnosis and management of URI remain a critical area for awareness campaigns promoting judicious use of antibiotics.","author":[{"dropping-particle":"","family":"Alzahrani","given":"Mohammad S","non-dropping-particle":"","parse-names":false,"suffix":""},{"dropping-particle":"","family":"Maneno","given":"Mary K","non-dropping-particle":"","parse-names":false,"suffix":""},{"dropping-particle":"","family":"Daftary","given":"Monika N","non-dropping-particle":"","parse-names":false,"suffix":""},{"dropping-particle":"","family":"Wingate","given":"La’Marcus","non-dropping-particle":"","parse-names":false,"suffix":""},{"dropping-particle":"","family":"Ettienne","given":"Earl B","non-dropping-particle":"","parse-names":false,"suffix":""}],"container-title":"Clinical Medicine Insights: Pediatrics","id":"ITEM-1","issued":{"date-parts":[["2018"]]},"page":"1-8","title":"Factors Associated with Prescribing Broad-Spectrum Antibiotics for Children with Upper Respiratory Tract Infections in Ambulatory Care Settings","type":"article-journal","volume":"12"},"uris":["http://www.mendeley.com/documents/?uuid=dad061b4-5c57-493e-bc16-9d843feaa6fd"]}],"mendeley":{"formattedCitation":"[7]","plainTextFormattedCitation":"[7]","previouslyFormattedCitation":"[7]"},"properties":{"noteIndex":0},"schema":"https://github.com/citation-style-language/schema/raw/master/csl-citation.json"}</w:instrText>
            </w:r>
            <w:r>
              <w:fldChar w:fldCharType="separate"/>
            </w:r>
            <w:r w:rsidRPr="00F5744D">
              <w:rPr>
                <w:noProof/>
              </w:rPr>
              <w:t>[7]</w:t>
            </w:r>
            <w:r>
              <w:fldChar w:fldCharType="end"/>
            </w:r>
          </w:p>
        </w:tc>
      </w:tr>
      <w:tr w:rsidR="005A25A0" w14:paraId="10D78C5B" w14:textId="77777777" w:rsidTr="0006589F">
        <w:trPr>
          <w:trHeight w:val="53"/>
        </w:trPr>
        <w:tc>
          <w:tcPr>
            <w:tcW w:w="0" w:type="pct"/>
          </w:tcPr>
          <w:p w14:paraId="364016C3" w14:textId="77777777" w:rsidR="005A25A0" w:rsidRDefault="005A25A0" w:rsidP="0006589F">
            <w:pPr>
              <w:pStyle w:val="TableText-IPR"/>
            </w:pPr>
            <w:r>
              <w:t>Death, MACE</w:t>
            </w:r>
          </w:p>
        </w:tc>
        <w:tc>
          <w:tcPr>
            <w:tcW w:w="590" w:type="pct"/>
          </w:tcPr>
          <w:p w14:paraId="53B61433" w14:textId="77777777" w:rsidR="005A25A0" w:rsidRDefault="005A25A0" w:rsidP="0006589F">
            <w:pPr>
              <w:pStyle w:val="TableText-IPR"/>
              <w:jc w:val="right"/>
            </w:pPr>
            <w:r w:rsidRPr="00CA5E0B">
              <w:t>0.09</w:t>
            </w:r>
            <w:r>
              <w:t>0</w:t>
            </w:r>
          </w:p>
        </w:tc>
        <w:tc>
          <w:tcPr>
            <w:tcW w:w="2731" w:type="pct"/>
          </w:tcPr>
          <w:p w14:paraId="0B31CECF" w14:textId="77777777" w:rsidR="005A25A0" w:rsidRPr="00E82E88" w:rsidRDefault="005A25A0" w:rsidP="0006589F">
            <w:pPr>
              <w:pStyle w:val="TableText-IPR"/>
            </w:pPr>
            <w:r w:rsidRPr="00CA5E0B">
              <w:t>Benjamin et al., 2017</w:t>
            </w:r>
            <w:r>
              <w:t xml:space="preserve"> </w:t>
            </w:r>
            <w:r>
              <w:fldChar w:fldCharType="begin" w:fldLock="1"/>
            </w:r>
            <w:r>
              <w:instrText>ADDIN CSL_CITATION {"citationItems":[{"id":"ITEM-1","itemData":{"DOI":"10.1161/CIR.0000000000000485","ISBN":"0000000000000","ISSN":"15244539","PMID":"28122885","abstract":"Each year, the American Heart Association (AHA), in conjunction with the Centers for Disease Control and Prevention, the National Institutes of Health, and other government agencies, brings together in a single document the most upto-date statistics related to heart disease, stroke, and the factors in the AHA's Life's Simple 7 (Figure1), which include core health behaviors (smoking, physical activity [PA], diet, and weight) and health factors (cholesterol, blood pressure [BP], and glucose control) that contribute to cardiovascular health. The Statistical Update represents a critical resource for the lay public, policy makers, media professionals, clinicians, healthcare administrators, researchers, health advocates, and others seeking the best available data on these factors and conditions. Cardiovascular disease (CVD) and stroke produce immense health and economic burdens in the United States and globally. The Update also presents the latest data on a range of major clinical heart and circulatory disease conditions (including stroke, congenital heart disease, rhythm disorders, subclinical atherosclerosis, coronary heart disease, heart failure (HF), valvular disease, venous disease, and peripheral arterial disease) and the associated outcomes (including quality of care, procedures, and economic costs). Since 2006, the annual versions of the Statistical Update have been cited &gt;20000 times in the literature. In 2015 alone, the various Statistical Updates were cited '4000 times.","author":[{"dropping-particle":"","family":"Benjamin","given":"Emelia J.","non-dropping-particle":"","parse-names":false,"suffix":""},{"dropping-particle":"","family":"Blaha","given":"Michael J.","non-dropping-particle":"","parse-names":false,"suffix":""},{"dropping-particle":"","family":"Chiuve","given":"Stephanie E.","non-dropping-particle":"","parse-names":false,"suffix":""},{"dropping-particle":"","family":"Cushman","given":"Mary","non-dropping-particle":"","parse-names":false,"suffix":""},{"dropping-particle":"","family":"Das","given":"Sandeep R.","non-dropping-particle":"","parse-names":false,"suffix":""},{"dropping-particle":"","family":"Deo","given":"Rajat","non-dropping-particle":"","parse-names":false,"suffix":""},{"dropping-particle":"","family":"Ferranti","given":"Sarah D.","non-dropping-particle":"De","parse-names":false,"suffix":""},{"dropping-particle":"","family":"Floyd","given":"James","non-dropping-particle":"","parse-names":false,"suffix":""},{"dropping-particle":"","family":"Fornage","given":"Myriam","non-dropping-particle":"","parse-names":false,"suffix":""},{"dropping-particle":"","family":"Gillespie","given":"Cathleen","non-dropping-particle":"","parse-names":false,"suffix":""},{"dropping-particle":"","family":"Isasi","given":"Carmen R.","non-dropping-particle":"","parse-names":false,"suffix":""},{"dropping-particle":"","family":"Jim'nez","given":"Monik C.","non-dropping-particle":"","parse-names":false,"suffix":""},{"dropping-particle":"","family":"Jordan","given":"Lori Chaffn","non-dropping-particle":"","parse-names":false,"suffix":""},{"dropping-particle":"","family":"Judd","given":"Suzanne E.","non-dropping-particle":"","parse-names":false,"suffix":""},{"dropping-particle":"","family":"Lackland","given":"Daniel","non-dropping-particle":"","parse-names":false,"suffix":""},{"dropping-particle":"","family":"Lichtman","given":"Judith H.","non-dropping-particle":"","parse-names":false,"suffix":""},{"dropping-particle":"","family":"Lisabeth","given":"Lynda","non-dropping-particle":"","parse-names":false,"suffix":""},{"dropping-particle":"","family":"Liu","given":"Simin","non-dropping-particle":"","parse-names":false,"suffix":""},{"dropping-particle":"","family":"Longenecker","given":"Chris T.","non-dropping-particle":"","parse-names":false,"suffix":""},{"dropping-particle":"","family":"MacKey","given":"Rachel H.","non-dropping-particle":"","parse-names":false,"suffix":""},{"dropping-particle":"","family":"Matsushita","given":"Kunihiro","non-dropping-particle":"","parse-names":false,"suffix":""},{"dropping-particle":"","family":"Mozaffarian","given":"Dariush","non-dropping-particle":"","parse-names":false,"suffix":""},{"dropping-particle":"","family":"Mussolino","given":"Michael E.","non-dropping-particle":"","parse-names":false,"suffix":""},{"dropping-particle":"","family":"Nasir","given":"Khurram","non-dropping-particle":"","parse-names":false,"suffix":""},{"dropping-particle":"","family":"Neumar","given":"Robert W.","non-dropping-particle":"","parse-names":false,"suffix":""},{"dropping-particle":"","family":"Palaniappan","given":"Latha","non-dropping-particle":"","parse-names":false,"suffix":""},{"dropping-particle":"","family":"Pandey","given":"Dilip K.","non-dropping-particle":"","parse-names":false,"suffix":""},{"dropping-particle":"","family":"Thiagarajan","given":"Ravi R.","non-dropping-particle":"","parse-names":false,"suffix":""},{"dropping-particle":"","family":"Reeves","given":"Mathew J.","non-dropping-particle":"","parse-names":false,"suffix":""},{"dropping-particle":"","family":"Ritchey","given":"Matthew","non-dropping-particle":"","parse-names":false,"suffix":""},{"dropping-particle":"","family":"Rodriguez","given":"Carlos J.","non-dropping-particle":"","parse-names":false,"suffix":""},{"dropping-particle":"","family":"Roth","given":"Gregory A.","non-dropping-particle":"","parse-names":false,"suffix":""},{"dropping-particle":"","family":"Rosamond","given":"Wayne D.","non-dropping-particle":"","parse-names":false,"suffix":""},{"dropping-particle":"","family":"Sasson","given":"Comilla","non-dropping-particle":"","parse-names":false,"suffix":""},{"dropping-particle":"","family":"Towfghi","given":"Amytis","non-dropping-particle":"","parse-names":false,"suffix":""},{"dropping-particle":"","family":"Tsao","given":"Connie W.","non-dropping-particle":"","parse-names":false,"suffix":""},{"dropping-particle":"","family":"Turner","given":"Melanie B.","non-dropping-particle":"","parse-names":false,"suffix":""},{"dropping-particle":"","family":"Virani","given":"Salim S.","non-dropping-particle":"","parse-names":false,"suffix":""},{"dropping-particle":"","family":"Voeks","given":"Jenifer H.","non-dropping-particle":"","parse-names":false,"suffix":""},{"dropping-particle":"","family":"Willey","given":"Joshua Z.","non-dropping-particle":"","parse-names":false,"suffix":""},{"dropping-particle":"","family":"Wilkins","given":"John T.","non-dropping-particle":"","parse-names":false,"suffix":""},{"dropping-particle":"","family":"Wu","given":"Jason H.Y.","non-dropping-particle":"","parse-names":false,"suffix":""},{"dropping-particle":"","family":"Alger","given":"Heather M.","non-dropping-particle":"","parse-names":false,"suffix":""},{"dropping-particle":"","family":"Wong","given":"Sally S.","non-dropping-particle":"","parse-names":false,"suffix":""},{"dropping-particle":"","family":"Muntner","given":"Paul","non-dropping-particle":"","parse-names":false,"suffix":""}],"container-title":"Circulation","id":"ITEM-1","issue":"10","issued":{"date-parts":[["2017"]]},"number-of-pages":"e146-e603","title":"Heart Disease and Stroke Statistics - 2017 Update","type":"book","volume":"135"},"uris":["http://www.mendeley.com/documents/?uuid=01cb1fb9-caa2-4432-a4e5-8dd29a84b2a6"]}],"mendeley":{"formattedCitation":"[8]","plainTextFormattedCitation":"[8]","previouslyFormattedCitation":"[8]"},"properties":{"noteIndex":0},"schema":"https://github.com/citation-style-language/schema/raw/master/csl-citation.json"}</w:instrText>
            </w:r>
            <w:r>
              <w:fldChar w:fldCharType="separate"/>
            </w:r>
            <w:r w:rsidRPr="00F5744D">
              <w:rPr>
                <w:noProof/>
              </w:rPr>
              <w:t>[8]</w:t>
            </w:r>
            <w:r>
              <w:fldChar w:fldCharType="end"/>
            </w:r>
          </w:p>
        </w:tc>
      </w:tr>
      <w:tr w:rsidR="005A25A0" w14:paraId="315D5080" w14:textId="77777777" w:rsidTr="0006589F">
        <w:trPr>
          <w:trHeight w:val="53"/>
        </w:trPr>
        <w:tc>
          <w:tcPr>
            <w:tcW w:w="0" w:type="pct"/>
          </w:tcPr>
          <w:p w14:paraId="38303888" w14:textId="77777777" w:rsidR="005A25A0" w:rsidRDefault="005A25A0" w:rsidP="0006589F">
            <w:pPr>
              <w:pStyle w:val="TableText-IPR"/>
            </w:pPr>
            <w:r>
              <w:t>Death, IBD-related hospitalization</w:t>
            </w:r>
          </w:p>
        </w:tc>
        <w:tc>
          <w:tcPr>
            <w:tcW w:w="590" w:type="pct"/>
          </w:tcPr>
          <w:p w14:paraId="2CF57919" w14:textId="77777777" w:rsidR="005A25A0" w:rsidRDefault="005A25A0" w:rsidP="0006589F">
            <w:pPr>
              <w:pStyle w:val="TableText-IPR"/>
              <w:jc w:val="right"/>
            </w:pPr>
            <w:r w:rsidRPr="00CA5E0B">
              <w:t>0.0</w:t>
            </w:r>
            <w:r>
              <w:t>09</w:t>
            </w:r>
          </w:p>
        </w:tc>
        <w:tc>
          <w:tcPr>
            <w:tcW w:w="2731" w:type="pct"/>
          </w:tcPr>
          <w:p w14:paraId="603376B1" w14:textId="77777777" w:rsidR="005A25A0" w:rsidRPr="00E82E88" w:rsidRDefault="005A25A0" w:rsidP="0006589F">
            <w:pPr>
              <w:pStyle w:val="TableText-IPR"/>
            </w:pPr>
            <w:r w:rsidRPr="00BD13AA">
              <w:t>Sewell</w:t>
            </w:r>
            <w:r>
              <w:t xml:space="preserve"> </w:t>
            </w:r>
            <w:r w:rsidRPr="00BD13AA">
              <w:t>&amp; Yee, 2012</w:t>
            </w:r>
            <w:r>
              <w:t xml:space="preserve"> </w:t>
            </w:r>
            <w:r>
              <w:fldChar w:fldCharType="begin" w:fldLock="1"/>
            </w:r>
            <w:r>
              <w:instrText>ADDIN CSL_CITATION {"citationItems":[{"id":"ITEM-1","itemData":{"DOI":"10.1186/1471-230X-12-79","ISSN":"1471230X","abstract":"Background: Studies document increasing rates of hospitalization among patients with inflammatory bowel disease, but temporal trends for in-hospital mortality among patients with inflammatory bowel disease are not characterized. We sought to determine whether in-hospital mortality changed over a 13-year period among nationwide hospitalizations associated with inflammatory bowel disease. We additionally sought to identify factors correlated with mortality.Methods: We used the National Hospital Discharge Survey, a large nationally representative database, for the years 1994 through 2006. Age- and mortality-adjusted rates of in-hospital mortality and standardized mortality ratios were calculated for four time periods. Logistic regression analysis was used to assess associations between advancing time and mortality in adjusted analyses.Results: 150 (0.9%) of 17,393 hospitalizations for patients with inflammatory bowel disease ended in death. Age-adjusted in-hospital mortality decreased from 3.6 deaths per 1,000 hospital days in 1994-96 to 2.4 per 1,000 in 2003-06; standardized mortality ratio decreased from 0.33 to 0.27. Similar trends were seen for patients with ulcerative colitis, but mortality did not change over time among patients with Crohn's disease. Multivariable logistic regression analysis confirmed the significance of these changes in mortality, with 17% decreased odds of in-hospital death per three-year period (P = 0.012). Subject age (OR 1.06 per year, P &lt; 0.001), Charlson comorbidity index (OR 1.29 per 1-point increase, P &lt; 0.001), and diagnosis of ulcerative colitis (versus Crohn's disease, OR 1.41, P = .042) were also associated with in-hospital mortality.Conclusions: The odds of in-hospital mortality among hospitalized patients with inflammatory bowel disease decreased by 17% per 3-year period from 1994 to 2006 in analysis adjusted for age and comorbidity status, in this large, nationally representative database. Multiple factors likely contribute to these trends. © 2012 2012 Sewell and Yee et al.; licensee BioMed Central Ltd.","author":[{"dropping-particle":"","family":"Sewell","given":"Justin L.","non-dropping-particle":"","parse-names":false,"suffix":""},{"dropping-particle":"","family":"Yee","given":"Hal F.","non-dropping-particle":"","parse-names":false,"suffix":""}],"container-title":"BMC Gastroenterology","id":"ITEM-1","issued":{"date-parts":[["2012"]]},"title":"13-Year Mortality Trends Among Hospitalized Patients With Inflammatory Bowel Disease","type":"article-journal","volume":"12"},"uris":["http://www.mendeley.com/documents/?uuid=c5fb1586-bef0-4077-9f0a-150da19280da"]}],"mendeley":{"formattedCitation":"[9]","plainTextFormattedCitation":"[9]","previouslyFormattedCitation":"[9]"},"properties":{"noteIndex":0},"schema":"https://github.com/citation-style-language/schema/raw/master/csl-citation.json"}</w:instrText>
            </w:r>
            <w:r>
              <w:fldChar w:fldCharType="separate"/>
            </w:r>
            <w:r w:rsidRPr="00F5744D">
              <w:rPr>
                <w:noProof/>
              </w:rPr>
              <w:t>[9]</w:t>
            </w:r>
            <w:r>
              <w:fldChar w:fldCharType="end"/>
            </w:r>
          </w:p>
        </w:tc>
      </w:tr>
      <w:tr w:rsidR="005A25A0" w14:paraId="7FE2A37D" w14:textId="77777777" w:rsidTr="0006589F">
        <w:trPr>
          <w:trHeight w:val="53"/>
        </w:trPr>
        <w:tc>
          <w:tcPr>
            <w:tcW w:w="0" w:type="pct"/>
          </w:tcPr>
          <w:p w14:paraId="63E5FD10" w14:textId="77777777" w:rsidR="005A25A0" w:rsidRDefault="005A25A0" w:rsidP="0006589F">
            <w:pPr>
              <w:pStyle w:val="TableText-IPR"/>
            </w:pPr>
            <w:r>
              <w:t>Hip fracture, CS</w:t>
            </w:r>
          </w:p>
        </w:tc>
        <w:tc>
          <w:tcPr>
            <w:tcW w:w="590" w:type="pct"/>
          </w:tcPr>
          <w:p w14:paraId="092A425B" w14:textId="77777777" w:rsidR="005A25A0" w:rsidRDefault="005A25A0" w:rsidP="0006589F">
            <w:pPr>
              <w:pStyle w:val="TableText-IPR"/>
              <w:jc w:val="right"/>
            </w:pPr>
            <w:r>
              <w:t>0.0065</w:t>
            </w:r>
          </w:p>
        </w:tc>
        <w:tc>
          <w:tcPr>
            <w:tcW w:w="2731" w:type="pct"/>
          </w:tcPr>
          <w:p w14:paraId="354053FB" w14:textId="77777777" w:rsidR="005A25A0" w:rsidRDefault="005A25A0" w:rsidP="0006589F">
            <w:pPr>
              <w:pStyle w:val="TableText-IPR"/>
            </w:pPr>
            <w:r w:rsidRPr="00E82E88">
              <w:t>Lewis et al., 2018</w:t>
            </w:r>
            <w:r>
              <w:t xml:space="preserve"> </w:t>
            </w:r>
            <w:r>
              <w:fldChar w:fldCharType="begin" w:fldLock="1"/>
            </w:r>
            <w:r>
              <w:instrText>ADDIN CSL_CITATION {"citationItems":[{"id":"ITEM-1","itemData":{"DOI":"10.1038/ajg.2017.479","ISSN":"15720241","abstract":"OBJECTIVES Crohn's disease (CD) and ulcerative colitis (UC) are inflammatory bowel diseases (IBD) that compromise quality of life and may increase mortality. This study compared the mortality risk with prolonged corticosteroid use vs. antitumor necrosis factor-α (anti-TNF) drugs in IBD. METHODS A retrospective cohort study was conducted among Medicaid and Medicare beneficiaries from 2001 to 2013 with IBD prescribed either &gt;3,000 mg of prednisone or equivalent within a 12-month period or new initiation of anti-TNF therapy, each treated as time-updating exposures. The primary outcome was all-cause mortality. Secondary outcomes included common causes of death. Marginal structural models were used to determine odds ratios (ORs) and 95% confidence intervals (CIs) for anti-TNF use relative to corticosteroids. RESULTS Among patients with CD, 7,694 entered the cohort as prolonged corticosteroid users and 1,879 as new anti-TNF users. Among patients with UC, 3,224 and 459 entered the cohort as prolonged CS users and new anti-TNF users, respectively. The risk of death was statistically significantly lower in patients treated with anti-TNF therapy for CD (21.4 vs. 30.1 per 1,000 person-years, OR 0.78, 0.65-0.93) but not for UC (23.0 vs. 30.9 per 1,000 person-years, OR 0.87, 0.63-1.22). Among the CD cohort, anti-TNF therapy was also associated with lower rates of major adverse cardiovascular events (OR 0.68, 0.55-0.85) and hip fracture (OR 0.54, 0.34-0.83). CONCLUSIONS Compared with prolonged corticosteroid exposure, anti-TNF drug use was associated with reduced mortality in patients with CD that may be explained by lower rates of major adverse cardiovascular events and hip fracture.Am J Gastroenterol advance online publication, 16 January 2018; doi:10.1038/ajg.2017.479.","author":[{"dropping-particle":"","family":"Lewis","given":"James D.","non-dropping-particle":"","parse-names":false,"suffix":""},{"dropping-particle":"","family":"Scott","given":"Frank I.","non-dropping-particle":"","parse-names":false,"suffix":""},{"dropping-particle":"","family":"Brensinger","given":"Colleen M.","non-dropping-particle":"","parse-names":false,"suffix":""},{"dropping-particle":"","family":"Roy","given":"Jason A.","non-dropping-particle":"","parse-names":false,"suffix":""},{"dropping-particle":"","family":"Osterman","given":"Mark T.","non-dropping-particle":"","parse-names":false,"suffix":""},{"dropping-particle":"","family":"Mamtani","given":"Ronac","non-dropping-particle":"","parse-names":false,"suffix":""},{"dropping-particle":"","family":"Bewtra","given":"Meenakshi","non-dropping-particle":"","parse-names":false,"suffix":""},{"dropping-particle":"","family":"Chen","given":"Lang","non-dropping-particle":"","parse-names":false,"suffix":""},{"dropping-particle":"","family":"Yun","given":"Huifeng","non-dropping-particle":"","parse-names":false,"suffix":""},{"dropping-particle":"","family":"Xie","given":"Fenglong","non-dropping-particle":"","parse-names":false,"suffix":""},{"dropping-particle":"","family":"Curtis","given":"Jeffrey R.","non-dropping-particle":"","parse-names":false,"suffix":""}],"container-title":"American Journal of Gastroenterology","id":"ITEM-1","issue":"3","issued":{"date-parts":[["2018"]]},"page":"405-417","publisher":"Nature Publishing Group","title":"Increased mortality rates with prolonged corticosteroid therapy when compared with antitumor necrosis factor-α-directed therapy for inflammatory bowel disease","type":"article-journal","volume":"113"},"uris":["http://www.mendeley.com/documents/?uuid=8e4f2146-26bc-451b-8c1e-a15942c14037"]}],"mendeley":{"formattedCitation":"[2]","plainTextFormattedCitation":"[2]","previouslyFormattedCitation":"[2]"},"properties":{"noteIndex":0},"schema":"https://github.com/citation-style-language/schema/raw/master/csl-citation.json"}</w:instrText>
            </w:r>
            <w:r>
              <w:fldChar w:fldCharType="separate"/>
            </w:r>
            <w:r w:rsidRPr="00F5744D">
              <w:rPr>
                <w:noProof/>
              </w:rPr>
              <w:t>[2]</w:t>
            </w:r>
            <w:r>
              <w:fldChar w:fldCharType="end"/>
            </w:r>
          </w:p>
        </w:tc>
      </w:tr>
      <w:tr w:rsidR="005A25A0" w14:paraId="5BCF8F6C" w14:textId="77777777" w:rsidTr="0006589F">
        <w:trPr>
          <w:trHeight w:val="53"/>
        </w:trPr>
        <w:tc>
          <w:tcPr>
            <w:tcW w:w="0" w:type="pct"/>
          </w:tcPr>
          <w:p w14:paraId="34A6F469" w14:textId="77777777" w:rsidR="005A25A0" w:rsidRDefault="005A25A0" w:rsidP="0006589F">
            <w:pPr>
              <w:pStyle w:val="TableText-IPR"/>
            </w:pPr>
            <w:r>
              <w:t>Hip fracture, anti-TNF</w:t>
            </w:r>
          </w:p>
        </w:tc>
        <w:tc>
          <w:tcPr>
            <w:tcW w:w="590" w:type="pct"/>
          </w:tcPr>
          <w:p w14:paraId="03FB3FAF" w14:textId="77777777" w:rsidR="005A25A0" w:rsidRDefault="005A25A0" w:rsidP="0006589F">
            <w:pPr>
              <w:pStyle w:val="TableText-IPR"/>
              <w:jc w:val="right"/>
            </w:pPr>
            <w:r>
              <w:t>0.0032</w:t>
            </w:r>
          </w:p>
        </w:tc>
        <w:tc>
          <w:tcPr>
            <w:tcW w:w="2731" w:type="pct"/>
          </w:tcPr>
          <w:p w14:paraId="58C6C064" w14:textId="77777777" w:rsidR="005A25A0" w:rsidRDefault="005A25A0" w:rsidP="0006589F">
            <w:pPr>
              <w:pStyle w:val="TableText-IPR"/>
            </w:pPr>
            <w:r w:rsidRPr="00E82E88">
              <w:t>Lewis et al., 2018</w:t>
            </w:r>
            <w:r>
              <w:t xml:space="preserve"> </w:t>
            </w:r>
            <w:r>
              <w:fldChar w:fldCharType="begin" w:fldLock="1"/>
            </w:r>
            <w:r>
              <w:instrText>ADDIN CSL_CITATION {"citationItems":[{"id":"ITEM-1","itemData":{"DOI":"10.1038/ajg.2017.479","ISSN":"15720241","abstract":"OBJECTIVES Crohn's disease (CD) and ulcerative colitis (UC) are inflammatory bowel diseases (IBD) that compromise quality of life and may increase mortality. This study compared the mortality risk with prolonged corticosteroid use vs. antitumor necrosis factor-α (anti-TNF) drugs in IBD. METHODS A retrospective cohort study was conducted among Medicaid and Medicare beneficiaries from 2001 to 2013 with IBD prescribed either &gt;3,000 mg of prednisone or equivalent within a 12-month period or new initiation of anti-TNF therapy, each treated as time-updating exposures. The primary outcome was all-cause mortality. Secondary outcomes included common causes of death. Marginal structural models were used to determine odds ratios (ORs) and 95% confidence intervals (CIs) for anti-TNF use relative to corticosteroids. RESULTS Among patients with CD, 7,694 entered the cohort as prolonged corticosteroid users and 1,879 as new anti-TNF users. Among patients with UC, 3,224 and 459 entered the cohort as prolonged CS users and new anti-TNF users, respectively. The risk of death was statistically significantly lower in patients treated with anti-TNF therapy for CD (21.4 vs. 30.1 per 1,000 person-years, OR 0.78, 0.65-0.93) but not for UC (23.0 vs. 30.9 per 1,000 person-years, OR 0.87, 0.63-1.22). Among the CD cohort, anti-TNF therapy was also associated with lower rates of major adverse cardiovascular events (OR 0.68, 0.55-0.85) and hip fracture (OR 0.54, 0.34-0.83). CONCLUSIONS Compared with prolonged corticosteroid exposure, anti-TNF drug use was associated with reduced mortality in patients with CD that may be explained by lower rates of major adverse cardiovascular events and hip fracture.Am J Gastroenterol advance online publication, 16 January 2018; doi:10.1038/ajg.2017.479.","author":[{"dropping-particle":"","family":"Lewis","given":"James D.","non-dropping-particle":"","parse-names":false,"suffix":""},{"dropping-particle":"","family":"Scott","given":"Frank I.","non-dropping-particle":"","parse-names":false,"suffix":""},{"dropping-particle":"","family":"Brensinger","given":"Colleen M.","non-dropping-particle":"","parse-names":false,"suffix":""},{"dropping-particle":"","family":"Roy","given":"Jason A.","non-dropping-particle":"","parse-names":false,"suffix":""},{"dropping-particle":"","family":"Osterman","given":"Mark T.","non-dropping-particle":"","parse-names":false,"suffix":""},{"dropping-particle":"","family":"Mamtani","given":"Ronac","non-dropping-particle":"","parse-names":false,"suffix":""},{"dropping-particle":"","family":"Bewtra","given":"Meenakshi","non-dropping-particle":"","parse-names":false,"suffix":""},{"dropping-particle":"","family":"Chen","given":"Lang","non-dropping-particle":"","parse-names":false,"suffix":""},{"dropping-particle":"","family":"Yun","given":"Huifeng","non-dropping-particle":"","parse-names":false,"suffix":""},{"dropping-particle":"","family":"Xie","given":"Fenglong","non-dropping-particle":"","parse-names":false,"suffix":""},{"dropping-particle":"","family":"Curtis","given":"Jeffrey R.","non-dropping-particle":"","parse-names":false,"suffix":""}],"container-title":"American Journal of Gastroenterology","id":"ITEM-1","issue":"3","issued":{"date-parts":[["2018"]]},"page":"405-417","publisher":"Nature Publishing Group","title":"Increased mortality rates with prolonged corticosteroid therapy when compared with antitumor necrosis factor-α-directed therapy for inflammatory bowel disease","type":"article-journal","volume":"113"},"uris":["http://www.mendeley.com/documents/?uuid=8e4f2146-26bc-451b-8c1e-a15942c14037"]}],"mendeley":{"formattedCitation":"[2]","plainTextFormattedCitation":"[2]","previouslyFormattedCitation":"[2]"},"properties":{"noteIndex":0},"schema":"https://github.com/citation-style-language/schema/raw/master/csl-citation.json"}</w:instrText>
            </w:r>
            <w:r>
              <w:fldChar w:fldCharType="separate"/>
            </w:r>
            <w:r w:rsidRPr="00F5744D">
              <w:rPr>
                <w:noProof/>
              </w:rPr>
              <w:t>[2]</w:t>
            </w:r>
            <w:r>
              <w:fldChar w:fldCharType="end"/>
            </w:r>
          </w:p>
        </w:tc>
      </w:tr>
      <w:tr w:rsidR="005A25A0" w14:paraId="288D7D98" w14:textId="77777777" w:rsidTr="0006589F">
        <w:trPr>
          <w:trHeight w:val="53"/>
        </w:trPr>
        <w:tc>
          <w:tcPr>
            <w:tcW w:w="0" w:type="pct"/>
          </w:tcPr>
          <w:p w14:paraId="44BE0CEF" w14:textId="77777777" w:rsidR="005A25A0" w:rsidRDefault="005A25A0" w:rsidP="0006589F">
            <w:pPr>
              <w:pStyle w:val="TableText-IPR"/>
            </w:pPr>
            <w:r>
              <w:t>MACE, CS</w:t>
            </w:r>
          </w:p>
        </w:tc>
        <w:tc>
          <w:tcPr>
            <w:tcW w:w="590" w:type="pct"/>
          </w:tcPr>
          <w:p w14:paraId="4A02F97A" w14:textId="77777777" w:rsidR="005A25A0" w:rsidRDefault="005A25A0" w:rsidP="0006589F">
            <w:pPr>
              <w:pStyle w:val="TableText-IPR"/>
              <w:jc w:val="right"/>
            </w:pPr>
            <w:r>
              <w:t>0.0225</w:t>
            </w:r>
          </w:p>
        </w:tc>
        <w:tc>
          <w:tcPr>
            <w:tcW w:w="2731" w:type="pct"/>
          </w:tcPr>
          <w:p w14:paraId="6F299030" w14:textId="77777777" w:rsidR="005A25A0" w:rsidRDefault="005A25A0" w:rsidP="0006589F">
            <w:pPr>
              <w:pStyle w:val="TableText-IPR"/>
            </w:pPr>
            <w:r w:rsidRPr="00E82E88">
              <w:t>Lewis et al., 2018</w:t>
            </w:r>
            <w:r>
              <w:t xml:space="preserve"> </w:t>
            </w:r>
            <w:r>
              <w:fldChar w:fldCharType="begin" w:fldLock="1"/>
            </w:r>
            <w:r>
              <w:instrText>ADDIN CSL_CITATION {"citationItems":[{"id":"ITEM-1","itemData":{"DOI":"10.1038/ajg.2017.479","ISSN":"15720241","abstract":"OBJECTIVES Crohn's disease (CD) and ulcerative colitis (UC) are inflammatory bowel diseases (IBD) that compromise quality of life and may increase mortality. This study compared the mortality risk with prolonged corticosteroid use vs. antitumor necrosis factor-α (anti-TNF) drugs in IBD. METHODS A retrospective cohort study was conducted among Medicaid and Medicare beneficiaries from 2001 to 2013 with IBD prescribed either &gt;3,000 mg of prednisone or equivalent within a 12-month period or new initiation of anti-TNF therapy, each treated as time-updating exposures. The primary outcome was all-cause mortality. Secondary outcomes included common causes of death. Marginal structural models were used to determine odds ratios (ORs) and 95% confidence intervals (CIs) for anti-TNF use relative to corticosteroids. RESULTS Among patients with CD, 7,694 entered the cohort as prolonged corticosteroid users and 1,879 as new anti-TNF users. Among patients with UC, 3,224 and 459 entered the cohort as prolonged CS users and new anti-TNF users, respectively. The risk of death was statistically significantly lower in patients treated with anti-TNF therapy for CD (21.4 vs. 30.1 per 1,000 person-years, OR 0.78, 0.65-0.93) but not for UC (23.0 vs. 30.9 per 1,000 person-years, OR 0.87, 0.63-1.22). Among the CD cohort, anti-TNF therapy was also associated with lower rates of major adverse cardiovascular events (OR 0.68, 0.55-0.85) and hip fracture (OR 0.54, 0.34-0.83). CONCLUSIONS Compared with prolonged corticosteroid exposure, anti-TNF drug use was associated with reduced mortality in patients with CD that may be explained by lower rates of major adverse cardiovascular events and hip fracture.Am J Gastroenterol advance online publication, 16 January 2018; doi:10.1038/ajg.2017.479.","author":[{"dropping-particle":"","family":"Lewis","given":"James D.","non-dropping-particle":"","parse-names":false,"suffix":""},{"dropping-particle":"","family":"Scott","given":"Frank I.","non-dropping-particle":"","parse-names":false,"suffix":""},{"dropping-particle":"","family":"Brensinger","given":"Colleen M.","non-dropping-particle":"","parse-names":false,"suffix":""},{"dropping-particle":"","family":"Roy","given":"Jason A.","non-dropping-particle":"","parse-names":false,"suffix":""},{"dropping-particle":"","family":"Osterman","given":"Mark T.","non-dropping-particle":"","parse-names":false,"suffix":""},{"dropping-particle":"","family":"Mamtani","given":"Ronac","non-dropping-particle":"","parse-names":false,"suffix":""},{"dropping-particle":"","family":"Bewtra","given":"Meenakshi","non-dropping-particle":"","parse-names":false,"suffix":""},{"dropping-particle":"","family":"Chen","given":"Lang","non-dropping-particle":"","parse-names":false,"suffix":""},{"dropping-particle":"","family":"Yun","given":"Huifeng","non-dropping-particle":"","parse-names":false,"suffix":""},{"dropping-particle":"","family":"Xie","given":"Fenglong","non-dropping-particle":"","parse-names":false,"suffix":""},{"dropping-particle":"","family":"Curtis","given":"Jeffrey R.","non-dropping-particle":"","parse-names":false,"suffix":""}],"container-title":"American Journal of Gastroenterology","id":"ITEM-1","issue":"3","issued":{"date-parts":[["2018"]]},"page":"405-417","publisher":"Nature Publishing Group","title":"Increased mortality rates with prolonged corticosteroid therapy when compared with antitumor necrosis factor-α-directed therapy for inflammatory bowel disease","type":"article-journal","volume":"113"},"uris":["http://www.mendeley.com/documents/?uuid=8e4f2146-26bc-451b-8c1e-a15942c14037"]}],"mendeley":{"formattedCitation":"[2]","plainTextFormattedCitation":"[2]","previouslyFormattedCitation":"[2]"},"properties":{"noteIndex":0},"schema":"https://github.com/citation-style-language/schema/raw/master/csl-citation.json"}</w:instrText>
            </w:r>
            <w:r>
              <w:fldChar w:fldCharType="separate"/>
            </w:r>
            <w:r w:rsidRPr="00F5744D">
              <w:rPr>
                <w:noProof/>
              </w:rPr>
              <w:t>[2]</w:t>
            </w:r>
            <w:r>
              <w:fldChar w:fldCharType="end"/>
            </w:r>
          </w:p>
        </w:tc>
      </w:tr>
      <w:tr w:rsidR="005A25A0" w14:paraId="2EE303DE" w14:textId="77777777" w:rsidTr="0006589F">
        <w:trPr>
          <w:trHeight w:val="116"/>
        </w:trPr>
        <w:tc>
          <w:tcPr>
            <w:tcW w:w="0" w:type="pct"/>
          </w:tcPr>
          <w:p w14:paraId="5718094F" w14:textId="77777777" w:rsidR="005A25A0" w:rsidRDefault="005A25A0" w:rsidP="0006589F">
            <w:pPr>
              <w:pStyle w:val="TableText-IPR"/>
            </w:pPr>
            <w:r>
              <w:t>MACE, anti-TNF</w:t>
            </w:r>
          </w:p>
        </w:tc>
        <w:tc>
          <w:tcPr>
            <w:tcW w:w="590" w:type="pct"/>
          </w:tcPr>
          <w:p w14:paraId="5029F46A" w14:textId="77777777" w:rsidR="005A25A0" w:rsidRDefault="005A25A0" w:rsidP="0006589F">
            <w:pPr>
              <w:pStyle w:val="TableText-IPR"/>
              <w:jc w:val="right"/>
            </w:pPr>
            <w:r>
              <w:t>0.0134</w:t>
            </w:r>
          </w:p>
        </w:tc>
        <w:tc>
          <w:tcPr>
            <w:tcW w:w="2731" w:type="pct"/>
          </w:tcPr>
          <w:p w14:paraId="749262BE" w14:textId="77777777" w:rsidR="005A25A0" w:rsidRDefault="005A25A0" w:rsidP="0006589F">
            <w:pPr>
              <w:pStyle w:val="TableText-IPR"/>
            </w:pPr>
            <w:r w:rsidRPr="00E82E88">
              <w:t>Lewis et al., 2018</w:t>
            </w:r>
            <w:r>
              <w:t xml:space="preserve"> </w:t>
            </w:r>
            <w:r>
              <w:fldChar w:fldCharType="begin" w:fldLock="1"/>
            </w:r>
            <w:r>
              <w:instrText>ADDIN CSL_CITATION {"citationItems":[{"id":"ITEM-1","itemData":{"DOI":"10.1038/ajg.2017.479","ISSN":"15720241","abstract":"OBJECTIVES Crohn's disease (CD) and ulcerative colitis (UC) are inflammatory bowel diseases (IBD) that compromise quality of life and may increase mortality. This study compared the mortality risk with prolonged corticosteroid use vs. antitumor necrosis factor-α (anti-TNF) drugs in IBD. METHODS A retrospective cohort study was conducted among Medicaid and Medicare beneficiaries from 2001 to 2013 with IBD prescribed either &gt;3,000 mg of prednisone or equivalent within a 12-month period or new initiation of anti-TNF therapy, each treated as time-updating exposures. The primary outcome was all-cause mortality. Secondary outcomes included common causes of death. Marginal structural models were used to determine odds ratios (ORs) and 95% confidence intervals (CIs) for anti-TNF use relative to corticosteroids. RESULTS Among patients with CD, 7,694 entered the cohort as prolonged corticosteroid users and 1,879 as new anti-TNF users. Among patients with UC, 3,224 and 459 entered the cohort as prolonged CS users and new anti-TNF users, respectively. The risk of death was statistically significantly lower in patients treated with anti-TNF therapy for CD (21.4 vs. 30.1 per 1,000 person-years, OR 0.78, 0.65-0.93) but not for UC (23.0 vs. 30.9 per 1,000 person-years, OR 0.87, 0.63-1.22). Among the CD cohort, anti-TNF therapy was also associated with lower rates of major adverse cardiovascular events (OR 0.68, 0.55-0.85) and hip fracture (OR 0.54, 0.34-0.83). CONCLUSIONS Compared with prolonged corticosteroid exposure, anti-TNF drug use was associated with reduced mortality in patients with CD that may be explained by lower rates of major adverse cardiovascular events and hip fracture.Am J Gastroenterol advance online publication, 16 January 2018; doi:10.1038/ajg.2017.479.","author":[{"dropping-particle":"","family":"Lewis","given":"James D.","non-dropping-particle":"","parse-names":false,"suffix":""},{"dropping-particle":"","family":"Scott","given":"Frank I.","non-dropping-particle":"","parse-names":false,"suffix":""},{"dropping-particle":"","family":"Brensinger","given":"Colleen M.","non-dropping-particle":"","parse-names":false,"suffix":""},{"dropping-particle":"","family":"Roy","given":"Jason A.","non-dropping-particle":"","parse-names":false,"suffix":""},{"dropping-particle":"","family":"Osterman","given":"Mark T.","non-dropping-particle":"","parse-names":false,"suffix":""},{"dropping-particle":"","family":"Mamtani","given":"Ronac","non-dropping-particle":"","parse-names":false,"suffix":""},{"dropping-particle":"","family":"Bewtra","given":"Meenakshi","non-dropping-particle":"","parse-names":false,"suffix":""},{"dropping-particle":"","family":"Chen","given":"Lang","non-dropping-particle":"","parse-names":false,"suffix":""},{"dropping-particle":"","family":"Yun","given":"Huifeng","non-dropping-particle":"","parse-names":false,"suffix":""},{"dropping-particle":"","family":"Xie","given":"Fenglong","non-dropping-particle":"","parse-names":false,"suffix":""},{"dropping-particle":"","family":"Curtis","given":"Jeffrey R.","non-dropping-particle":"","parse-names":false,"suffix":""}],"container-title":"American Journal of Gastroenterology","id":"ITEM-1","issue":"3","issued":{"date-parts":[["2018"]]},"page":"405-417","publisher":"Nature Publishing Group","title":"Increased mortality rates with prolonged corticosteroid therapy when compared with antitumor necrosis factor-α-directed therapy for inflammatory bowel disease","type":"article-journal","volume":"113"},"uris":["http://www.mendeley.com/documents/?uuid=8e4f2146-26bc-451b-8c1e-a15942c14037"]}],"mendeley":{"formattedCitation":"[2]","plainTextFormattedCitation":"[2]","previouslyFormattedCitation":"[2]"},"properties":{"noteIndex":0},"schema":"https://github.com/citation-style-language/schema/raw/master/csl-citation.json"}</w:instrText>
            </w:r>
            <w:r>
              <w:fldChar w:fldCharType="separate"/>
            </w:r>
            <w:r w:rsidRPr="00F5744D">
              <w:rPr>
                <w:noProof/>
              </w:rPr>
              <w:t>[2]</w:t>
            </w:r>
            <w:r>
              <w:fldChar w:fldCharType="end"/>
            </w:r>
          </w:p>
        </w:tc>
      </w:tr>
      <w:tr w:rsidR="005A25A0" w14:paraId="707F80E2" w14:textId="77777777" w:rsidTr="0006589F">
        <w:trPr>
          <w:trHeight w:val="53"/>
        </w:trPr>
        <w:tc>
          <w:tcPr>
            <w:tcW w:w="0" w:type="pct"/>
          </w:tcPr>
          <w:p w14:paraId="56182467" w14:textId="77777777" w:rsidR="005A25A0" w:rsidRDefault="005A25A0" w:rsidP="0006589F">
            <w:pPr>
              <w:pStyle w:val="TableText-IPR"/>
            </w:pPr>
            <w:r>
              <w:t>IBD</w:t>
            </w:r>
            <w:r>
              <w:rPr>
                <w:rFonts w:asciiTheme="minorHAnsi" w:hAnsiTheme="minorHAnsi"/>
              </w:rPr>
              <w:t>-related</w:t>
            </w:r>
            <w:r>
              <w:t xml:space="preserve"> hospitalization, CS</w:t>
            </w:r>
          </w:p>
        </w:tc>
        <w:tc>
          <w:tcPr>
            <w:tcW w:w="590" w:type="pct"/>
          </w:tcPr>
          <w:p w14:paraId="77396B91" w14:textId="77777777" w:rsidR="005A25A0" w:rsidRDefault="005A25A0" w:rsidP="0006589F">
            <w:pPr>
              <w:pStyle w:val="TableText-IPR"/>
              <w:jc w:val="right"/>
            </w:pPr>
            <w:r>
              <w:t>0.0210</w:t>
            </w:r>
          </w:p>
        </w:tc>
        <w:tc>
          <w:tcPr>
            <w:tcW w:w="2731" w:type="pct"/>
          </w:tcPr>
          <w:p w14:paraId="70E085F2" w14:textId="77777777" w:rsidR="005A25A0" w:rsidRDefault="005A25A0" w:rsidP="0006589F">
            <w:pPr>
              <w:pStyle w:val="TableText-IPR"/>
            </w:pPr>
            <w:r w:rsidRPr="00E82E88">
              <w:t>Lewis et al., 2018</w:t>
            </w:r>
            <w:r>
              <w:t xml:space="preserve"> </w:t>
            </w:r>
            <w:r>
              <w:fldChar w:fldCharType="begin" w:fldLock="1"/>
            </w:r>
            <w:r>
              <w:instrText>ADDIN CSL_CITATION {"citationItems":[{"id":"ITEM-1","itemData":{"DOI":"10.1038/ajg.2017.479","ISSN":"15720241","abstract":"OBJECTIVES Crohn's disease (CD) and ulcerative colitis (UC) are inflammatory bowel diseases (IBD) that compromise quality of life and may increase mortality. This study compared the mortality risk with prolonged corticosteroid use vs. antitumor necrosis factor-α (anti-TNF) drugs in IBD. METHODS A retrospective cohort study was conducted among Medicaid and Medicare beneficiaries from 2001 to 2013 with IBD prescribed either &gt;3,000 mg of prednisone or equivalent within a 12-month period or new initiation of anti-TNF therapy, each treated as time-updating exposures. The primary outcome was all-cause mortality. Secondary outcomes included common causes of death. Marginal structural models were used to determine odds ratios (ORs) and 95% confidence intervals (CIs) for anti-TNF use relative to corticosteroids. RESULTS Among patients with CD, 7,694 entered the cohort as prolonged corticosteroid users and 1,879 as new anti-TNF users. Among patients with UC, 3,224 and 459 entered the cohort as prolonged CS users and new anti-TNF users, respectively. The risk of death was statistically significantly lower in patients treated with anti-TNF therapy for CD (21.4 vs. 30.1 per 1,000 person-years, OR 0.78, 0.65-0.93) but not for UC (23.0 vs. 30.9 per 1,000 person-years, OR 0.87, 0.63-1.22). Among the CD cohort, anti-TNF therapy was also associated with lower rates of major adverse cardiovascular events (OR 0.68, 0.55-0.85) and hip fracture (OR 0.54, 0.34-0.83). CONCLUSIONS Compared with prolonged corticosteroid exposure, anti-TNF drug use was associated with reduced mortality in patients with CD that may be explained by lower rates of major adverse cardiovascular events and hip fracture.Am J Gastroenterol advance online publication, 16 January 2018; doi:10.1038/ajg.2017.479.","author":[{"dropping-particle":"","family":"Lewis","given":"James D.","non-dropping-particle":"","parse-names":false,"suffix":""},{"dropping-particle":"","family":"Scott","given":"Frank I.","non-dropping-particle":"","parse-names":false,"suffix":""},{"dropping-particle":"","family":"Brensinger","given":"Colleen M.","non-dropping-particle":"","parse-names":false,"suffix":""},{"dropping-particle":"","family":"Roy","given":"Jason A.","non-dropping-particle":"","parse-names":false,"suffix":""},{"dropping-particle":"","family":"Osterman","given":"Mark T.","non-dropping-particle":"","parse-names":false,"suffix":""},{"dropping-particle":"","family":"Mamtani","given":"Ronac","non-dropping-particle":"","parse-names":false,"suffix":""},{"dropping-particle":"","family":"Bewtra","given":"Meenakshi","non-dropping-particle":"","parse-names":false,"suffix":""},{"dropping-particle":"","family":"Chen","given":"Lang","non-dropping-particle":"","parse-names":false,"suffix":""},{"dropping-particle":"","family":"Yun","given":"Huifeng","non-dropping-particle":"","parse-names":false,"suffix":""},{"dropping-particle":"","family":"Xie","given":"Fenglong","non-dropping-particle":"","parse-names":false,"suffix":""},{"dropping-particle":"","family":"Curtis","given":"Jeffrey R.","non-dropping-particle":"","parse-names":false,"suffix":""}],"container-title":"American Journal of Gastroenterology","id":"ITEM-1","issue":"3","issued":{"date-parts":[["2018"]]},"page":"405-417","publisher":"Nature Publishing Group","title":"Increased mortality rates with prolonged corticosteroid therapy when compared with antitumor necrosis factor-α-directed therapy for inflammatory bowel disease","type":"article-journal","volume":"113"},"uris":["http://www.mendeley.com/documents/?uuid=8e4f2146-26bc-451b-8c1e-a15942c14037"]}],"mendeley":{"formattedCitation":"[2]","plainTextFormattedCitation":"[2]","previouslyFormattedCitation":"[2]"},"properties":{"noteIndex":0},"schema":"https://github.com/citation-style-language/schema/raw/master/csl-citation.json"}</w:instrText>
            </w:r>
            <w:r>
              <w:fldChar w:fldCharType="separate"/>
            </w:r>
            <w:r w:rsidRPr="00F5744D">
              <w:rPr>
                <w:noProof/>
              </w:rPr>
              <w:t>[2]</w:t>
            </w:r>
            <w:r>
              <w:fldChar w:fldCharType="end"/>
            </w:r>
          </w:p>
        </w:tc>
      </w:tr>
      <w:tr w:rsidR="005A25A0" w14:paraId="442BB2A8" w14:textId="77777777" w:rsidTr="0006589F">
        <w:trPr>
          <w:trHeight w:val="134"/>
        </w:trPr>
        <w:tc>
          <w:tcPr>
            <w:tcW w:w="0" w:type="pct"/>
          </w:tcPr>
          <w:p w14:paraId="66805490" w14:textId="77777777" w:rsidR="005A25A0" w:rsidRDefault="005A25A0" w:rsidP="0006589F">
            <w:pPr>
              <w:pStyle w:val="TableText-IPR"/>
            </w:pPr>
            <w:r>
              <w:t>IBD</w:t>
            </w:r>
            <w:r>
              <w:rPr>
                <w:rFonts w:asciiTheme="minorHAnsi" w:hAnsiTheme="minorHAnsi"/>
              </w:rPr>
              <w:t>-related</w:t>
            </w:r>
            <w:r>
              <w:t xml:space="preserve"> hospitalization, anti-TNF</w:t>
            </w:r>
          </w:p>
        </w:tc>
        <w:tc>
          <w:tcPr>
            <w:tcW w:w="590" w:type="pct"/>
          </w:tcPr>
          <w:p w14:paraId="6438F8E5" w14:textId="77777777" w:rsidR="005A25A0" w:rsidRDefault="005A25A0" w:rsidP="0006589F">
            <w:pPr>
              <w:pStyle w:val="TableText-IPR"/>
              <w:jc w:val="right"/>
            </w:pPr>
            <w:r>
              <w:t>0.0213</w:t>
            </w:r>
          </w:p>
        </w:tc>
        <w:tc>
          <w:tcPr>
            <w:tcW w:w="2731" w:type="pct"/>
          </w:tcPr>
          <w:p w14:paraId="78B14833" w14:textId="77777777" w:rsidR="005A25A0" w:rsidRDefault="005A25A0" w:rsidP="0006589F">
            <w:pPr>
              <w:pStyle w:val="TableText-IPR"/>
            </w:pPr>
            <w:r w:rsidRPr="00E82E88">
              <w:t>Lewis et al., 2018</w:t>
            </w:r>
            <w:r>
              <w:t xml:space="preserve"> </w:t>
            </w:r>
            <w:r>
              <w:fldChar w:fldCharType="begin" w:fldLock="1"/>
            </w:r>
            <w:r>
              <w:instrText>ADDIN CSL_CITATION {"citationItems":[{"id":"ITEM-1","itemData":{"DOI":"10.1038/ajg.2017.479","ISSN":"15720241","abstract":"OBJECTIVES Crohn's disease (CD) and ulcerative colitis (UC) are inflammatory bowel diseases (IBD) that compromise quality of life and may increase mortality. This study compared the mortality risk with prolonged corticosteroid use vs. antitumor necrosis factor-α (anti-TNF) drugs in IBD. METHODS A retrospective cohort study was conducted among Medicaid and Medicare beneficiaries from 2001 to 2013 with IBD prescribed either &gt;3,000 mg of prednisone or equivalent within a 12-month period or new initiation of anti-TNF therapy, each treated as time-updating exposures. The primary outcome was all-cause mortality. Secondary outcomes included common causes of death. Marginal structural models were used to determine odds ratios (ORs) and 95% confidence intervals (CIs) for anti-TNF use relative to corticosteroids. RESULTS Among patients with CD, 7,694 entered the cohort as prolonged corticosteroid users and 1,879 as new anti-TNF users. Among patients with UC, 3,224 and 459 entered the cohort as prolonged CS users and new anti-TNF users, respectively. The risk of death was statistically significantly lower in patients treated with anti-TNF therapy for CD (21.4 vs. 30.1 per 1,000 person-years, OR 0.78, 0.65-0.93) but not for UC (23.0 vs. 30.9 per 1,000 person-years, OR 0.87, 0.63-1.22). Among the CD cohort, anti-TNF therapy was also associated with lower rates of major adverse cardiovascular events (OR 0.68, 0.55-0.85) and hip fracture (OR 0.54, 0.34-0.83). CONCLUSIONS Compared with prolonged corticosteroid exposure, anti-TNF drug use was associated with reduced mortality in patients with CD that may be explained by lower rates of major adverse cardiovascular events and hip fracture.Am J Gastroenterol advance online publication, 16 January 2018; doi:10.1038/ajg.2017.479.","author":[{"dropping-particle":"","family":"Lewis","given":"James D.","non-dropping-particle":"","parse-names":false,"suffix":""},{"dropping-particle":"","family":"Scott","given":"Frank I.","non-dropping-particle":"","parse-names":false,"suffix":""},{"dropping-particle":"","family":"Brensinger","given":"Colleen M.","non-dropping-particle":"","parse-names":false,"suffix":""},{"dropping-particle":"","family":"Roy","given":"Jason A.","non-dropping-particle":"","parse-names":false,"suffix":""},{"dropping-particle":"","family":"Osterman","given":"Mark T.","non-dropping-particle":"","parse-names":false,"suffix":""},{"dropping-particle":"","family":"Mamtani","given":"Ronac","non-dropping-particle":"","parse-names":false,"suffix":""},{"dropping-particle":"","family":"Bewtra","given":"Meenakshi","non-dropping-particle":"","parse-names":false,"suffix":""},{"dropping-particle":"","family":"Chen","given":"Lang","non-dropping-particle":"","parse-names":false,"suffix":""},{"dropping-particle":"","family":"Yun","given":"Huifeng","non-dropping-particle":"","parse-names":false,"suffix":""},{"dropping-particle":"","family":"Xie","given":"Fenglong","non-dropping-particle":"","parse-names":false,"suffix":""},{"dropping-particle":"","family":"Curtis","given":"Jeffrey R.","non-dropping-particle":"","parse-names":false,"suffix":""}],"container-title":"American Journal of Gastroenterology","id":"ITEM-1","issue":"3","issued":{"date-parts":[["2018"]]},"page":"405-417","publisher":"Nature Publishing Group","title":"Increased mortality rates with prolonged corticosteroid therapy when compared with antitumor necrosis factor-α-directed therapy for inflammatory bowel disease","type":"article-journal","volume":"113"},"uris":["http://www.mendeley.com/documents/?uuid=8e4f2146-26bc-451b-8c1e-a15942c14037"]}],"mendeley":{"formattedCitation":"[2]","plainTextFormattedCitation":"[2]","previouslyFormattedCitation":"[2]"},"properties":{"noteIndex":0},"schema":"https://github.com/citation-style-language/schema/raw/master/csl-citation.json"}</w:instrText>
            </w:r>
            <w:r>
              <w:fldChar w:fldCharType="separate"/>
            </w:r>
            <w:r w:rsidRPr="00F5744D">
              <w:rPr>
                <w:noProof/>
              </w:rPr>
              <w:t>[2]</w:t>
            </w:r>
            <w:r>
              <w:fldChar w:fldCharType="end"/>
            </w:r>
          </w:p>
        </w:tc>
      </w:tr>
      <w:tr w:rsidR="005A25A0" w14:paraId="312E489F" w14:textId="77777777" w:rsidTr="0006589F">
        <w:trPr>
          <w:trHeight w:val="53"/>
        </w:trPr>
        <w:tc>
          <w:tcPr>
            <w:tcW w:w="0" w:type="pct"/>
            <w:gridSpan w:val="3"/>
            <w:shd w:val="clear" w:color="auto" w:fill="D9D9D9" w:themeFill="background1" w:themeFillShade="D9"/>
          </w:tcPr>
          <w:p w14:paraId="5B71A0AF" w14:textId="77777777" w:rsidR="005A25A0" w:rsidRDefault="005A25A0" w:rsidP="0006589F">
            <w:pPr>
              <w:pStyle w:val="TableText-IPR"/>
              <w:jc w:val="center"/>
            </w:pPr>
            <w:r w:rsidRPr="00CB3FFD">
              <w:rPr>
                <w:b/>
              </w:rPr>
              <w:t>Time</w:t>
            </w:r>
          </w:p>
        </w:tc>
      </w:tr>
      <w:tr w:rsidR="005A25A0" w14:paraId="43CA03AA" w14:textId="77777777" w:rsidTr="0006589F">
        <w:trPr>
          <w:trHeight w:val="53"/>
        </w:trPr>
        <w:tc>
          <w:tcPr>
            <w:tcW w:w="0" w:type="pct"/>
          </w:tcPr>
          <w:p w14:paraId="57A4B694" w14:textId="77777777" w:rsidR="005A25A0" w:rsidRDefault="005A25A0" w:rsidP="0006589F">
            <w:pPr>
              <w:pStyle w:val="TableText-IPR"/>
            </w:pPr>
            <w:r>
              <w:t>Days lost to hip fracture</w:t>
            </w:r>
          </w:p>
        </w:tc>
        <w:tc>
          <w:tcPr>
            <w:tcW w:w="590" w:type="pct"/>
          </w:tcPr>
          <w:p w14:paraId="64FD3C28" w14:textId="77777777" w:rsidR="005A25A0" w:rsidRDefault="005A25A0" w:rsidP="0006589F">
            <w:pPr>
              <w:pStyle w:val="TableText-IPR"/>
              <w:jc w:val="right"/>
            </w:pPr>
            <w:r>
              <w:t>12.4</w:t>
            </w:r>
          </w:p>
        </w:tc>
        <w:tc>
          <w:tcPr>
            <w:tcW w:w="2731" w:type="pct"/>
          </w:tcPr>
          <w:p w14:paraId="61F9B60D" w14:textId="77777777" w:rsidR="005A25A0" w:rsidRDefault="005A25A0" w:rsidP="0006589F">
            <w:pPr>
              <w:pStyle w:val="TableText-IPR"/>
            </w:pPr>
            <w:r>
              <w:t xml:space="preserve">Bonafede, </w:t>
            </w:r>
            <w:proofErr w:type="spellStart"/>
            <w:r w:rsidRPr="00A93C5C">
              <w:t>Espindle</w:t>
            </w:r>
            <w:proofErr w:type="spellEnd"/>
            <w:r w:rsidRPr="00A93C5C">
              <w:t>, &amp; Bower,</w:t>
            </w:r>
            <w:r>
              <w:t xml:space="preserve"> 2012 </w:t>
            </w:r>
            <w:r>
              <w:fldChar w:fldCharType="begin" w:fldLock="1"/>
            </w:r>
            <w:r>
              <w:instrText>ADDIN CSL_CITATION {"citationItems":[{"id":"ITEM-1","itemData":{"DOI":"10.3111/13696998.2012.737391","ISSN":"13696998","abstract":"Information regarding the burden of fractures is limited, especially among working age patients. The objective of this study was to evaluate the direct and indirect costs associated with long bone fractures in a working age population using real-world claims data.","author":[{"dropping-particle":"","family":"Bonafede","given":"Machaon","non-dropping-particle":"","parse-names":false,"suffix":""},{"dropping-particle":"","family":"Espindle","given":"Derek","non-dropping-particle":"","parse-names":false,"suffix":""},{"dropping-particle":"","family":"Bower","given":"Anthony G.","non-dropping-particle":"","parse-names":false,"suffix":""}],"container-title":"Journal of Medical Economics","id":"ITEM-1","issue":"1","issued":{"date-parts":[["2013"]]},"page":"169-178","title":"The direct and indirect costs of long bone fractures in a working age US population","type":"article-journal","volume":"16"},"uris":["http://www.mendeley.com/documents/?uuid=fc0bbe05-dba2-41f4-9b21-54318f5d994b"]}],"mendeley":{"formattedCitation":"[20]","plainTextFormattedCitation":"[20]","previouslyFormattedCitation":"[22]"},"properties":{"noteIndex":0},"schema":"https://github.com/citation-style-language/schema/raw/master/csl-citation.json"}</w:instrText>
            </w:r>
            <w:r>
              <w:fldChar w:fldCharType="separate"/>
            </w:r>
            <w:r w:rsidRPr="00BD1B6A">
              <w:rPr>
                <w:noProof/>
              </w:rPr>
              <w:t>[20]</w:t>
            </w:r>
            <w:r>
              <w:fldChar w:fldCharType="end"/>
            </w:r>
          </w:p>
        </w:tc>
      </w:tr>
      <w:tr w:rsidR="005A25A0" w14:paraId="7C0692DF" w14:textId="77777777" w:rsidTr="0006589F">
        <w:trPr>
          <w:trHeight w:val="53"/>
        </w:trPr>
        <w:tc>
          <w:tcPr>
            <w:tcW w:w="0" w:type="pct"/>
          </w:tcPr>
          <w:p w14:paraId="37FB5CA9" w14:textId="77777777" w:rsidR="005A25A0" w:rsidRDefault="005A25A0" w:rsidP="0006589F">
            <w:pPr>
              <w:pStyle w:val="TableText-IPR"/>
            </w:pPr>
            <w:r>
              <w:t>Days lost of MACE</w:t>
            </w:r>
          </w:p>
        </w:tc>
        <w:tc>
          <w:tcPr>
            <w:tcW w:w="590" w:type="pct"/>
          </w:tcPr>
          <w:p w14:paraId="411E994F" w14:textId="77777777" w:rsidR="005A25A0" w:rsidRDefault="005A25A0" w:rsidP="0006589F">
            <w:pPr>
              <w:pStyle w:val="TableText-IPR"/>
              <w:jc w:val="right"/>
            </w:pPr>
            <w:r>
              <w:t>17.3</w:t>
            </w:r>
          </w:p>
        </w:tc>
        <w:tc>
          <w:tcPr>
            <w:tcW w:w="2731" w:type="pct"/>
          </w:tcPr>
          <w:p w14:paraId="4DEC4457" w14:textId="77777777" w:rsidR="005A25A0" w:rsidRDefault="005A25A0" w:rsidP="0006589F">
            <w:pPr>
              <w:pStyle w:val="TableText-IPR"/>
            </w:pPr>
            <w:r>
              <w:t xml:space="preserve">Sasser et al., 2005 </w:t>
            </w:r>
            <w:r>
              <w:fldChar w:fldCharType="begin" w:fldLock="1"/>
            </w:r>
            <w:r>
              <w:instrText>ADDIN CSL_CITATION {"citationItems":[{"id":"ITEM-1","itemData":{"DOI":"10.1016/j.whi.2004.11.006","ISSN":"10493867","abstract":"Background: Postmenopausal women have a significant risk of developing a number of chronic conditions including osteoporosis (OP), breast cancer (BrCa), and cardiovascular disease (CVD). These diseases can result in significant direct (medical treatment) and indirect (workplace) costs. The objective of this study is to assess these costs among an employed population. Methods: Deidentified medical and disability claims data from seven large employers (n = 585,441) were analyzed from 1998 through 2000 for female employees, age 50-64 years. Medical claim ICD-9CM codes were used to identify patients treated for: OP (n = 2,314), BrCa (n = 555), and CVD (n = 1,710). Each disease cohort was compared to a random sample of 50- to 64-year-old female employees (n = 7,575). Descriptive and multivariate techniques were used to characterize direct and indirect costs attributable to each condition. Results: Average annual direct costs were higher (p &lt; .001) for female employees treated for OP ($6,259), BrCa ($13,925), or CVD ($12,055) when compared with the random sample ($2,951). In addition, average annual indirect costs associated with OP ($4,039), BrCa ($8,236), and CVD ($4,990) were higher (p &lt; .001) than indirect costs for the random sample ($2,292). Even when controlling for each disease-state cohort's demographics and disease-specific comorbidities, patients treated for OP, BrCa, and CVD continued to have significantly greater direct and indirect costs (p &lt; .001) than the random sample. Conclusions: Chronic conditions such as OP, BrCa, and CVD, which occur more frequently in women after menopause, impose a significant financial burden. Greater health care utilization and work-loss prevalence among women treated for these conditions contribute to these additional costs. Copyright © 2005 by the Jacobs Institute of Women's Health.","author":[{"dropping-particle":"","family":"Sasser","given":"Alicia C.","non-dropping-particle":"","parse-names":false,"suffix":""},{"dropping-particle":"","family":"Rousculp","given":"Matthew D.","non-dropping-particle":"","parse-names":false,"suffix":""},{"dropping-particle":"","family":"Birnbaum","given":"Howard G.","non-dropping-particle":"","parse-names":false,"suffix":""},{"dropping-particle":"","family":"Oster","given":"Emily F.","non-dropping-particle":"","parse-names":false,"suffix":""},{"dropping-particle":"","family":"Lufkin","given":"Edward","non-dropping-particle":"","parse-names":false,"suffix":""},{"dropping-particle":"","family":"Mallet","given":"David","non-dropping-particle":"","parse-names":false,"suffix":""}],"container-title":"Women's Health Issues","id":"ITEM-1","issue":"3","issued":{"date-parts":[["2005"]]},"page":"97-108","title":"Economic burden of osteoporosis, breast cancer, and cardiovascular disease among postmenopausal women in an employed population","type":"article-journal","volume":"15"},"uris":["http://www.mendeley.com/documents/?uuid=678777b5-c109-48cb-9696-b9b2a7a852aa"]}],"mendeley":{"formattedCitation":"[30]","plainTextFormattedCitation":"[30]","previouslyFormattedCitation":"[31]"},"properties":{"noteIndex":0},"schema":"https://github.com/citation-style-language/schema/raw/master/csl-citation.json"}</w:instrText>
            </w:r>
            <w:r>
              <w:fldChar w:fldCharType="separate"/>
            </w:r>
            <w:r w:rsidRPr="00BD1B6A">
              <w:rPr>
                <w:noProof/>
              </w:rPr>
              <w:t>[30]</w:t>
            </w:r>
            <w:r>
              <w:fldChar w:fldCharType="end"/>
            </w:r>
          </w:p>
        </w:tc>
      </w:tr>
      <w:tr w:rsidR="005A25A0" w14:paraId="39D7E927" w14:textId="77777777" w:rsidTr="0006589F">
        <w:trPr>
          <w:trHeight w:val="53"/>
        </w:trPr>
        <w:tc>
          <w:tcPr>
            <w:tcW w:w="0" w:type="pct"/>
          </w:tcPr>
          <w:p w14:paraId="233D69FA" w14:textId="77777777" w:rsidR="005A25A0" w:rsidRDefault="005A25A0" w:rsidP="0006589F">
            <w:pPr>
              <w:pStyle w:val="TableText-IPR"/>
            </w:pPr>
            <w:r>
              <w:t>Days lost to IBD</w:t>
            </w:r>
            <w:r>
              <w:rPr>
                <w:rFonts w:asciiTheme="minorHAnsi" w:hAnsiTheme="minorHAnsi"/>
              </w:rPr>
              <w:t>-related</w:t>
            </w:r>
            <w:r>
              <w:t xml:space="preserve"> hospitalization</w:t>
            </w:r>
          </w:p>
        </w:tc>
        <w:tc>
          <w:tcPr>
            <w:tcW w:w="590" w:type="pct"/>
          </w:tcPr>
          <w:p w14:paraId="06176421" w14:textId="77777777" w:rsidR="005A25A0" w:rsidRDefault="005A25A0" w:rsidP="0006589F">
            <w:pPr>
              <w:pStyle w:val="TableText-IPR"/>
              <w:jc w:val="right"/>
            </w:pPr>
            <w:r>
              <w:t>8.7</w:t>
            </w:r>
          </w:p>
        </w:tc>
        <w:tc>
          <w:tcPr>
            <w:tcW w:w="2731" w:type="pct"/>
          </w:tcPr>
          <w:p w14:paraId="4A690454" w14:textId="77777777" w:rsidR="005A25A0" w:rsidRDefault="005A25A0" w:rsidP="0006589F">
            <w:pPr>
              <w:pStyle w:val="TableText-IPR"/>
            </w:pPr>
            <w:r>
              <w:t xml:space="preserve">Cohen et al., 2000 </w:t>
            </w:r>
            <w:r>
              <w:fldChar w:fldCharType="begin" w:fldLock="1"/>
            </w:r>
            <w:r>
              <w:instrText>ADDIN CSL_CITATION {"citationItems":[{"id":"ITEM-1","itemData":{"DOI":"10.1016/S0002-9270(99)00838-2","ISSN":"00029270","abstract":"OBJECTIVE: The aim of this study was to evaluate the demographics, resource use, and costs associated with hospitalization of Crohn's disease patients. METHODS: All patients hospitalized at our institution from 7/1/96 to 6/30/97 with a primary diagnosis of 'Crohn's Disease' were analyzed using a computerized database. Data are presented 'per hospitalization.' RESULTS: A total of 175 hospitalizations (147 patients) were identified. Mean patient age was 36.5 yr; 61% were female; 82% Caucasian. Payer mix was most commonly contracted (57%), commercial (21%), or Medicare (13%). 57% of hospitalizations had a primary surgical procedure; the remainder were medical. Average length of stay was 8.7 days (surgical, 9.6 days; medical, 7.5 days). The average cost of hospitalization, excluding physician fees, was $12,528 (surgical, $14,409; medical, $10,020), whereas average charges were $35,378 (surgical, $46,354; medical, $20,744), including physician fees, which averaged $7,249 (surgical, $11,217; medical, $1,959). Mean reimbursements were $21,968 (surgical, $28,946; medical, $12,666) with average weighted reimbursement rates of 60.17% of hospital charges, 69.57% of physician fees. The distribution of costs across subcategories was: Surgery (39.6%), Pharmacy (18.6%), Laboratory (3.8%), Radiology (2.1%), Pathology (0.8%), Endoscopy (0.3%), and Other Hospital Costs (34.9%). Of the hospitalizations, 87% included treatment with steroids, 23% with immunomodulators, and 14% with aminosalicylates; 27% included the administration of total parenteral nutrition, which accounted for 63% of the total pharmacy costs. CONCLUSIONS: Surgery accounts for the majority of hospitalizations, nearly 40% of their total costs, and 75% of overall charges and reimbursements. Therapy that decreases the number of surgical hospitalizations should substantially reduce inpatient Crohn's disease costs, as well as overall costs. (C) 2000 by Am. Coll. of Gastroenterology.","author":[{"dropping-particle":"","family":"Cohen","given":"Russell D.","non-dropping-particle":"","parse-names":false,"suffix":""},{"dropping-particle":"","family":"Larson","given":"Leanne R.","non-dropping-particle":"","parse-names":false,"suffix":""},{"dropping-particle":"","family":"Roth","given":"Joel M.","non-dropping-particle":"","parse-names":false,"suffix":""},{"dropping-particle":"V.","family":"Becker","given":"Russell","non-dropping-particle":"","parse-names":false,"suffix":""},{"dropping-particle":"","family":"Mummert","given":"Lisa L.","non-dropping-particle":"","parse-names":false,"suffix":""}],"container-title":"American Journal of Gastroenterology","id":"ITEM-1","issue":"2","issued":{"date-parts":[["2000"]]},"page":"524-530","title":"The cost of hospitalization in Crohn's disease","type":"article-journal","volume":"95"},"uris":["http://www.mendeley.com/documents/?uuid=4d5f80f5-1335-49bc-9e8d-04a99345d302"]}],"mendeley":{"formattedCitation":"[21]","plainTextFormattedCitation":"[21]","previouslyFormattedCitation":"[23]"},"properties":{"noteIndex":0},"schema":"https://github.com/citation-style-language/schema/raw/master/csl-citation.json"}</w:instrText>
            </w:r>
            <w:r>
              <w:fldChar w:fldCharType="separate"/>
            </w:r>
            <w:r w:rsidRPr="00BD1B6A">
              <w:rPr>
                <w:noProof/>
              </w:rPr>
              <w:t>[21]</w:t>
            </w:r>
            <w:r>
              <w:fldChar w:fldCharType="end"/>
            </w:r>
          </w:p>
        </w:tc>
      </w:tr>
      <w:tr w:rsidR="005A25A0" w14:paraId="1F8C319C" w14:textId="77777777" w:rsidTr="0006589F">
        <w:trPr>
          <w:trHeight w:val="53"/>
        </w:trPr>
        <w:tc>
          <w:tcPr>
            <w:tcW w:w="0" w:type="pct"/>
          </w:tcPr>
          <w:p w14:paraId="2B184075" w14:textId="77777777" w:rsidR="005A25A0" w:rsidRDefault="005A25A0" w:rsidP="0006589F">
            <w:pPr>
              <w:pStyle w:val="TableText-IPR"/>
            </w:pPr>
            <w:r>
              <w:t>Hours spent in treatment, CS</w:t>
            </w:r>
          </w:p>
        </w:tc>
        <w:tc>
          <w:tcPr>
            <w:tcW w:w="590" w:type="pct"/>
          </w:tcPr>
          <w:p w14:paraId="5C6D8053" w14:textId="77777777" w:rsidR="005A25A0" w:rsidRDefault="005A25A0" w:rsidP="0006589F">
            <w:pPr>
              <w:pStyle w:val="TableText-IPR"/>
              <w:jc w:val="right"/>
            </w:pPr>
            <w:r>
              <w:t>2.0</w:t>
            </w:r>
          </w:p>
        </w:tc>
        <w:tc>
          <w:tcPr>
            <w:tcW w:w="2731" w:type="pct"/>
          </w:tcPr>
          <w:p w14:paraId="6FE0D65A" w14:textId="77777777" w:rsidR="005A25A0" w:rsidRDefault="005A25A0" w:rsidP="0006589F">
            <w:pPr>
              <w:pStyle w:val="TableText-IPR"/>
            </w:pPr>
            <w:r>
              <w:t xml:space="preserve">Subject matter expert opinion </w:t>
            </w:r>
            <w:r>
              <w:fldChar w:fldCharType="begin" w:fldLock="1"/>
            </w:r>
            <w:r>
              <w:instrText>ADDIN CSL_CITATION {"citationItems":[{"id":"ITEM-1","itemData":{"author":[{"dropping-particle":"","family":"Long","given":"M","non-dropping-particle":"","parse-names":false,"suffix":""}],"id":"ITEM-1","issued":{"date-parts":[["2019"]]},"title":"Personal communication. March 6","type":"article"},"uris":["http://www.mendeley.com/documents/?uuid=8dae9793-3136-4ca7-8604-171165d4814d"]}],"mendeley":{"formattedCitation":"[6]","plainTextFormattedCitation":"[6]","previouslyFormattedCitation":"[6]"},"properties":{"noteIndex":0},"schema":"https://github.com/citation-style-language/schema/raw/master/csl-citation.json"}</w:instrText>
            </w:r>
            <w:r>
              <w:fldChar w:fldCharType="separate"/>
            </w:r>
            <w:r w:rsidRPr="009A6FB3">
              <w:rPr>
                <w:noProof/>
              </w:rPr>
              <w:t>[6]</w:t>
            </w:r>
            <w:r>
              <w:fldChar w:fldCharType="end"/>
            </w:r>
          </w:p>
        </w:tc>
      </w:tr>
      <w:tr w:rsidR="005A25A0" w14:paraId="7AA6ECEA" w14:textId="77777777" w:rsidTr="0006589F">
        <w:trPr>
          <w:trHeight w:val="288"/>
        </w:trPr>
        <w:tc>
          <w:tcPr>
            <w:tcW w:w="0" w:type="pct"/>
          </w:tcPr>
          <w:p w14:paraId="6057EB56" w14:textId="77777777" w:rsidR="005A25A0" w:rsidRDefault="005A25A0" w:rsidP="0006589F">
            <w:pPr>
              <w:pStyle w:val="TableText-IPR"/>
            </w:pPr>
            <w:r>
              <w:t>Hours spent in treatment, anti-TNF</w:t>
            </w:r>
          </w:p>
        </w:tc>
        <w:tc>
          <w:tcPr>
            <w:tcW w:w="590" w:type="pct"/>
          </w:tcPr>
          <w:p w14:paraId="27EC2EE4" w14:textId="77777777" w:rsidR="005A25A0" w:rsidRDefault="005A25A0" w:rsidP="0006589F">
            <w:pPr>
              <w:pStyle w:val="TableText-IPR"/>
              <w:jc w:val="right"/>
            </w:pPr>
            <w:r>
              <w:t>13.2</w:t>
            </w:r>
          </w:p>
        </w:tc>
        <w:tc>
          <w:tcPr>
            <w:tcW w:w="2731" w:type="pct"/>
          </w:tcPr>
          <w:p w14:paraId="2ACFA2D7" w14:textId="77777777" w:rsidR="005A25A0" w:rsidRDefault="005A25A0" w:rsidP="0006589F">
            <w:pPr>
              <w:pStyle w:val="TableText-IPR"/>
            </w:pPr>
            <w:r>
              <w:t xml:space="preserve">Authors’ calculations of Daniel et al., 2018; </w:t>
            </w:r>
            <w:proofErr w:type="spellStart"/>
            <w:r>
              <w:t>Yokomizo</w:t>
            </w:r>
            <w:proofErr w:type="spellEnd"/>
            <w:r>
              <w:t xml:space="preserve"> et al., 2016; Park et al., 2014; and subject matter expert</w:t>
            </w:r>
            <w:r w:rsidDel="00C7368C">
              <w:t xml:space="preserve"> </w:t>
            </w:r>
            <w:r>
              <w:t xml:space="preserve">opinion  </w:t>
            </w:r>
            <w:r>
              <w:fldChar w:fldCharType="begin" w:fldLock="1"/>
            </w:r>
            <w:r>
              <w:instrText>ADDIN CSL_CITATION {"citationItems":[{"id":"ITEM-1","itemData":{"author":[{"dropping-particle":"","family":"Long","given":"M","non-dropping-particle":"","parse-names":false,"suffix":""}],"id":"ITEM-1","issued":{"date-parts":[["2019"]]},"title":"Personal communication. March 6","type":"article"},"uris":["http://www.mendeley.com/documents/?uuid=8dae9793-3136-4ca7-8604-171165d4814d"]}],"mendeley":{"formattedCitation":"[6]","plainTextFormattedCitation":"[6]","previouslyFormattedCitation":"[6]"},"properties":{"noteIndex":0},"schema":"https://github.com/citation-style-language/schema/raw/master/csl-citation.json"}</w:instrText>
            </w:r>
            <w:r>
              <w:fldChar w:fldCharType="separate"/>
            </w:r>
            <w:r w:rsidRPr="009A6FB3">
              <w:rPr>
                <w:noProof/>
              </w:rPr>
              <w:t>[6]</w:t>
            </w:r>
            <w:r>
              <w:fldChar w:fldCharType="end"/>
            </w:r>
          </w:p>
        </w:tc>
      </w:tr>
      <w:tr w:rsidR="005A25A0" w14:paraId="3C36D889" w14:textId="77777777" w:rsidTr="0006589F">
        <w:trPr>
          <w:trHeight w:val="53"/>
        </w:trPr>
        <w:tc>
          <w:tcPr>
            <w:tcW w:w="0" w:type="pct"/>
            <w:gridSpan w:val="3"/>
            <w:shd w:val="clear" w:color="auto" w:fill="D9D9D9" w:themeFill="background1" w:themeFillShade="D9"/>
          </w:tcPr>
          <w:p w14:paraId="70DBD2E7" w14:textId="77777777" w:rsidR="005A25A0" w:rsidRPr="00FE0AAD" w:rsidRDefault="005A25A0" w:rsidP="0006589F">
            <w:pPr>
              <w:pStyle w:val="TableText-IPR"/>
              <w:keepNext/>
              <w:keepLines/>
              <w:jc w:val="center"/>
            </w:pPr>
            <w:r w:rsidRPr="00CB3FFD">
              <w:rPr>
                <w:b/>
              </w:rPr>
              <w:t>Productivity Loss</w:t>
            </w:r>
            <w:r>
              <w:rPr>
                <w:b/>
              </w:rPr>
              <w:t>es</w:t>
            </w:r>
          </w:p>
        </w:tc>
      </w:tr>
      <w:tr w:rsidR="005A25A0" w14:paraId="7C899C74" w14:textId="77777777" w:rsidTr="0006589F">
        <w:trPr>
          <w:trHeight w:val="71"/>
        </w:trPr>
        <w:tc>
          <w:tcPr>
            <w:tcW w:w="0" w:type="pct"/>
          </w:tcPr>
          <w:p w14:paraId="1F1DD9E9" w14:textId="77777777" w:rsidR="005A25A0" w:rsidRDefault="005A25A0" w:rsidP="0006589F">
            <w:pPr>
              <w:pStyle w:val="TableText-IPR"/>
              <w:keepNext/>
              <w:keepLines/>
            </w:pPr>
            <w:r>
              <w:t>Value of patient time, median hourly wage</w:t>
            </w:r>
          </w:p>
        </w:tc>
        <w:tc>
          <w:tcPr>
            <w:tcW w:w="590" w:type="pct"/>
          </w:tcPr>
          <w:p w14:paraId="573D86D3" w14:textId="77777777" w:rsidR="005A25A0" w:rsidRDefault="005A25A0" w:rsidP="0006589F">
            <w:pPr>
              <w:pStyle w:val="TableText-IPR"/>
              <w:keepNext/>
              <w:keepLines/>
              <w:jc w:val="right"/>
            </w:pPr>
            <w:r>
              <w:t>$29.95</w:t>
            </w:r>
          </w:p>
        </w:tc>
        <w:tc>
          <w:tcPr>
            <w:tcW w:w="2731" w:type="pct"/>
          </w:tcPr>
          <w:p w14:paraId="6E6A3BEB" w14:textId="77777777" w:rsidR="005A25A0" w:rsidRPr="00FE0AAD" w:rsidRDefault="005A25A0" w:rsidP="0006589F">
            <w:pPr>
              <w:pStyle w:val="TableText-IPR"/>
              <w:keepNext/>
              <w:keepLines/>
              <w:rPr>
                <w:rFonts w:cs="Calibri"/>
              </w:rPr>
            </w:pPr>
            <w:r w:rsidRPr="00FE0AAD">
              <w:rPr>
                <w:rFonts w:cs="Calibri"/>
                <w:color w:val="000000"/>
                <w:lang w:val="da-DK"/>
              </w:rPr>
              <w:t>BLS</w:t>
            </w:r>
            <w:r>
              <w:rPr>
                <w:rFonts w:cs="Calibri"/>
                <w:color w:val="000000"/>
                <w:lang w:val="da-DK"/>
              </w:rPr>
              <w:t xml:space="preserve"> DOL,</w:t>
            </w:r>
            <w:r w:rsidRPr="00FE0AAD">
              <w:rPr>
                <w:rFonts w:cs="Calibri"/>
                <w:color w:val="000000"/>
                <w:lang w:val="da-DK"/>
              </w:rPr>
              <w:t xml:space="preserve"> 2018</w:t>
            </w:r>
            <w:r>
              <w:rPr>
                <w:rFonts w:cs="Calibri"/>
                <w:color w:val="000000"/>
                <w:lang w:val="da-DK"/>
              </w:rPr>
              <w:t xml:space="preserve">a </w:t>
            </w:r>
            <w:r>
              <w:rPr>
                <w:rFonts w:cs="Calibri"/>
                <w:color w:val="000000"/>
                <w:lang w:val="da-DK"/>
              </w:rPr>
              <w:fldChar w:fldCharType="begin" w:fldLock="1"/>
            </w:r>
            <w:r>
              <w:rPr>
                <w:rFonts w:cs="Calibri"/>
                <w:color w:val="000000"/>
                <w:lang w:val="da-DK"/>
              </w:rPr>
              <w:instrText>ADDIN CSL_CITATION {"citationItems":[{"id":"ITEM-1","itemData":{"URL":"https://www.bls.gov/cps/","author":[{"dropping-particle":"","family":"BLS DOL (Bureau of Labor Statistics - U.S. Department of Labor)","given":"","non-dropping-particle":"","parse-names":false,"suffix":""}],"id":"ITEM-1","issued":{"date-parts":[["2018"]]},"title":"Earnings, median usual weekly earnings, employed full time, 2018, by quarter. Labor force statistics from the Current Population Survey. Series ID LEU0252881500.","type":"webpage"},"uris":["http://www.mendeley.com/documents/?uuid=ba4d095e-766c-4be3-aea2-0aaa8b3f1a05"]}],"mendeley":{"formattedCitation":"[25]","plainTextFormattedCitation":"[25]","previouslyFormattedCitation":"[26]"},"properties":{"noteIndex":0},"schema":"https://github.com/citation-style-language/schema/raw/master/csl-citation.json"}</w:instrText>
            </w:r>
            <w:r>
              <w:rPr>
                <w:rFonts w:cs="Calibri"/>
                <w:color w:val="000000"/>
                <w:lang w:val="da-DK"/>
              </w:rPr>
              <w:fldChar w:fldCharType="separate"/>
            </w:r>
            <w:r w:rsidRPr="00BD1B6A">
              <w:rPr>
                <w:rFonts w:cs="Calibri"/>
                <w:noProof/>
                <w:color w:val="000000"/>
                <w:lang w:val="da-DK"/>
              </w:rPr>
              <w:t>[25]</w:t>
            </w:r>
            <w:r>
              <w:rPr>
                <w:rFonts w:cs="Calibri"/>
                <w:color w:val="000000"/>
                <w:lang w:val="da-DK"/>
              </w:rPr>
              <w:fldChar w:fldCharType="end"/>
            </w:r>
          </w:p>
        </w:tc>
      </w:tr>
      <w:tr w:rsidR="005A25A0" w14:paraId="020F48CA" w14:textId="77777777" w:rsidTr="0006589F">
        <w:trPr>
          <w:trHeight w:val="98"/>
        </w:trPr>
        <w:tc>
          <w:tcPr>
            <w:tcW w:w="0" w:type="pct"/>
          </w:tcPr>
          <w:p w14:paraId="46441888" w14:textId="77777777" w:rsidR="005A25A0" w:rsidRDefault="005A25A0" w:rsidP="0006589F">
            <w:pPr>
              <w:pStyle w:val="TableText-IPR"/>
              <w:keepNext/>
              <w:keepLines/>
            </w:pPr>
            <w:r>
              <w:t>Proportion of patient healthcare time with a family member providing unpaid caregiving</w:t>
            </w:r>
          </w:p>
        </w:tc>
        <w:tc>
          <w:tcPr>
            <w:tcW w:w="590" w:type="pct"/>
          </w:tcPr>
          <w:p w14:paraId="3D6E0621" w14:textId="77777777" w:rsidR="005A25A0" w:rsidRDefault="005A25A0" w:rsidP="0006589F">
            <w:pPr>
              <w:pStyle w:val="TableText-IPR"/>
              <w:keepNext/>
              <w:keepLines/>
              <w:jc w:val="right"/>
            </w:pPr>
            <w:r>
              <w:t>0.38</w:t>
            </w:r>
          </w:p>
        </w:tc>
        <w:tc>
          <w:tcPr>
            <w:tcW w:w="2731" w:type="pct"/>
          </w:tcPr>
          <w:p w14:paraId="40EDE8F8" w14:textId="77777777" w:rsidR="005A25A0" w:rsidRPr="00FE0AAD" w:rsidRDefault="005A25A0" w:rsidP="0006589F">
            <w:pPr>
              <w:pStyle w:val="TableText-IPR"/>
              <w:keepNext/>
              <w:keepLines/>
              <w:rPr>
                <w:rFonts w:cs="Calibri"/>
              </w:rPr>
            </w:pPr>
            <w:r w:rsidRPr="00FE0AAD">
              <w:rPr>
                <w:rFonts w:cs="Calibri"/>
              </w:rPr>
              <w:t xml:space="preserve">Wolff </w:t>
            </w:r>
            <w:r>
              <w:rPr>
                <w:rFonts w:cs="Calibri"/>
              </w:rPr>
              <w:t>&amp;</w:t>
            </w:r>
            <w:r w:rsidRPr="00FE0AAD">
              <w:rPr>
                <w:rFonts w:cs="Calibri"/>
              </w:rPr>
              <w:t xml:space="preserve"> </w:t>
            </w:r>
            <w:proofErr w:type="spellStart"/>
            <w:r w:rsidRPr="00FE0AAD">
              <w:rPr>
                <w:rFonts w:cs="Calibri"/>
              </w:rPr>
              <w:t>Roter</w:t>
            </w:r>
            <w:proofErr w:type="spellEnd"/>
            <w:r w:rsidRPr="00FE0AAD">
              <w:rPr>
                <w:rFonts w:cs="Calibri"/>
              </w:rPr>
              <w:t>, 2011</w:t>
            </w:r>
            <w:r>
              <w:rPr>
                <w:rFonts w:cs="Calibri"/>
              </w:rPr>
              <w:t xml:space="preserve"> </w:t>
            </w:r>
            <w:r>
              <w:rPr>
                <w:rFonts w:cs="Calibri"/>
              </w:rPr>
              <w:fldChar w:fldCharType="begin" w:fldLock="1"/>
            </w:r>
            <w:r>
              <w:rPr>
                <w:rFonts w:cs="Calibri"/>
              </w:rPr>
              <w:instrText>ADDIN CSL_CITATION {"citationItems":[{"id":"ITEM-1","itemData":{"DOI":"10.1016/j.socscimed.2011.01.015","ISBN":"6176321972","ISSN":"15378276","PMID":"1000000221","abstract":"Older adults are commonly accompanied to routine physician visits, primarily by adult children and spouses. This is the first review of studies investigating the dynamics and consequences of patient accompaniment. Two types of evidence were examined: (1) observational studies of audio and/or videotaped medical visits, and (2) surveys of patients, families, or health care providers that ascertained experiences, expectations, and preferences for family companion presence and behaviors in routine medical visits. Meta-analytic techniques were used to summarize the evidence describing attributes of unaccompanied and accompanied patients and their companions, medical visit processes, and patient outcomes. The weighted mean rate of patient accompaniment to routine adult medical visits was 37.6% in 13 contributing studies. Accompanied patients were significantly older and more likely to be female, less educated, and in worse physical and mental health than unaccompanied patients. Companions were on average 63 years of age, predominantly female (79.4%), and spouses (54.7%) or adult children (32.2%) of patients. Accompanied patient visits were significantly longer, but verbal contribution to medical dialog was comparable when accompanied patients and their family companion were compared with unaccompanied patients. When a companion was present, health care providers engaged in more biomedical information giving. Given the diversity of outcomes, pooled estimates could not be calculated: of 5 contributing studies 0 were unfavorable, 3 inconclusive, and 2 favorable for accompanied relative to unaccompanied patients. Study findings suggest potential practical benefits from more systematic recognition and integration of companions in health care delivery processes. We propose a conceptual framework to relate family companion presence and behaviors during physician visits to the quality of interpersonal health care processes, patient self management and health care. © 2011 Elsevier Ltd.","author":[{"dropping-particle":"","family":"Wolff","given":"Jennifer L.","non-dropping-particle":"","parse-names":false,"suffix":""},{"dropping-particle":"","family":"Roter","given":"Debra L.","non-dropping-particle":"","parse-names":false,"suffix":""}],"container-title":"Social Science &amp; Medicine","id":"ITEM-1","issue":"6","issued":{"date-parts":[["2011"]]},"page":"823-831","publisher":"Elsevier Ltd","title":"Family Presence in Routine Medical Visits: A Meta-Analytical Review","type":"article-journal","volume":"72"},"uris":["http://www.mendeley.com/documents/?uuid=234a99cc-a7cb-4eb8-ac93-ed0bfc888c47"]}],"mendeley":{"formattedCitation":"[33]","plainTextFormattedCitation":"[33]","previouslyFormattedCitation":"[32]"},"properties":{"noteIndex":0},"schema":"https://github.com/citation-style-language/schema/raw/master/csl-citation.json"}</w:instrText>
            </w:r>
            <w:r>
              <w:rPr>
                <w:rFonts w:cs="Calibri"/>
              </w:rPr>
              <w:fldChar w:fldCharType="separate"/>
            </w:r>
            <w:r w:rsidRPr="00BD1B6A">
              <w:rPr>
                <w:rFonts w:cs="Calibri"/>
                <w:noProof/>
              </w:rPr>
              <w:t>[33]</w:t>
            </w:r>
            <w:r>
              <w:rPr>
                <w:rFonts w:cs="Calibri"/>
              </w:rPr>
              <w:fldChar w:fldCharType="end"/>
            </w:r>
          </w:p>
        </w:tc>
      </w:tr>
      <w:tr w:rsidR="005A25A0" w14:paraId="40CD98B1" w14:textId="77777777" w:rsidTr="0006589F">
        <w:trPr>
          <w:trHeight w:val="288"/>
        </w:trPr>
        <w:tc>
          <w:tcPr>
            <w:tcW w:w="0" w:type="pct"/>
          </w:tcPr>
          <w:p w14:paraId="1F6826EE" w14:textId="77777777" w:rsidR="005A25A0" w:rsidRDefault="005A25A0" w:rsidP="0006589F">
            <w:pPr>
              <w:pStyle w:val="TableText-IPR"/>
              <w:keepNext/>
              <w:keepLines/>
            </w:pPr>
            <w:r>
              <w:t>Value of unpaid caregiving time, median hourly wage of nurse or home health aide</w:t>
            </w:r>
          </w:p>
        </w:tc>
        <w:tc>
          <w:tcPr>
            <w:tcW w:w="590" w:type="pct"/>
          </w:tcPr>
          <w:p w14:paraId="79AA3F1E" w14:textId="77777777" w:rsidR="005A25A0" w:rsidRDefault="005A25A0" w:rsidP="0006589F">
            <w:pPr>
              <w:pStyle w:val="TableText-IPR"/>
              <w:keepNext/>
              <w:keepLines/>
              <w:jc w:val="right"/>
            </w:pPr>
            <w:r>
              <w:t>$16.90</w:t>
            </w:r>
          </w:p>
        </w:tc>
        <w:tc>
          <w:tcPr>
            <w:tcW w:w="2731" w:type="pct"/>
          </w:tcPr>
          <w:p w14:paraId="13445DC2" w14:textId="77777777" w:rsidR="005A25A0" w:rsidRPr="00FE0AAD" w:rsidRDefault="005A25A0" w:rsidP="0006589F">
            <w:pPr>
              <w:pStyle w:val="TableText-IPR"/>
              <w:keepNext/>
              <w:keepLines/>
              <w:rPr>
                <w:rFonts w:cs="Calibri"/>
              </w:rPr>
            </w:pPr>
            <w:r w:rsidRPr="00FE0AAD">
              <w:rPr>
                <w:rFonts w:cs="Calibri"/>
                <w:color w:val="000000"/>
                <w:lang w:val="da-DK"/>
              </w:rPr>
              <w:t>BLS</w:t>
            </w:r>
            <w:r>
              <w:rPr>
                <w:rFonts w:cs="Calibri"/>
                <w:color w:val="000000"/>
                <w:lang w:val="da-DK"/>
              </w:rPr>
              <w:t xml:space="preserve"> DOL,</w:t>
            </w:r>
            <w:r w:rsidRPr="00FE0AAD">
              <w:rPr>
                <w:rFonts w:cs="Calibri"/>
                <w:color w:val="000000"/>
                <w:lang w:val="da-DK"/>
              </w:rPr>
              <w:t xml:space="preserve"> 2018</w:t>
            </w:r>
            <w:r>
              <w:rPr>
                <w:rFonts w:cs="Calibri"/>
                <w:color w:val="000000"/>
                <w:lang w:val="da-DK"/>
              </w:rPr>
              <w:t xml:space="preserve">b </w:t>
            </w:r>
            <w:r>
              <w:rPr>
                <w:rFonts w:cs="Calibri"/>
                <w:color w:val="000000"/>
                <w:lang w:val="da-DK"/>
              </w:rPr>
              <w:fldChar w:fldCharType="begin" w:fldLock="1"/>
            </w:r>
            <w:r>
              <w:rPr>
                <w:rFonts w:cs="Calibri"/>
                <w:color w:val="000000"/>
                <w:lang w:val="da-DK"/>
              </w:rPr>
              <w:instrText>ADDIN CSL_CITATION {"citationItems":[{"id":"ITEM-1","itemData":{"URL":"https://www.bls.gov/cps/","author":[{"dropping-particle":"","family":"BLS DOL","given":"","non-dropping-particle":"","parse-names":false,"suffix":""}],"container-title":"Labor force statistics from the Current Population Survey. Series ID LEU0254543600, LEU0258117500","id":"ITEM-1","issued":{"date-parts":[["2018"]]},"title":"Earnings, median usual weekly earnings, employed full time, 2018","type":"webpage"},"uris":["http://www.mendeley.com/documents/?uuid=51b8eccf-e5b3-4720-aac2-5dee6f4d16fe"]}],"mendeley":{"formattedCitation":"[28]","plainTextFormattedCitation":"[28]","previouslyFormattedCitation":"[29]"},"properties":{"noteIndex":0},"schema":"https://github.com/citation-style-language/schema/raw/master/csl-citation.json"}</w:instrText>
            </w:r>
            <w:r>
              <w:rPr>
                <w:rFonts w:cs="Calibri"/>
                <w:color w:val="000000"/>
                <w:lang w:val="da-DK"/>
              </w:rPr>
              <w:fldChar w:fldCharType="separate"/>
            </w:r>
            <w:r w:rsidRPr="00BD1B6A">
              <w:rPr>
                <w:rFonts w:cs="Calibri"/>
                <w:noProof/>
                <w:color w:val="000000"/>
                <w:lang w:val="da-DK"/>
              </w:rPr>
              <w:t>[28]</w:t>
            </w:r>
            <w:r>
              <w:rPr>
                <w:rFonts w:cs="Calibri"/>
                <w:color w:val="000000"/>
                <w:lang w:val="da-DK"/>
              </w:rPr>
              <w:fldChar w:fldCharType="end"/>
            </w:r>
          </w:p>
        </w:tc>
      </w:tr>
      <w:tr w:rsidR="005A25A0" w14:paraId="52D78DDF" w14:textId="77777777" w:rsidTr="0006589F">
        <w:trPr>
          <w:trHeight w:val="288"/>
        </w:trPr>
        <w:tc>
          <w:tcPr>
            <w:tcW w:w="0" w:type="pct"/>
          </w:tcPr>
          <w:p w14:paraId="2A67A780" w14:textId="77777777" w:rsidR="005A25A0" w:rsidRDefault="005A25A0" w:rsidP="0006589F">
            <w:pPr>
              <w:pStyle w:val="TableText-IPR"/>
              <w:keepNext/>
              <w:keepLines/>
            </w:pPr>
            <w:r>
              <w:t>Civilian labor force participation rate, December 2018</w:t>
            </w:r>
          </w:p>
        </w:tc>
        <w:tc>
          <w:tcPr>
            <w:tcW w:w="590" w:type="pct"/>
          </w:tcPr>
          <w:p w14:paraId="6591B43C" w14:textId="77777777" w:rsidR="005A25A0" w:rsidRDefault="005A25A0" w:rsidP="0006589F">
            <w:pPr>
              <w:pStyle w:val="TableText-IPR"/>
              <w:keepNext/>
              <w:keepLines/>
              <w:jc w:val="right"/>
            </w:pPr>
            <w:r>
              <w:t>0.63</w:t>
            </w:r>
          </w:p>
        </w:tc>
        <w:tc>
          <w:tcPr>
            <w:tcW w:w="2731" w:type="pct"/>
          </w:tcPr>
          <w:p w14:paraId="21BC60BA" w14:textId="77777777" w:rsidR="005A25A0" w:rsidRDefault="005A25A0" w:rsidP="0006589F">
            <w:pPr>
              <w:pStyle w:val="TableText-IPR"/>
              <w:keepNext/>
              <w:keepLines/>
            </w:pPr>
            <w:r>
              <w:t xml:space="preserve">BLS DOL, 2018c </w:t>
            </w:r>
            <w:r>
              <w:fldChar w:fldCharType="begin" w:fldLock="1"/>
            </w:r>
            <w:r>
              <w:instrText>ADDIN CSL_CITATION {"citationItems":[{"id":"ITEM-1","itemData":{"URL":"https://www.bls.gov/charts/employment-situation/civilian-labor-force-participation-rate.htm","author":[{"dropping-particle":"","family":"BLS DOL","given":"","non-dropping-particle":"","parse-names":false,"suffix":""}],"id":"ITEM-1","issued":{"date-parts":[["2018"]]},"title":"Civilian labor force participation rate, seasonally adjusted total for all months in 2018 [News release chart]","type":"webpage"},"uris":["http://www.mendeley.com/documents/?uuid=0dcbb881-53f3-44b6-a937-131ca120f5a7"]}],"mendeley":{"formattedCitation":"[29]","plainTextFormattedCitation":"[29]","previouslyFormattedCitation":"[30]"},"properties":{"noteIndex":0},"schema":"https://github.com/citation-style-language/schema/raw/master/csl-citation.json"}</w:instrText>
            </w:r>
            <w:r>
              <w:fldChar w:fldCharType="separate"/>
            </w:r>
            <w:r w:rsidRPr="00BD1B6A">
              <w:rPr>
                <w:noProof/>
              </w:rPr>
              <w:t>[29]</w:t>
            </w:r>
            <w:r>
              <w:fldChar w:fldCharType="end"/>
            </w:r>
          </w:p>
        </w:tc>
      </w:tr>
    </w:tbl>
    <w:p w14:paraId="326A76BC" w14:textId="77777777" w:rsidR="005A25A0" w:rsidRDefault="005A25A0" w:rsidP="005A25A0">
      <w:pPr>
        <w:pStyle w:val="FtnteTable-IPR"/>
      </w:pPr>
      <w:r>
        <w:t xml:space="preserve">Note: </w:t>
      </w:r>
      <w:r w:rsidRPr="007F6EFD">
        <w:t xml:space="preserve">Negative risk difference means </w:t>
      </w:r>
      <w:r>
        <w:t>CS</w:t>
      </w:r>
      <w:r w:rsidRPr="007F6EFD">
        <w:t xml:space="preserve"> is associated with lower risk </w:t>
      </w:r>
      <w:r>
        <w:t>than anti-TNF</w:t>
      </w:r>
      <w:r w:rsidRPr="007F6EFD">
        <w:t>.</w:t>
      </w:r>
      <w:r>
        <w:t xml:space="preserve"> </w:t>
      </w:r>
    </w:p>
    <w:p w14:paraId="3959D227" w14:textId="77777777" w:rsidR="005A25A0" w:rsidRDefault="005A25A0" w:rsidP="005A25A0">
      <w:pPr>
        <w:pStyle w:val="FtnteTable-IPR"/>
      </w:pPr>
    </w:p>
    <w:p w14:paraId="45E0036D" w14:textId="77777777" w:rsidR="005A25A0" w:rsidRDefault="005A25A0" w:rsidP="005A25A0"/>
    <w:p w14:paraId="3DF03D98" w14:textId="77777777" w:rsidR="005A25A0" w:rsidRDefault="005A25A0" w:rsidP="005A25A0">
      <w:r>
        <w:lastRenderedPageBreak/>
        <w:t xml:space="preserve">We calculated average annual payer costs for infliximab as follows: </w:t>
      </w:r>
    </w:p>
    <w:p w14:paraId="4477D79F" w14:textId="77777777" w:rsidR="005A25A0" w:rsidRPr="00BC6BD4" w:rsidRDefault="005A25A0" w:rsidP="005A25A0">
      <w:pPr>
        <w:rPr>
          <w:rFonts w:eastAsia="Times New Roman" w:cs="AdvOTf011d512"/>
          <w:szCs w:val="20"/>
        </w:rPr>
      </w:pPr>
      <w:r>
        <w:rPr>
          <w:rFonts w:eastAsia="Times New Roman" w:cs="AdvOTf011d512"/>
          <w:szCs w:val="20"/>
        </w:rPr>
        <w:t xml:space="preserve">Number of infusions per year </w:t>
      </w:r>
      <w:r w:rsidRPr="00482D9B">
        <w:rPr>
          <w:rFonts w:eastAsia="Times New Roman" w:cs="AdvOTf011d512"/>
          <w:szCs w:val="20"/>
        </w:rPr>
        <w:t>×</w:t>
      </w:r>
      <w:r>
        <w:rPr>
          <w:rFonts w:eastAsia="Times New Roman" w:cs="AdvOTf011d512"/>
          <w:szCs w:val="20"/>
        </w:rPr>
        <w:t xml:space="preserve"> [(a</w:t>
      </w:r>
      <w:r w:rsidRPr="00482D9B">
        <w:rPr>
          <w:rFonts w:eastAsia="Times New Roman" w:cs="AdvOTf011d512"/>
          <w:szCs w:val="20"/>
        </w:rPr>
        <w:t xml:space="preserve">verage adult weight [kg] × </w:t>
      </w:r>
      <w:r>
        <w:rPr>
          <w:rFonts w:eastAsia="Times New Roman" w:cs="AdvOTf011d512"/>
          <w:szCs w:val="20"/>
        </w:rPr>
        <w:t>d</w:t>
      </w:r>
      <w:r w:rsidRPr="00482D9B">
        <w:rPr>
          <w:rFonts w:eastAsia="Times New Roman" w:cs="AdvOTf011d512"/>
          <w:szCs w:val="20"/>
        </w:rPr>
        <w:t>ose [mg/kg/</w:t>
      </w:r>
      <w:r>
        <w:rPr>
          <w:rFonts w:eastAsia="Times New Roman" w:cs="AdvOTf011d512"/>
          <w:szCs w:val="20"/>
        </w:rPr>
        <w:t>infusion</w:t>
      </w:r>
      <w:r w:rsidRPr="00482D9B">
        <w:rPr>
          <w:rFonts w:eastAsia="Times New Roman" w:cs="AdvOTf011d512"/>
          <w:szCs w:val="20"/>
        </w:rPr>
        <w:t xml:space="preserve">] × </w:t>
      </w:r>
      <w:r>
        <w:rPr>
          <w:rFonts w:eastAsia="Times New Roman" w:cs="AdvOTf011d512"/>
          <w:szCs w:val="20"/>
        </w:rPr>
        <w:t>a</w:t>
      </w:r>
      <w:r w:rsidRPr="00482D9B">
        <w:rPr>
          <w:rFonts w:eastAsia="Times New Roman" w:cs="AdvOTf011d512"/>
          <w:szCs w:val="20"/>
        </w:rPr>
        <w:t xml:space="preserve">verage </w:t>
      </w:r>
      <w:r>
        <w:rPr>
          <w:rFonts w:eastAsia="Times New Roman" w:cs="AdvOTf011d512"/>
          <w:szCs w:val="20"/>
        </w:rPr>
        <w:t>c</w:t>
      </w:r>
      <w:r w:rsidRPr="00482D9B">
        <w:rPr>
          <w:rFonts w:eastAsia="Times New Roman" w:cs="AdvOTf011d512"/>
          <w:szCs w:val="20"/>
        </w:rPr>
        <w:t>ost per m</w:t>
      </w:r>
      <w:r>
        <w:rPr>
          <w:rFonts w:eastAsia="Times New Roman" w:cs="AdvOTf011d512"/>
          <w:szCs w:val="20"/>
        </w:rPr>
        <w:t>g</w:t>
      </w:r>
      <w:r w:rsidRPr="00482D9B">
        <w:rPr>
          <w:rFonts w:eastAsia="Times New Roman" w:cs="AdvOTf011d512"/>
          <w:szCs w:val="20"/>
        </w:rPr>
        <w:t xml:space="preserve"> </w:t>
      </w:r>
      <w:r>
        <w:rPr>
          <w:rFonts w:eastAsia="Times New Roman" w:cs="AdvOTf011d512"/>
          <w:szCs w:val="20"/>
        </w:rPr>
        <w:t>+ facility fees [$/infusion]]</w:t>
      </w:r>
      <w:r w:rsidRPr="00482D9B">
        <w:rPr>
          <w:rFonts w:eastAsia="Times New Roman" w:cs="AdvOTf011d512"/>
          <w:szCs w:val="20"/>
        </w:rPr>
        <w:t>.</w:t>
      </w:r>
      <w:r w:rsidRPr="00482D9B">
        <w:rPr>
          <w:rFonts w:eastAsia="Times New Roman" w:cs="AdvOTf011d512"/>
          <w:b/>
          <w:szCs w:val="20"/>
        </w:rPr>
        <w:t xml:space="preserve"> </w:t>
      </w:r>
    </w:p>
    <w:p w14:paraId="4497BBB7" w14:textId="77777777" w:rsidR="005A25A0" w:rsidRDefault="005A25A0" w:rsidP="005A25A0">
      <w:pPr>
        <w:pStyle w:val="BodyText-IPR"/>
      </w:pPr>
      <w:r>
        <w:t xml:space="preserve">The average adult weight was assumed to be 70 kg, and the average cost of infliximab per 100 mg was $844 </w:t>
      </w:r>
      <w:r>
        <w:fldChar w:fldCharType="begin" w:fldLock="1"/>
      </w:r>
      <w:r>
        <w:instrText>ADDIN CSL_CITATION {"citationItems":[{"id":"ITEM-1","itemData":{"author":[{"dropping-particle":"","family":"Institute for Clinical and Economic Review","given":"","non-dropping-particle":"","parse-names":false,"suffix":""}],"id":"ITEM-1","issue":"February","issued":{"date-parts":[["2017"]]},"number-of-pages":"1-8","title":"A Look at Immune Modulators for Rheumatoid Arthritis","type":"report"},"uris":["http://www.mendeley.com/documents/?uuid=b1452ae0-f799-4b1e-b47e-512c7a843806"]}],"mendeley":{"formattedCitation":"[12]","plainTextFormattedCitation":"[12]","previouslyFormattedCitation":"[11]"},"properties":{"noteIndex":0},"schema":"https://github.com/citation-style-language/schema/raw/master/csl-citation.json"}</w:instrText>
      </w:r>
      <w:r>
        <w:fldChar w:fldCharType="separate"/>
      </w:r>
      <w:r w:rsidRPr="00BD1B6A">
        <w:rPr>
          <w:noProof/>
        </w:rPr>
        <w:t>[12]</w:t>
      </w:r>
      <w:r>
        <w:fldChar w:fldCharType="end"/>
      </w:r>
      <w:r>
        <w:t xml:space="preserve">. Administration costs paid by the payer were approximately $1,500 per year </w:t>
      </w:r>
      <w:r>
        <w:fldChar w:fldCharType="begin" w:fldLock="1"/>
      </w:r>
      <w:r>
        <w:instrText>ADDIN CSL_CITATION {"citationItems":[{"id":"ITEM-1","itemData":{"ISSN":"10834087","abstract":"Rheumatoid arthritis (RA) is a common chronic condition with substantial morbidity that can now be treated with disease-modifying biologic agents that target tumor necrosis factor (TNF) or related mechanisms. The anti-TNF biologic agents are available in either intravenous (IV) or subcutaneous dose forms. The biologic agents with an indication for rheumatoid arthritis and administered only by IV infusion in medical offices include abatacept, infliximab, and rituximab. Although the literature on RA treatments, their outcomes, and aspects of their costs is substantial, the costs of administration by the IV route have not been directly studied.","author":[{"dropping-particle":"","family":"Wong","given":"Bruce J.","non-dropping-particle":"","parse-names":false,"suffix":""},{"dropping-particle":"","family":"Cifaldi","given":"Mary A.","non-dropping-particle":"","parse-names":false,"suffix":""},{"dropping-particle":"","family":"Roy","given":"Sanjoy","non-dropping-particle":"","parse-names":false,"suffix":""},{"dropping-particle":"","family":"Skonieczny","given":"Dean C.","non-dropping-particle":"","parse-names":false,"suffix":""},{"dropping-particle":"","family":"Stavrakas","given":"Spyros","non-dropping-particle":"","parse-names":false,"suffix":""}],"container-title":"Journal of Managed Care Pharmacy","id":"ITEM-1","issue":"4","issued":{"date-parts":[["2011"]]},"page":"313-320","title":"Analysis of drug and administrative costs allowed by U.S. Private and public third-party payers for 3 intravenous biologic agents for rheumatoid arthritis","type":"article-journal","volume":"17"},"uris":["http://www.mendeley.com/documents/?uuid=94108a27-ca46-4133-83bc-a8ea1769d785"]}],"mendeley":{"formattedCitation":"[34]","plainTextFormattedCitation":"[34]","previouslyFormattedCitation":"[12]"},"properties":{"noteIndex":0},"schema":"https://github.com/citation-style-language/schema/raw/master/csl-citation.json"}</w:instrText>
      </w:r>
      <w:r>
        <w:fldChar w:fldCharType="separate"/>
      </w:r>
      <w:r w:rsidRPr="00BD1B6A">
        <w:rPr>
          <w:noProof/>
        </w:rPr>
        <w:t>[34]</w:t>
      </w:r>
      <w:r>
        <w:fldChar w:fldCharType="end"/>
      </w:r>
      <w:r>
        <w:t>.</w:t>
      </w:r>
      <w:r w:rsidRPr="003221E3">
        <w:t xml:space="preserve"> </w:t>
      </w:r>
      <w:r>
        <w:t xml:space="preserve">We allowed this cost to have an upper bound of $28,300 in one-way sensitivity analyses </w:t>
      </w:r>
      <w:r>
        <w:fldChar w:fldCharType="begin" w:fldLock="1"/>
      </w:r>
      <w:r>
        <w:instrText>ADDIN CSL_CITATION {"citationItems":[{"id":"ITEM-1","itemData":{"DOI":"10.1136/bmjgast-2016-000093","ISSN":"20544774","abstract":"BACKGROUND There are no head-to-head randomised controlled trials (RCTs) comparing the effectiveness of biologics in ulcerative colitis (UC). We aimed to assess the cost-effectiveness of adalimumab, infliximab and vedolizumab as first-line agents to induce clinical remission and mucosal healing (MH) in UC. METHODS We constructed a decision tree based on a payer's perspective in the USA to estimate the first year costs of adalimumab, infliximab or vedolizumab to achieve clinical remission and MH in patients with moderate-to-severe UC. Transition probabilities were derived from ACT, ULTRA and GEMINI RCT data. Costs were derived from Medicare reimbursement rates and wholesale drug prices. RESULTS Assuming a biological-naïve cohort, infliximab 5 mg/kg every 8 weeks was more cost-effective ($99 171 per MH achieved) than adalimumab 40 mg every other week ($316 378 per MH achieved) and vedolizumab every 8 weeks ($301 969 per MH achieved) at 1 year. Non-drug administration cost of infliximab exceeding $1974 per infusion would make adalimumab more cost-effective. First-line UC therapy with vedolizumab would be cost-effective if the drug acquisition price was &lt;$2537 for each 300 mg administration during the 1-year time horizon. CONCLUSIONS If non-drug costs of infliximab administration are not excessive (&lt;$2000), infliximab is the most cost-effective first-line biologic for moderate-to-severe UC. Exceeding this threshold infusion-related cost would make adalimumab the more cost-effective therapy. Considering its drug costs in the USA, vedolizumab appears to be appropriately used as a second-line biologic after antitumour necrosis factor failure.","author":[{"dropping-particle":"","family":"Yokomizo","given":"Lauren","non-dropping-particle":"","parse-names":false,"suffix":""},{"dropping-particle":"","family":"Limketkai","given":"Berkeley","non-dropping-particle":"","parse-names":false,"suffix":""},{"dropping-particle":"","family":"Park","given":"K. T.","non-dropping-particle":"","parse-names":false,"suffix":""}],"container-title":"BMJ Open Gastroenterology","id":"ITEM-1","issue":"1","issued":{"date-parts":[["2016"]]},"page":"1-6","title":"Cost-effectiveness of adalimumab, infliximab or vedolizumab as first-line biological therapy in moderate-to-severe ulcerative colitis","type":"article-journal","volume":"3"},"uris":["http://www.mendeley.com/documents/?uuid=f71fc772-d9b6-4e73-8892-5b64a7926b35"]},{"id":"ITEM-2","itemData":{"ISSN":"10834087","abstract":"Rheumatoid arthritis (RA) is a common chronic condition with substantial morbidity that can now be treated with disease-modifying biologic agents that target tumor necrosis factor (TNF) or related mechanisms. The anti-TNF biologic agents are available in either intravenous (IV) or subcutaneous dose forms. The biologic agents with an indication for rheumatoid arthritis and administered only by IV infusion in medical offices include abatacept, infliximab, and rituximab. Although the literature on RA treatments, their outcomes, and aspects of their costs is substantial, the costs of administration by the IV route have not been directly studied.","author":[{"dropping-particle":"","family":"Wong","given":"Bruce J.","non-dropping-particle":"","parse-names":false,"suffix":""},{"dropping-particle":"","family":"Cifaldi","given":"Mary A.","non-dropping-particle":"","parse-names":false,"suffix":""},{"dropping-particle":"","family":"Roy","given":"Sanjoy","non-dropping-particle":"","parse-names":false,"suffix":""},{"dropping-particle":"","family":"Skonieczny","given":"Dean C.","non-dropping-particle":"","parse-names":false,"suffix":""},{"dropping-particle":"","family":"Stavrakas","given":"Spyros","non-dropping-particle":"","parse-names":false,"suffix":""}],"container-title":"Journal of Managed Care Pharmacy","id":"ITEM-2","issue":"4","issued":{"date-parts":[["2011"]]},"page":"313-320","title":"Analysis of drug and administrative costs allowed by U.S. Private and public third-party payers for 3 intravenous biologic agents for rheumatoid arthritis","type":"article-journal","volume":"17"},"uris":["http://www.mendeley.com/documents/?uuid=94108a27-ca46-4133-83bc-a8ea1769d785"]}],"mendeley":{"formattedCitation":"[23,34]","plainTextFormattedCitation":"[23,34]","previouslyFormattedCitation":"[12,13]"},"properties":{"noteIndex":0},"schema":"https://github.com/citation-style-language/schema/raw/master/csl-citation.json"}</w:instrText>
      </w:r>
      <w:r>
        <w:fldChar w:fldCharType="separate"/>
      </w:r>
      <w:r w:rsidRPr="00BD1B6A">
        <w:rPr>
          <w:noProof/>
        </w:rPr>
        <w:t>[23,34]</w:t>
      </w:r>
      <w:r>
        <w:fldChar w:fldCharType="end"/>
      </w:r>
      <w:r>
        <w:t xml:space="preserve">. We calculated annual adalimumab costs assuming an average per-dose payer cost of $1,581 </w:t>
      </w:r>
      <w:r>
        <w:fldChar w:fldCharType="begin" w:fldLock="1"/>
      </w:r>
      <w:r>
        <w:instrText>ADDIN CSL_CITATION {"citationItems":[{"id":"ITEM-1","itemData":{"author":[{"dropping-particle":"","family":"Institute for Clinical and Economic Review","given":"","non-dropping-particle":"","parse-names":false,"suffix":""}],"id":"ITEM-1","issue":"February","issued":{"date-parts":[["2017"]]},"number-of-pages":"1-8","title":"A Look at Immune Modulators for Rheumatoid Arthritis","type":"report"},"uris":["http://www.mendeley.com/documents/?uuid=b1452ae0-f799-4b1e-b47e-512c7a843806"]}],"mendeley":{"formattedCitation":"[12]","plainTextFormattedCitation":"[12]","previouslyFormattedCitation":"[11]"},"properties":{"noteIndex":0},"schema":"https://github.com/citation-style-language/schema/raw/master/csl-citation.json"}</w:instrText>
      </w:r>
      <w:r>
        <w:fldChar w:fldCharType="separate"/>
      </w:r>
      <w:r w:rsidRPr="00BD1B6A">
        <w:rPr>
          <w:noProof/>
        </w:rPr>
        <w:t>[12]</w:t>
      </w:r>
      <w:r>
        <w:fldChar w:fldCharType="end"/>
      </w:r>
      <w:r>
        <w:t xml:space="preserve">. We assumed that a patient would self-administer one dose of adalimumab every two weeks, resulting in a total annual payer cost of $41,100 per patient. We weighted annual infliximab and adalimumab costs to obtain an estimated payer cost for anti-TNF of $27,160 per patient per year, although the true costs for anti-TNF therapy may be lower if some payers have negotiated lower prices with manufacturers. The estimated out-of-pocket cost to patients was $110 per year, with an upper bound of $263 used in one-way sensitivity analyses. </w:t>
      </w:r>
    </w:p>
    <w:p w14:paraId="0C0923DD" w14:textId="77777777" w:rsidR="005A25A0" w:rsidRDefault="005A25A0" w:rsidP="005A25A0">
      <w:pPr>
        <w:pStyle w:val="BodyText-IPR"/>
        <w:rPr>
          <w:rFonts w:asciiTheme="minorHAnsi" w:hAnsiTheme="minorHAnsi"/>
          <w:szCs w:val="20"/>
        </w:rPr>
      </w:pPr>
      <w:r>
        <w:rPr>
          <w:rFonts w:asciiTheme="minorHAnsi" w:hAnsiTheme="minorHAnsi"/>
          <w:szCs w:val="20"/>
        </w:rPr>
        <w:t>For CS users, we assumed that prednisone was prescribed 75% of the time, an assumption guided by a clinical expert’s input. We assumed an annual cost to payers of $10 per patient for prednisone; budesonide was assumed for the remaining CS users, with an annual estimated cost to payers of $1,600 per patient (see table A.1 for details).</w:t>
      </w:r>
      <w:r>
        <w:t xml:space="preserve"> </w:t>
      </w:r>
      <w:r>
        <w:rPr>
          <w:rFonts w:asciiTheme="minorHAnsi" w:hAnsiTheme="minorHAnsi"/>
          <w:szCs w:val="20"/>
        </w:rPr>
        <w:t xml:space="preserve">The upper limit assumes payer costs for budesonide as high as $3,000 per year, consistent with the upper end of the </w:t>
      </w:r>
      <w:proofErr w:type="spellStart"/>
      <w:r>
        <w:rPr>
          <w:rFonts w:asciiTheme="minorHAnsi" w:hAnsiTheme="minorHAnsi"/>
          <w:szCs w:val="20"/>
        </w:rPr>
        <w:t>GoodRX</w:t>
      </w:r>
      <w:proofErr w:type="spellEnd"/>
      <w:r>
        <w:rPr>
          <w:rFonts w:asciiTheme="minorHAnsi" w:hAnsiTheme="minorHAnsi"/>
          <w:szCs w:val="20"/>
        </w:rPr>
        <w:t xml:space="preserve"> price range </w:t>
      </w:r>
      <w:r>
        <w:rPr>
          <w:rFonts w:asciiTheme="minorHAnsi" w:hAnsiTheme="minorHAnsi"/>
          <w:szCs w:val="20"/>
        </w:rPr>
        <w:fldChar w:fldCharType="begin" w:fldLock="1"/>
      </w:r>
      <w:r>
        <w:rPr>
          <w:rFonts w:asciiTheme="minorHAnsi" w:hAnsiTheme="minorHAnsi"/>
          <w:szCs w:val="20"/>
        </w:rPr>
        <w:instrText>ADDIN CSL_CITATION {"citationItems":[{"id":"ITEM-1","itemData":{"URL":"https://www.goodrx.com/amoxil","accessed":{"date-parts":[["2020","1","10"]]},"author":[{"dropping-particle":"","family":"GoodRX","given":"","non-dropping-particle":"","parse-names":false,"suffix":""}],"id":"ITEM-1","issued":{"date-parts":[["2019"]]},"title":"Amoxil","type":"webpage"},"uris":["http://www.mendeley.com/documents/?uuid=72ea6b51-aae6-3a80-aea1-5a0f83fbd9cc"]}],"mendeley":{"formattedCitation":"[15]","plainTextFormattedCitation":"[15]","previouslyFormattedCitation":"[14]"},"properties":{"noteIndex":0},"schema":"https://github.com/citation-style-language/schema/raw/master/csl-citation.json"}</w:instrText>
      </w:r>
      <w:r>
        <w:rPr>
          <w:rFonts w:asciiTheme="minorHAnsi" w:hAnsiTheme="minorHAnsi"/>
          <w:szCs w:val="20"/>
        </w:rPr>
        <w:fldChar w:fldCharType="separate"/>
      </w:r>
      <w:r w:rsidRPr="00BD1B6A">
        <w:rPr>
          <w:rFonts w:asciiTheme="minorHAnsi" w:hAnsiTheme="minorHAnsi"/>
          <w:noProof/>
          <w:szCs w:val="20"/>
        </w:rPr>
        <w:t>[15]</w:t>
      </w:r>
      <w:r>
        <w:rPr>
          <w:rFonts w:asciiTheme="minorHAnsi" w:hAnsiTheme="minorHAnsi"/>
          <w:szCs w:val="20"/>
        </w:rPr>
        <w:fldChar w:fldCharType="end"/>
      </w:r>
      <w:r>
        <w:rPr>
          <w:rFonts w:asciiTheme="minorHAnsi" w:hAnsiTheme="minorHAnsi"/>
          <w:szCs w:val="20"/>
        </w:rPr>
        <w:t>.</w:t>
      </w:r>
      <w:r w:rsidRPr="00935FA4">
        <w:rPr>
          <w:rFonts w:asciiTheme="minorHAnsi" w:hAnsiTheme="minorHAnsi"/>
          <w:szCs w:val="20"/>
        </w:rPr>
        <w:t xml:space="preserve"> </w:t>
      </w:r>
      <w:r>
        <w:rPr>
          <w:rFonts w:asciiTheme="minorHAnsi" w:hAnsiTheme="minorHAnsi"/>
          <w:szCs w:val="20"/>
        </w:rPr>
        <w:t xml:space="preserve">Sensitivity analysis used an upper limit of $510 for CS out-of-pocket spending. </w:t>
      </w:r>
    </w:p>
    <w:p w14:paraId="55B19A98" w14:textId="77777777" w:rsidR="005A25A0" w:rsidRDefault="005A25A0" w:rsidP="005A25A0">
      <w:pPr>
        <w:pStyle w:val="BodyText-IPR"/>
        <w:rPr>
          <w:rFonts w:asciiTheme="minorHAnsi" w:hAnsiTheme="minorHAnsi"/>
          <w:szCs w:val="20"/>
        </w:rPr>
      </w:pPr>
      <w:bookmarkStart w:id="1" w:name="_Hlk86617862"/>
      <w:r>
        <w:rPr>
          <w:rFonts w:asciiTheme="minorHAnsi" w:hAnsiTheme="minorHAnsi"/>
          <w:szCs w:val="20"/>
        </w:rPr>
        <w:t>Authors’ calculations for the healthcare costs of death inflated the hospital costs in the last calendar year of life for the United States, as reported in a supplement ($24,513 in 2014 dollars; [11]), to 2018 dollars using the Personal Consumption Expenditures for Health (PCE-H) index (</w:t>
      </w:r>
      <w:hyperlink r:id="rId5" w:history="1">
        <w:r w:rsidRPr="002D467B">
          <w:rPr>
            <w:rStyle w:val="Hyperlink"/>
            <w:rFonts w:asciiTheme="minorHAnsi" w:hAnsiTheme="minorHAnsi"/>
            <w:szCs w:val="20"/>
          </w:rPr>
          <w:t>https://fred.stlouisfed.org/series/DHLTRG3A086NBEA</w:t>
        </w:r>
      </w:hyperlink>
      <w:r>
        <w:rPr>
          <w:rFonts w:asciiTheme="minorHAnsi" w:hAnsiTheme="minorHAnsi"/>
          <w:szCs w:val="20"/>
        </w:rPr>
        <w:t xml:space="preserve">). To calculate the average costs of a hip fracture, we generated a weighted average using costs for people 50 to 64 years and costs for those 65 years and older [13]. For cardiovascular event costs, we calculated a weighted average of costs of myocardial infarction (fatal and nonfatal), ischemic stroke (fatal and nonfatal), hemorrhagic stroke (fatal and nonfatal), percutaneous transluminal coronary angioplasty, and coronary artery bypass graft (CABG) [14]. We used the 2014 estimated cost of IBD hospitalization [19] and inflated all costs to 2018 dollars using the PCE-H. </w:t>
      </w:r>
    </w:p>
    <w:bookmarkEnd w:id="1"/>
    <w:p w14:paraId="198493BC" w14:textId="77777777" w:rsidR="005A25A0" w:rsidRDefault="005A25A0" w:rsidP="005A25A0">
      <w:pPr>
        <w:pStyle w:val="BodyText-IPR"/>
      </w:pPr>
      <w:r>
        <w:t>Ranges used for one-way sensitivity analysis and distributions used for probabilistic sensitivity analysis appear in table A-2.</w:t>
      </w:r>
    </w:p>
    <w:p w14:paraId="0E2456F6" w14:textId="77777777" w:rsidR="005A25A0" w:rsidRDefault="005A25A0" w:rsidP="005A25A0">
      <w:pPr>
        <w:spacing w:after="200" w:line="276" w:lineRule="auto"/>
        <w:rPr>
          <w:rFonts w:ascii="Calibri" w:eastAsia="Times New Roman" w:hAnsi="Calibri" w:cs="Times New Roman"/>
          <w:szCs w:val="24"/>
        </w:rPr>
      </w:pPr>
      <w:r>
        <w:rPr>
          <w:b/>
          <w:i/>
        </w:rPr>
        <w:br w:type="page"/>
      </w:r>
    </w:p>
    <w:p w14:paraId="2328CFAB" w14:textId="77777777" w:rsidR="005A25A0" w:rsidRDefault="005A25A0" w:rsidP="005A25A0">
      <w:pPr>
        <w:pStyle w:val="TableTitle-IPR"/>
        <w:spacing w:before="240"/>
      </w:pPr>
      <w:r w:rsidRPr="005A4BF4">
        <w:lastRenderedPageBreak/>
        <w:t>Table A</w:t>
      </w:r>
      <w:r>
        <w:t>.2.</w:t>
      </w:r>
      <w:r w:rsidRPr="005A4BF4">
        <w:t xml:space="preserve"> Distributions </w:t>
      </w:r>
      <w:r>
        <w:t>U</w:t>
      </w:r>
      <w:r w:rsidRPr="005A4BF4">
        <w:t>sed for Probabilistic Sensitivity Analysis</w:t>
      </w:r>
      <w:r>
        <w:t xml:space="preserve"> of Impact of Expanding Anti-TNF Therapy for Crohn’s Disease</w:t>
      </w:r>
    </w:p>
    <w:tbl>
      <w:tblPr>
        <w:tblStyle w:val="InsightTable"/>
        <w:tblW w:w="12902" w:type="dxa"/>
        <w:tblLayout w:type="fixed"/>
        <w:tblLook w:val="04A0" w:firstRow="1" w:lastRow="0" w:firstColumn="1" w:lastColumn="0" w:noHBand="0" w:noVBand="1"/>
      </w:tblPr>
      <w:tblGrid>
        <w:gridCol w:w="6332"/>
        <w:gridCol w:w="900"/>
        <w:gridCol w:w="900"/>
        <w:gridCol w:w="990"/>
        <w:gridCol w:w="900"/>
        <w:gridCol w:w="751"/>
        <w:gridCol w:w="11"/>
        <w:gridCol w:w="883"/>
        <w:gridCol w:w="1235"/>
      </w:tblGrid>
      <w:tr w:rsidR="005A25A0" w:rsidRPr="008E05A4" w14:paraId="1650FA0C" w14:textId="77777777" w:rsidTr="0006589F">
        <w:trPr>
          <w:cnfStyle w:val="100000000000" w:firstRow="1" w:lastRow="0" w:firstColumn="0" w:lastColumn="0" w:oddVBand="0" w:evenVBand="0" w:oddHBand="0" w:evenHBand="0" w:firstRowFirstColumn="0" w:firstRowLastColumn="0" w:lastRowFirstColumn="0" w:lastRowLastColumn="0"/>
          <w:trHeight w:val="43"/>
          <w:tblHeader/>
        </w:trPr>
        <w:tc>
          <w:tcPr>
            <w:tcW w:w="6332" w:type="dxa"/>
            <w:noWrap/>
          </w:tcPr>
          <w:p w14:paraId="6FB3A4B7" w14:textId="77777777" w:rsidR="005A25A0" w:rsidRPr="00773F2D" w:rsidRDefault="005A25A0" w:rsidP="0006589F">
            <w:pPr>
              <w:spacing w:after="0"/>
              <w:ind w:firstLineChars="100" w:firstLine="181"/>
              <w:rPr>
                <w:rFonts w:ascii="Calibri" w:eastAsia="Times New Roman" w:hAnsi="Calibri" w:cs="Calibri"/>
                <w:b/>
                <w:color w:val="000000"/>
                <w:sz w:val="18"/>
                <w:szCs w:val="18"/>
              </w:rPr>
            </w:pPr>
            <w:r w:rsidRPr="00773F2D">
              <w:rPr>
                <w:rFonts w:ascii="Lucida Sans" w:eastAsia="Times New Roman" w:hAnsi="Lucida Sans"/>
                <w:b/>
                <w:sz w:val="18"/>
                <w:szCs w:val="18"/>
              </w:rPr>
              <w:t>Study Population Parameters</w:t>
            </w:r>
          </w:p>
        </w:tc>
        <w:tc>
          <w:tcPr>
            <w:tcW w:w="900" w:type="dxa"/>
            <w:noWrap/>
          </w:tcPr>
          <w:p w14:paraId="59C2F943" w14:textId="77777777" w:rsidR="005A25A0" w:rsidRPr="00773F2D" w:rsidRDefault="005A25A0" w:rsidP="0006589F">
            <w:pPr>
              <w:spacing w:after="0"/>
              <w:rPr>
                <w:rFonts w:ascii="Calibri" w:eastAsia="Times New Roman" w:hAnsi="Calibri" w:cs="Calibri"/>
                <w:b/>
                <w:color w:val="000000"/>
                <w:sz w:val="18"/>
                <w:szCs w:val="18"/>
              </w:rPr>
            </w:pPr>
            <w:r w:rsidRPr="00773F2D">
              <w:rPr>
                <w:rFonts w:ascii="Lucida Sans" w:eastAsia="Times New Roman" w:hAnsi="Lucida Sans"/>
                <w:b/>
                <w:sz w:val="18"/>
                <w:szCs w:val="18"/>
              </w:rPr>
              <w:t>Default</w:t>
            </w:r>
          </w:p>
        </w:tc>
        <w:tc>
          <w:tcPr>
            <w:tcW w:w="1890" w:type="dxa"/>
            <w:gridSpan w:val="2"/>
            <w:noWrap/>
          </w:tcPr>
          <w:p w14:paraId="27E1780D" w14:textId="77777777" w:rsidR="005A25A0" w:rsidRPr="00773F2D" w:rsidRDefault="005A25A0" w:rsidP="0006589F">
            <w:pPr>
              <w:spacing w:after="0"/>
              <w:rPr>
                <w:rFonts w:ascii="Calibri" w:eastAsia="Times New Roman" w:hAnsi="Calibri" w:cs="Calibri"/>
                <w:b/>
                <w:color w:val="000000"/>
                <w:sz w:val="18"/>
                <w:szCs w:val="18"/>
              </w:rPr>
            </w:pPr>
            <w:r w:rsidRPr="00773F2D">
              <w:rPr>
                <w:rFonts w:ascii="Lucida Sans" w:eastAsia="Times New Roman" w:hAnsi="Lucida Sans"/>
                <w:b/>
                <w:sz w:val="18"/>
                <w:szCs w:val="18"/>
              </w:rPr>
              <w:t>&lt; Range &gt;</w:t>
            </w:r>
          </w:p>
        </w:tc>
        <w:tc>
          <w:tcPr>
            <w:tcW w:w="900" w:type="dxa"/>
            <w:noWrap/>
          </w:tcPr>
          <w:p w14:paraId="0FC7561B" w14:textId="77777777" w:rsidR="005A25A0" w:rsidRPr="00773F2D" w:rsidRDefault="005A25A0" w:rsidP="0006589F">
            <w:pPr>
              <w:spacing w:after="0"/>
              <w:rPr>
                <w:rFonts w:ascii="Calibri" w:eastAsia="Times New Roman" w:hAnsi="Calibri" w:cs="Calibri"/>
                <w:b/>
                <w:color w:val="000000"/>
                <w:sz w:val="18"/>
                <w:szCs w:val="18"/>
              </w:rPr>
            </w:pPr>
            <w:r w:rsidRPr="00773F2D">
              <w:rPr>
                <w:rFonts w:ascii="Lucida Sans" w:eastAsia="Times New Roman" w:hAnsi="Lucida Sans"/>
                <w:b/>
                <w:sz w:val="18"/>
                <w:szCs w:val="18"/>
              </w:rPr>
              <w:t>SE</w:t>
            </w:r>
          </w:p>
        </w:tc>
        <w:tc>
          <w:tcPr>
            <w:tcW w:w="762" w:type="dxa"/>
            <w:gridSpan w:val="2"/>
            <w:noWrap/>
          </w:tcPr>
          <w:p w14:paraId="6D3EF2F1" w14:textId="77777777" w:rsidR="005A25A0" w:rsidRPr="00773F2D" w:rsidRDefault="005A25A0" w:rsidP="0006589F">
            <w:pPr>
              <w:spacing w:after="0"/>
              <w:rPr>
                <w:rFonts w:ascii="Calibri" w:eastAsia="Times New Roman" w:hAnsi="Calibri" w:cs="Calibri"/>
                <w:b/>
                <w:color w:val="000000"/>
                <w:sz w:val="18"/>
                <w:szCs w:val="18"/>
              </w:rPr>
            </w:pPr>
            <w:r w:rsidRPr="00773F2D">
              <w:rPr>
                <w:rFonts w:ascii="Lucida Sans" w:eastAsia="Times New Roman" w:hAnsi="Lucida Sans"/>
                <w:b/>
                <w:sz w:val="18"/>
                <w:szCs w:val="18"/>
              </w:rPr>
              <w:t>Alpha</w:t>
            </w:r>
          </w:p>
        </w:tc>
        <w:tc>
          <w:tcPr>
            <w:tcW w:w="883" w:type="dxa"/>
            <w:noWrap/>
          </w:tcPr>
          <w:p w14:paraId="22FAFD0A" w14:textId="77777777" w:rsidR="005A25A0" w:rsidRPr="00773F2D" w:rsidRDefault="005A25A0" w:rsidP="0006589F">
            <w:pPr>
              <w:spacing w:after="0"/>
              <w:rPr>
                <w:rFonts w:ascii="Calibri" w:eastAsia="Times New Roman" w:hAnsi="Calibri" w:cs="Calibri"/>
                <w:b/>
                <w:color w:val="000000"/>
                <w:sz w:val="18"/>
                <w:szCs w:val="18"/>
              </w:rPr>
            </w:pPr>
            <w:r w:rsidRPr="00773F2D">
              <w:rPr>
                <w:rFonts w:ascii="Lucida Sans" w:eastAsia="Times New Roman" w:hAnsi="Lucida Sans"/>
                <w:b/>
                <w:sz w:val="18"/>
                <w:szCs w:val="18"/>
              </w:rPr>
              <w:t>Beta</w:t>
            </w:r>
          </w:p>
        </w:tc>
        <w:tc>
          <w:tcPr>
            <w:tcW w:w="1235" w:type="dxa"/>
            <w:noWrap/>
          </w:tcPr>
          <w:p w14:paraId="11CA3B48" w14:textId="77777777" w:rsidR="005A25A0" w:rsidRPr="00773F2D" w:rsidRDefault="005A25A0" w:rsidP="0006589F">
            <w:pPr>
              <w:spacing w:after="0"/>
              <w:rPr>
                <w:rFonts w:ascii="Calibri" w:eastAsia="Times New Roman" w:hAnsi="Calibri" w:cs="Calibri"/>
                <w:b/>
                <w:color w:val="000000"/>
                <w:sz w:val="18"/>
                <w:szCs w:val="18"/>
              </w:rPr>
            </w:pPr>
            <w:r w:rsidRPr="00773F2D">
              <w:rPr>
                <w:rFonts w:ascii="Lucida Sans" w:eastAsia="Times New Roman" w:hAnsi="Lucida Sans"/>
                <w:b/>
                <w:sz w:val="18"/>
                <w:szCs w:val="18"/>
              </w:rPr>
              <w:t>Distribution</w:t>
            </w:r>
          </w:p>
        </w:tc>
      </w:tr>
      <w:tr w:rsidR="005A25A0" w:rsidRPr="008E05A4" w14:paraId="6C2BFC7F" w14:textId="77777777" w:rsidTr="0006589F">
        <w:trPr>
          <w:trHeight w:val="43"/>
        </w:trPr>
        <w:tc>
          <w:tcPr>
            <w:tcW w:w="12902" w:type="dxa"/>
            <w:gridSpan w:val="9"/>
            <w:shd w:val="clear" w:color="auto" w:fill="D9D9D9" w:themeFill="background1" w:themeFillShade="D9"/>
            <w:noWrap/>
          </w:tcPr>
          <w:p w14:paraId="3B955D60" w14:textId="77777777" w:rsidR="005A25A0" w:rsidRPr="00773F2D" w:rsidRDefault="005A25A0" w:rsidP="0006589F">
            <w:pPr>
              <w:spacing w:after="0"/>
              <w:jc w:val="center"/>
              <w:rPr>
                <w:rFonts w:eastAsia="Times New Roman"/>
                <w:b/>
                <w:szCs w:val="20"/>
              </w:rPr>
            </w:pPr>
            <w:r w:rsidRPr="00773F2D">
              <w:rPr>
                <w:rFonts w:eastAsia="Times New Roman"/>
                <w:b/>
                <w:szCs w:val="20"/>
              </w:rPr>
              <w:t xml:space="preserve">Incidence and Prevalence of </w:t>
            </w:r>
            <w:r>
              <w:rPr>
                <w:rFonts w:eastAsia="Times New Roman"/>
                <w:b/>
                <w:szCs w:val="20"/>
              </w:rPr>
              <w:t xml:space="preserve">Moderate-to-severe </w:t>
            </w:r>
            <w:r w:rsidRPr="00773F2D">
              <w:rPr>
                <w:rFonts w:eastAsia="Times New Roman"/>
                <w:b/>
                <w:szCs w:val="20"/>
              </w:rPr>
              <w:t>Crohn’s Disease</w:t>
            </w:r>
          </w:p>
        </w:tc>
      </w:tr>
      <w:tr w:rsidR="005A25A0" w:rsidRPr="008E05A4" w14:paraId="75A7F5A1" w14:textId="77777777" w:rsidTr="0006589F">
        <w:trPr>
          <w:trHeight w:val="53"/>
        </w:trPr>
        <w:tc>
          <w:tcPr>
            <w:tcW w:w="6332" w:type="dxa"/>
            <w:noWrap/>
            <w:hideMark/>
          </w:tcPr>
          <w:p w14:paraId="6E827F0F" w14:textId="77777777" w:rsidR="005A25A0" w:rsidRPr="00335297" w:rsidRDefault="005A25A0" w:rsidP="0006589F">
            <w:pPr>
              <w:spacing w:after="0"/>
              <w:rPr>
                <w:rFonts w:eastAsia="Times New Roman"/>
                <w:szCs w:val="20"/>
              </w:rPr>
            </w:pPr>
            <w:r w:rsidRPr="00335297">
              <w:rPr>
                <w:rFonts w:eastAsia="Times New Roman"/>
                <w:szCs w:val="20"/>
              </w:rPr>
              <w:t>Prevalence</w:t>
            </w:r>
          </w:p>
        </w:tc>
        <w:tc>
          <w:tcPr>
            <w:tcW w:w="900" w:type="dxa"/>
            <w:noWrap/>
            <w:hideMark/>
          </w:tcPr>
          <w:p w14:paraId="1F514415" w14:textId="77777777" w:rsidR="005A25A0" w:rsidRPr="00335297" w:rsidRDefault="005A25A0" w:rsidP="0006589F">
            <w:pPr>
              <w:spacing w:after="0"/>
              <w:jc w:val="center"/>
              <w:rPr>
                <w:rFonts w:eastAsia="Times New Roman"/>
                <w:szCs w:val="20"/>
              </w:rPr>
            </w:pPr>
            <w:r w:rsidRPr="00335297">
              <w:rPr>
                <w:rFonts w:eastAsia="Times New Roman"/>
                <w:szCs w:val="20"/>
              </w:rPr>
              <w:t>0.002010</w:t>
            </w:r>
          </w:p>
        </w:tc>
        <w:tc>
          <w:tcPr>
            <w:tcW w:w="900" w:type="dxa"/>
            <w:noWrap/>
            <w:hideMark/>
          </w:tcPr>
          <w:p w14:paraId="0BADA72F" w14:textId="77777777" w:rsidR="005A25A0" w:rsidRPr="00335297" w:rsidRDefault="005A25A0" w:rsidP="0006589F">
            <w:pPr>
              <w:spacing w:after="0"/>
              <w:jc w:val="center"/>
              <w:rPr>
                <w:rFonts w:eastAsia="Times New Roman"/>
                <w:szCs w:val="20"/>
              </w:rPr>
            </w:pPr>
            <w:r w:rsidRPr="00335297">
              <w:rPr>
                <w:rFonts w:eastAsia="Times New Roman"/>
                <w:szCs w:val="20"/>
              </w:rPr>
              <w:t>0.001500</w:t>
            </w:r>
          </w:p>
        </w:tc>
        <w:tc>
          <w:tcPr>
            <w:tcW w:w="990" w:type="dxa"/>
            <w:noWrap/>
            <w:hideMark/>
          </w:tcPr>
          <w:p w14:paraId="1FF3697A" w14:textId="77777777" w:rsidR="005A25A0" w:rsidRPr="00335297" w:rsidRDefault="005A25A0" w:rsidP="0006589F">
            <w:pPr>
              <w:spacing w:after="0"/>
              <w:jc w:val="center"/>
              <w:rPr>
                <w:rFonts w:eastAsia="Times New Roman"/>
                <w:szCs w:val="20"/>
              </w:rPr>
            </w:pPr>
            <w:r w:rsidRPr="00335297">
              <w:rPr>
                <w:rFonts w:eastAsia="Times New Roman"/>
                <w:szCs w:val="20"/>
              </w:rPr>
              <w:t>0.013000</w:t>
            </w:r>
          </w:p>
        </w:tc>
        <w:tc>
          <w:tcPr>
            <w:tcW w:w="900" w:type="dxa"/>
            <w:noWrap/>
            <w:hideMark/>
          </w:tcPr>
          <w:p w14:paraId="58223806" w14:textId="77777777" w:rsidR="005A25A0" w:rsidRPr="00335297" w:rsidRDefault="005A25A0" w:rsidP="0006589F">
            <w:pPr>
              <w:spacing w:after="0"/>
              <w:jc w:val="center"/>
              <w:rPr>
                <w:rFonts w:eastAsia="Times New Roman"/>
                <w:szCs w:val="20"/>
              </w:rPr>
            </w:pPr>
            <w:r w:rsidRPr="00335297">
              <w:rPr>
                <w:rFonts w:eastAsia="Times New Roman"/>
                <w:szCs w:val="20"/>
              </w:rPr>
              <w:t>0.000205</w:t>
            </w:r>
          </w:p>
        </w:tc>
        <w:tc>
          <w:tcPr>
            <w:tcW w:w="751" w:type="dxa"/>
            <w:noWrap/>
            <w:hideMark/>
          </w:tcPr>
          <w:p w14:paraId="33CC1BB1"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384F2327" w14:textId="77777777" w:rsidR="005A25A0" w:rsidRPr="00335297" w:rsidRDefault="005A25A0" w:rsidP="0006589F">
            <w:pPr>
              <w:spacing w:after="0"/>
              <w:jc w:val="center"/>
              <w:rPr>
                <w:rFonts w:eastAsia="Times New Roman"/>
                <w:szCs w:val="20"/>
              </w:rPr>
            </w:pPr>
            <w:r w:rsidRPr="00335297">
              <w:rPr>
                <w:rFonts w:eastAsia="Times New Roman"/>
                <w:szCs w:val="20"/>
              </w:rPr>
              <w:t>47588</w:t>
            </w:r>
          </w:p>
        </w:tc>
        <w:tc>
          <w:tcPr>
            <w:tcW w:w="1235" w:type="dxa"/>
            <w:noWrap/>
            <w:hideMark/>
          </w:tcPr>
          <w:p w14:paraId="4F045E71" w14:textId="77777777" w:rsidR="005A25A0" w:rsidRPr="00335297" w:rsidRDefault="005A25A0" w:rsidP="0006589F">
            <w:pPr>
              <w:spacing w:after="0"/>
              <w:jc w:val="center"/>
              <w:rPr>
                <w:rFonts w:eastAsia="Times New Roman"/>
                <w:szCs w:val="20"/>
              </w:rPr>
            </w:pPr>
            <w:r>
              <w:rPr>
                <w:rFonts w:eastAsia="Times New Roman"/>
                <w:szCs w:val="20"/>
              </w:rPr>
              <w:t>Beta</w:t>
            </w:r>
          </w:p>
        </w:tc>
      </w:tr>
      <w:tr w:rsidR="005A25A0" w:rsidRPr="008E05A4" w14:paraId="25073CCB" w14:textId="77777777" w:rsidTr="0006589F">
        <w:trPr>
          <w:trHeight w:val="53"/>
        </w:trPr>
        <w:tc>
          <w:tcPr>
            <w:tcW w:w="6332" w:type="dxa"/>
            <w:noWrap/>
            <w:hideMark/>
          </w:tcPr>
          <w:p w14:paraId="478726DC" w14:textId="77777777" w:rsidR="005A25A0" w:rsidRPr="00335297" w:rsidRDefault="005A25A0" w:rsidP="0006589F">
            <w:pPr>
              <w:spacing w:after="0"/>
              <w:rPr>
                <w:rFonts w:eastAsia="Times New Roman"/>
                <w:szCs w:val="20"/>
              </w:rPr>
            </w:pPr>
            <w:r w:rsidRPr="00335297">
              <w:rPr>
                <w:rFonts w:eastAsia="Times New Roman"/>
                <w:szCs w:val="20"/>
              </w:rPr>
              <w:t>Incidence</w:t>
            </w:r>
          </w:p>
        </w:tc>
        <w:tc>
          <w:tcPr>
            <w:tcW w:w="900" w:type="dxa"/>
            <w:noWrap/>
            <w:hideMark/>
          </w:tcPr>
          <w:p w14:paraId="26EAAC0D" w14:textId="77777777" w:rsidR="005A25A0" w:rsidRPr="00335297" w:rsidRDefault="005A25A0" w:rsidP="0006589F">
            <w:pPr>
              <w:spacing w:after="0"/>
              <w:jc w:val="center"/>
              <w:rPr>
                <w:rFonts w:eastAsia="Times New Roman"/>
                <w:szCs w:val="20"/>
              </w:rPr>
            </w:pPr>
            <w:r w:rsidRPr="00335297">
              <w:rPr>
                <w:rFonts w:eastAsia="Times New Roman"/>
                <w:szCs w:val="20"/>
              </w:rPr>
              <w:t>0.000089</w:t>
            </w:r>
          </w:p>
        </w:tc>
        <w:tc>
          <w:tcPr>
            <w:tcW w:w="900" w:type="dxa"/>
            <w:noWrap/>
            <w:hideMark/>
          </w:tcPr>
          <w:p w14:paraId="13D7384E" w14:textId="77777777" w:rsidR="005A25A0" w:rsidRPr="00335297" w:rsidRDefault="005A25A0" w:rsidP="0006589F">
            <w:pPr>
              <w:spacing w:after="0"/>
              <w:jc w:val="center"/>
              <w:rPr>
                <w:rFonts w:eastAsia="Times New Roman"/>
                <w:szCs w:val="20"/>
              </w:rPr>
            </w:pPr>
            <w:r w:rsidRPr="00335297">
              <w:rPr>
                <w:rFonts w:eastAsia="Times New Roman"/>
                <w:szCs w:val="20"/>
              </w:rPr>
              <w:t>0.000071</w:t>
            </w:r>
          </w:p>
        </w:tc>
        <w:tc>
          <w:tcPr>
            <w:tcW w:w="990" w:type="dxa"/>
            <w:noWrap/>
            <w:hideMark/>
          </w:tcPr>
          <w:p w14:paraId="4297CA0C" w14:textId="77777777" w:rsidR="005A25A0" w:rsidRPr="00335297" w:rsidRDefault="005A25A0" w:rsidP="0006589F">
            <w:pPr>
              <w:spacing w:after="0"/>
              <w:jc w:val="center"/>
              <w:rPr>
                <w:rFonts w:eastAsia="Times New Roman"/>
                <w:szCs w:val="20"/>
              </w:rPr>
            </w:pPr>
            <w:r w:rsidRPr="00335297">
              <w:rPr>
                <w:rFonts w:eastAsia="Times New Roman"/>
                <w:szCs w:val="20"/>
              </w:rPr>
              <w:t>0.000106</w:t>
            </w:r>
          </w:p>
        </w:tc>
        <w:tc>
          <w:tcPr>
            <w:tcW w:w="900" w:type="dxa"/>
            <w:noWrap/>
            <w:hideMark/>
          </w:tcPr>
          <w:p w14:paraId="542F13A9" w14:textId="77777777" w:rsidR="005A25A0" w:rsidRPr="00335297" w:rsidRDefault="005A25A0" w:rsidP="0006589F">
            <w:pPr>
              <w:spacing w:after="0"/>
              <w:jc w:val="center"/>
              <w:rPr>
                <w:rFonts w:eastAsia="Times New Roman"/>
                <w:szCs w:val="20"/>
              </w:rPr>
            </w:pPr>
            <w:r w:rsidRPr="00335297">
              <w:rPr>
                <w:rFonts w:eastAsia="Times New Roman"/>
                <w:szCs w:val="20"/>
              </w:rPr>
              <w:t>0.000009</w:t>
            </w:r>
          </w:p>
        </w:tc>
        <w:tc>
          <w:tcPr>
            <w:tcW w:w="751" w:type="dxa"/>
            <w:noWrap/>
            <w:hideMark/>
          </w:tcPr>
          <w:p w14:paraId="2D122A6A"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2CF1ED31" w14:textId="77777777" w:rsidR="005A25A0" w:rsidRPr="00335297" w:rsidRDefault="005A25A0" w:rsidP="0006589F">
            <w:pPr>
              <w:spacing w:after="0"/>
              <w:jc w:val="center"/>
              <w:rPr>
                <w:rFonts w:eastAsia="Times New Roman"/>
                <w:szCs w:val="20"/>
              </w:rPr>
            </w:pPr>
            <w:r w:rsidRPr="00335297">
              <w:rPr>
                <w:rFonts w:eastAsia="Times New Roman"/>
                <w:szCs w:val="20"/>
              </w:rPr>
              <w:t>1085005</w:t>
            </w:r>
          </w:p>
        </w:tc>
        <w:tc>
          <w:tcPr>
            <w:tcW w:w="1235" w:type="dxa"/>
            <w:noWrap/>
            <w:hideMark/>
          </w:tcPr>
          <w:p w14:paraId="58252B9E" w14:textId="77777777" w:rsidR="005A25A0" w:rsidRPr="00335297" w:rsidRDefault="005A25A0" w:rsidP="0006589F">
            <w:pPr>
              <w:spacing w:after="0"/>
              <w:jc w:val="center"/>
              <w:rPr>
                <w:rFonts w:eastAsia="Times New Roman"/>
                <w:szCs w:val="20"/>
              </w:rPr>
            </w:pPr>
            <w:r>
              <w:rPr>
                <w:rFonts w:eastAsia="Times New Roman"/>
                <w:szCs w:val="20"/>
              </w:rPr>
              <w:t>Beta</w:t>
            </w:r>
          </w:p>
        </w:tc>
      </w:tr>
      <w:tr w:rsidR="005A25A0" w:rsidRPr="008E05A4" w14:paraId="6EAB7757" w14:textId="77777777" w:rsidTr="0006589F">
        <w:trPr>
          <w:trHeight w:val="53"/>
        </w:trPr>
        <w:tc>
          <w:tcPr>
            <w:tcW w:w="6332" w:type="dxa"/>
            <w:noWrap/>
            <w:hideMark/>
          </w:tcPr>
          <w:p w14:paraId="21B3FCE8" w14:textId="77777777" w:rsidR="005A25A0" w:rsidRPr="00335297" w:rsidRDefault="005A25A0" w:rsidP="0006589F">
            <w:pPr>
              <w:spacing w:after="0"/>
              <w:rPr>
                <w:rFonts w:eastAsia="Times New Roman"/>
                <w:szCs w:val="20"/>
              </w:rPr>
            </w:pPr>
            <w:r w:rsidRPr="00335297">
              <w:rPr>
                <w:rFonts w:eastAsia="Times New Roman"/>
                <w:szCs w:val="20"/>
              </w:rPr>
              <w:t xml:space="preserve">Proportion of patients with </w:t>
            </w:r>
            <w:r>
              <w:rPr>
                <w:rFonts w:eastAsia="Times New Roman"/>
                <w:szCs w:val="20"/>
              </w:rPr>
              <w:t xml:space="preserve">moderate-to-severe </w:t>
            </w:r>
            <w:r w:rsidRPr="00335297">
              <w:rPr>
                <w:rFonts w:eastAsia="Times New Roman"/>
                <w:szCs w:val="20"/>
              </w:rPr>
              <w:t>disease</w:t>
            </w:r>
          </w:p>
        </w:tc>
        <w:tc>
          <w:tcPr>
            <w:tcW w:w="900" w:type="dxa"/>
            <w:noWrap/>
            <w:hideMark/>
          </w:tcPr>
          <w:p w14:paraId="10FA1CDC" w14:textId="77777777" w:rsidR="005A25A0" w:rsidRPr="00335297" w:rsidRDefault="005A25A0" w:rsidP="0006589F">
            <w:pPr>
              <w:spacing w:after="0"/>
              <w:jc w:val="center"/>
              <w:rPr>
                <w:rFonts w:eastAsia="Times New Roman"/>
                <w:szCs w:val="20"/>
              </w:rPr>
            </w:pPr>
            <w:r w:rsidRPr="00335297">
              <w:rPr>
                <w:rFonts w:eastAsia="Times New Roman"/>
                <w:szCs w:val="20"/>
              </w:rPr>
              <w:t>0.600</w:t>
            </w:r>
          </w:p>
        </w:tc>
        <w:tc>
          <w:tcPr>
            <w:tcW w:w="900" w:type="dxa"/>
            <w:noWrap/>
            <w:hideMark/>
          </w:tcPr>
          <w:p w14:paraId="6631EFD2" w14:textId="77777777" w:rsidR="005A25A0" w:rsidRPr="00335297" w:rsidRDefault="005A25A0" w:rsidP="0006589F">
            <w:pPr>
              <w:spacing w:after="0"/>
              <w:jc w:val="center"/>
              <w:rPr>
                <w:rFonts w:eastAsia="Times New Roman"/>
                <w:szCs w:val="20"/>
              </w:rPr>
            </w:pPr>
            <w:r w:rsidRPr="00335297">
              <w:rPr>
                <w:rFonts w:eastAsia="Times New Roman"/>
                <w:szCs w:val="20"/>
              </w:rPr>
              <w:t>0.480000</w:t>
            </w:r>
          </w:p>
        </w:tc>
        <w:tc>
          <w:tcPr>
            <w:tcW w:w="990" w:type="dxa"/>
            <w:noWrap/>
            <w:hideMark/>
          </w:tcPr>
          <w:p w14:paraId="24CA4B91" w14:textId="77777777" w:rsidR="005A25A0" w:rsidRPr="00335297" w:rsidRDefault="005A25A0" w:rsidP="0006589F">
            <w:pPr>
              <w:spacing w:after="0"/>
              <w:jc w:val="center"/>
              <w:rPr>
                <w:rFonts w:eastAsia="Times New Roman"/>
                <w:szCs w:val="20"/>
              </w:rPr>
            </w:pPr>
            <w:r w:rsidRPr="00335297">
              <w:rPr>
                <w:rFonts w:eastAsia="Times New Roman"/>
                <w:szCs w:val="20"/>
              </w:rPr>
              <w:t>0.720000</w:t>
            </w:r>
          </w:p>
        </w:tc>
        <w:tc>
          <w:tcPr>
            <w:tcW w:w="900" w:type="dxa"/>
            <w:noWrap/>
            <w:hideMark/>
          </w:tcPr>
          <w:p w14:paraId="7FC1D250" w14:textId="77777777" w:rsidR="005A25A0" w:rsidRPr="00335297" w:rsidRDefault="005A25A0" w:rsidP="0006589F">
            <w:pPr>
              <w:spacing w:after="0"/>
              <w:jc w:val="center"/>
              <w:rPr>
                <w:rFonts w:eastAsia="Times New Roman"/>
                <w:szCs w:val="20"/>
              </w:rPr>
            </w:pPr>
            <w:r w:rsidRPr="00335297">
              <w:rPr>
                <w:rFonts w:eastAsia="Times New Roman"/>
                <w:szCs w:val="20"/>
              </w:rPr>
              <w:t>0.061</w:t>
            </w:r>
          </w:p>
        </w:tc>
        <w:tc>
          <w:tcPr>
            <w:tcW w:w="751" w:type="dxa"/>
            <w:noWrap/>
            <w:hideMark/>
          </w:tcPr>
          <w:p w14:paraId="49AE42B2" w14:textId="77777777" w:rsidR="005A25A0" w:rsidRPr="00335297" w:rsidRDefault="005A25A0" w:rsidP="0006589F">
            <w:pPr>
              <w:spacing w:after="0"/>
              <w:jc w:val="center"/>
              <w:rPr>
                <w:rFonts w:eastAsia="Times New Roman"/>
                <w:szCs w:val="20"/>
              </w:rPr>
            </w:pPr>
            <w:r w:rsidRPr="00335297">
              <w:rPr>
                <w:rFonts w:eastAsia="Times New Roman"/>
                <w:szCs w:val="20"/>
              </w:rPr>
              <w:t>38</w:t>
            </w:r>
          </w:p>
        </w:tc>
        <w:tc>
          <w:tcPr>
            <w:tcW w:w="894" w:type="dxa"/>
            <w:gridSpan w:val="2"/>
            <w:noWrap/>
            <w:hideMark/>
          </w:tcPr>
          <w:p w14:paraId="3D41756A" w14:textId="77777777" w:rsidR="005A25A0" w:rsidRPr="00335297" w:rsidRDefault="005A25A0" w:rsidP="0006589F">
            <w:pPr>
              <w:spacing w:after="0"/>
              <w:jc w:val="center"/>
              <w:rPr>
                <w:rFonts w:eastAsia="Times New Roman"/>
                <w:szCs w:val="20"/>
              </w:rPr>
            </w:pPr>
            <w:r w:rsidRPr="00335297">
              <w:rPr>
                <w:rFonts w:eastAsia="Times New Roman"/>
                <w:szCs w:val="20"/>
              </w:rPr>
              <w:t>25</w:t>
            </w:r>
          </w:p>
        </w:tc>
        <w:tc>
          <w:tcPr>
            <w:tcW w:w="1235" w:type="dxa"/>
            <w:noWrap/>
            <w:hideMark/>
          </w:tcPr>
          <w:p w14:paraId="134239AE" w14:textId="77777777" w:rsidR="005A25A0" w:rsidRPr="00335297" w:rsidRDefault="005A25A0" w:rsidP="0006589F">
            <w:pPr>
              <w:spacing w:after="0"/>
              <w:jc w:val="center"/>
              <w:rPr>
                <w:rFonts w:eastAsia="Times New Roman"/>
                <w:szCs w:val="20"/>
              </w:rPr>
            </w:pPr>
            <w:r>
              <w:rPr>
                <w:rFonts w:eastAsia="Times New Roman"/>
                <w:szCs w:val="20"/>
              </w:rPr>
              <w:t>Beta</w:t>
            </w:r>
          </w:p>
        </w:tc>
      </w:tr>
      <w:tr w:rsidR="005A25A0" w:rsidRPr="008E05A4" w14:paraId="11259C68" w14:textId="77777777" w:rsidTr="0006589F">
        <w:trPr>
          <w:trHeight w:val="143"/>
        </w:trPr>
        <w:tc>
          <w:tcPr>
            <w:tcW w:w="12902" w:type="dxa"/>
            <w:gridSpan w:val="9"/>
            <w:shd w:val="clear" w:color="auto" w:fill="D9D9D9" w:themeFill="background1" w:themeFillShade="D9"/>
            <w:noWrap/>
            <w:hideMark/>
          </w:tcPr>
          <w:p w14:paraId="430E281C" w14:textId="77777777" w:rsidR="005A25A0" w:rsidRPr="00335297" w:rsidRDefault="005A25A0" w:rsidP="0006589F">
            <w:pPr>
              <w:spacing w:after="0"/>
              <w:jc w:val="center"/>
              <w:rPr>
                <w:rFonts w:eastAsia="Times New Roman"/>
                <w:szCs w:val="20"/>
              </w:rPr>
            </w:pPr>
            <w:r>
              <w:rPr>
                <w:rFonts w:eastAsia="Times New Roman"/>
                <w:b/>
                <w:szCs w:val="20"/>
              </w:rPr>
              <w:t>Current</w:t>
            </w:r>
            <w:r w:rsidRPr="008E05A4">
              <w:rPr>
                <w:rFonts w:eastAsia="Times New Roman"/>
                <w:b/>
                <w:szCs w:val="20"/>
              </w:rPr>
              <w:t xml:space="preserve"> Treatment</w:t>
            </w:r>
            <w:r>
              <w:rPr>
                <w:rFonts w:eastAsia="Times New Roman"/>
                <w:b/>
                <w:szCs w:val="20"/>
              </w:rPr>
              <w:t xml:space="preserve"> Practice</w:t>
            </w:r>
          </w:p>
        </w:tc>
      </w:tr>
      <w:tr w:rsidR="005A25A0" w:rsidRPr="008E05A4" w14:paraId="1B678E72" w14:textId="77777777" w:rsidTr="0006589F">
        <w:trPr>
          <w:trHeight w:val="53"/>
        </w:trPr>
        <w:tc>
          <w:tcPr>
            <w:tcW w:w="6332" w:type="dxa"/>
            <w:noWrap/>
            <w:hideMark/>
          </w:tcPr>
          <w:p w14:paraId="6AEDFA46" w14:textId="77777777" w:rsidR="005A25A0" w:rsidRPr="00335297" w:rsidRDefault="005A25A0" w:rsidP="0006589F">
            <w:pPr>
              <w:spacing w:after="0"/>
              <w:rPr>
                <w:rFonts w:eastAsia="Times New Roman"/>
                <w:szCs w:val="20"/>
              </w:rPr>
            </w:pPr>
            <w:r>
              <w:rPr>
                <w:rFonts w:eastAsia="Times New Roman"/>
                <w:szCs w:val="20"/>
              </w:rPr>
              <w:t>P</w:t>
            </w:r>
            <w:r w:rsidRPr="00335297">
              <w:rPr>
                <w:rFonts w:eastAsia="Times New Roman"/>
                <w:szCs w:val="20"/>
              </w:rPr>
              <w:t xml:space="preserve">atients using </w:t>
            </w:r>
            <w:r>
              <w:rPr>
                <w:rFonts w:eastAsia="Times New Roman"/>
                <w:szCs w:val="20"/>
              </w:rPr>
              <w:t>CS</w:t>
            </w:r>
            <w:r w:rsidRPr="00335297">
              <w:rPr>
                <w:rFonts w:eastAsia="Times New Roman"/>
                <w:szCs w:val="20"/>
              </w:rPr>
              <w:t xml:space="preserve"> to treat Crohn's</w:t>
            </w:r>
          </w:p>
        </w:tc>
        <w:tc>
          <w:tcPr>
            <w:tcW w:w="6570" w:type="dxa"/>
            <w:gridSpan w:val="8"/>
            <w:noWrap/>
            <w:hideMark/>
          </w:tcPr>
          <w:p w14:paraId="46A74DFC" w14:textId="77777777" w:rsidR="005A25A0" w:rsidRPr="00335297" w:rsidRDefault="005A25A0" w:rsidP="0006589F">
            <w:pPr>
              <w:spacing w:after="0"/>
              <w:jc w:val="center"/>
              <w:rPr>
                <w:rFonts w:eastAsia="Times New Roman"/>
                <w:szCs w:val="20"/>
              </w:rPr>
            </w:pPr>
            <w:r>
              <w:rPr>
                <w:rFonts w:eastAsia="Times New Roman"/>
                <w:szCs w:val="20"/>
              </w:rPr>
              <w:t>Equals 1 – proportion using anti-TNF; not varied in PSA</w:t>
            </w:r>
          </w:p>
        </w:tc>
      </w:tr>
      <w:tr w:rsidR="005A25A0" w:rsidRPr="008E05A4" w14:paraId="7E90A0C6" w14:textId="77777777" w:rsidTr="0006589F">
        <w:trPr>
          <w:trHeight w:val="53"/>
        </w:trPr>
        <w:tc>
          <w:tcPr>
            <w:tcW w:w="6332" w:type="dxa"/>
            <w:noWrap/>
            <w:hideMark/>
          </w:tcPr>
          <w:p w14:paraId="6ED07358" w14:textId="77777777" w:rsidR="005A25A0" w:rsidRPr="00335297" w:rsidRDefault="005A25A0" w:rsidP="0006589F">
            <w:pPr>
              <w:spacing w:after="0"/>
              <w:rPr>
                <w:rFonts w:eastAsia="Times New Roman"/>
                <w:szCs w:val="20"/>
              </w:rPr>
            </w:pPr>
            <w:r>
              <w:rPr>
                <w:rFonts w:eastAsia="Times New Roman"/>
                <w:szCs w:val="20"/>
              </w:rPr>
              <w:t>P</w:t>
            </w:r>
            <w:r w:rsidRPr="00335297">
              <w:rPr>
                <w:rFonts w:eastAsia="Times New Roman"/>
                <w:szCs w:val="20"/>
              </w:rPr>
              <w:t>atients using anti-TNF therapy to treat Crohn's</w:t>
            </w:r>
          </w:p>
        </w:tc>
        <w:tc>
          <w:tcPr>
            <w:tcW w:w="900" w:type="dxa"/>
            <w:noWrap/>
            <w:hideMark/>
          </w:tcPr>
          <w:p w14:paraId="4DE5DF32" w14:textId="77777777" w:rsidR="005A25A0" w:rsidRPr="00335297" w:rsidRDefault="005A25A0" w:rsidP="0006589F">
            <w:pPr>
              <w:spacing w:after="0"/>
              <w:jc w:val="center"/>
              <w:rPr>
                <w:rFonts w:eastAsia="Times New Roman"/>
                <w:szCs w:val="20"/>
              </w:rPr>
            </w:pPr>
            <w:r w:rsidRPr="00335297">
              <w:rPr>
                <w:rFonts w:eastAsia="Times New Roman"/>
                <w:szCs w:val="20"/>
              </w:rPr>
              <w:t>0.150</w:t>
            </w:r>
          </w:p>
        </w:tc>
        <w:tc>
          <w:tcPr>
            <w:tcW w:w="900" w:type="dxa"/>
            <w:noWrap/>
            <w:hideMark/>
          </w:tcPr>
          <w:p w14:paraId="06B04E1F" w14:textId="77777777" w:rsidR="005A25A0" w:rsidRPr="00335297" w:rsidRDefault="005A25A0" w:rsidP="0006589F">
            <w:pPr>
              <w:spacing w:after="0"/>
              <w:jc w:val="center"/>
              <w:rPr>
                <w:rFonts w:eastAsia="Times New Roman"/>
                <w:szCs w:val="20"/>
              </w:rPr>
            </w:pPr>
            <w:r w:rsidRPr="00335297">
              <w:rPr>
                <w:rFonts w:eastAsia="Times New Roman"/>
                <w:szCs w:val="20"/>
              </w:rPr>
              <w:t>0.120</w:t>
            </w:r>
          </w:p>
        </w:tc>
        <w:tc>
          <w:tcPr>
            <w:tcW w:w="990" w:type="dxa"/>
            <w:noWrap/>
            <w:hideMark/>
          </w:tcPr>
          <w:p w14:paraId="34B19D48" w14:textId="77777777" w:rsidR="005A25A0" w:rsidRPr="00335297" w:rsidRDefault="005A25A0" w:rsidP="0006589F">
            <w:pPr>
              <w:spacing w:after="0"/>
              <w:jc w:val="center"/>
              <w:rPr>
                <w:rFonts w:eastAsia="Times New Roman"/>
                <w:szCs w:val="20"/>
              </w:rPr>
            </w:pPr>
            <w:r w:rsidRPr="00335297">
              <w:rPr>
                <w:rFonts w:eastAsia="Times New Roman"/>
                <w:szCs w:val="20"/>
              </w:rPr>
              <w:t>0.180</w:t>
            </w:r>
          </w:p>
        </w:tc>
        <w:tc>
          <w:tcPr>
            <w:tcW w:w="900" w:type="dxa"/>
            <w:noWrap/>
            <w:hideMark/>
          </w:tcPr>
          <w:p w14:paraId="1CEB9878" w14:textId="77777777" w:rsidR="005A25A0" w:rsidRPr="00335297" w:rsidRDefault="005A25A0" w:rsidP="0006589F">
            <w:pPr>
              <w:spacing w:after="0"/>
              <w:jc w:val="center"/>
              <w:rPr>
                <w:rFonts w:eastAsia="Times New Roman"/>
                <w:szCs w:val="20"/>
              </w:rPr>
            </w:pPr>
            <w:r w:rsidRPr="00335297">
              <w:rPr>
                <w:rFonts w:eastAsia="Times New Roman"/>
                <w:szCs w:val="20"/>
              </w:rPr>
              <w:t>0.015</w:t>
            </w:r>
          </w:p>
        </w:tc>
        <w:tc>
          <w:tcPr>
            <w:tcW w:w="751" w:type="dxa"/>
            <w:noWrap/>
            <w:hideMark/>
          </w:tcPr>
          <w:p w14:paraId="1544E7BF" w14:textId="77777777" w:rsidR="005A25A0" w:rsidRPr="00335297" w:rsidRDefault="005A25A0" w:rsidP="0006589F">
            <w:pPr>
              <w:spacing w:after="0"/>
              <w:jc w:val="center"/>
              <w:rPr>
                <w:rFonts w:eastAsia="Times New Roman"/>
                <w:szCs w:val="20"/>
              </w:rPr>
            </w:pPr>
            <w:r w:rsidRPr="00335297">
              <w:rPr>
                <w:rFonts w:eastAsia="Times New Roman"/>
                <w:szCs w:val="20"/>
              </w:rPr>
              <w:t>81</w:t>
            </w:r>
          </w:p>
        </w:tc>
        <w:tc>
          <w:tcPr>
            <w:tcW w:w="894" w:type="dxa"/>
            <w:gridSpan w:val="2"/>
            <w:noWrap/>
            <w:hideMark/>
          </w:tcPr>
          <w:p w14:paraId="0F7B4E0D" w14:textId="77777777" w:rsidR="005A25A0" w:rsidRPr="00335297" w:rsidRDefault="005A25A0" w:rsidP="0006589F">
            <w:pPr>
              <w:spacing w:after="0"/>
              <w:jc w:val="center"/>
              <w:rPr>
                <w:rFonts w:eastAsia="Times New Roman"/>
                <w:szCs w:val="20"/>
              </w:rPr>
            </w:pPr>
            <w:r w:rsidRPr="00335297">
              <w:rPr>
                <w:rFonts w:eastAsia="Times New Roman"/>
                <w:szCs w:val="20"/>
              </w:rPr>
              <w:t>462</w:t>
            </w:r>
          </w:p>
        </w:tc>
        <w:tc>
          <w:tcPr>
            <w:tcW w:w="1235" w:type="dxa"/>
            <w:noWrap/>
            <w:hideMark/>
          </w:tcPr>
          <w:p w14:paraId="086DFD07" w14:textId="77777777" w:rsidR="005A25A0" w:rsidRPr="00335297" w:rsidRDefault="005A25A0" w:rsidP="0006589F">
            <w:pPr>
              <w:spacing w:after="0"/>
              <w:jc w:val="center"/>
              <w:rPr>
                <w:rFonts w:eastAsia="Times New Roman"/>
                <w:szCs w:val="20"/>
              </w:rPr>
            </w:pPr>
            <w:r>
              <w:rPr>
                <w:rFonts w:eastAsia="Times New Roman"/>
                <w:szCs w:val="20"/>
              </w:rPr>
              <w:t>Beta</w:t>
            </w:r>
          </w:p>
        </w:tc>
      </w:tr>
      <w:tr w:rsidR="005A25A0" w:rsidRPr="008E05A4" w14:paraId="53AB72D3" w14:textId="77777777" w:rsidTr="0006589F">
        <w:trPr>
          <w:trHeight w:val="53"/>
        </w:trPr>
        <w:tc>
          <w:tcPr>
            <w:tcW w:w="12902" w:type="dxa"/>
            <w:gridSpan w:val="9"/>
            <w:shd w:val="clear" w:color="auto" w:fill="D9D9D9" w:themeFill="background1" w:themeFillShade="D9"/>
            <w:noWrap/>
            <w:hideMark/>
          </w:tcPr>
          <w:p w14:paraId="0D74C4B8" w14:textId="77777777" w:rsidR="005A25A0" w:rsidRPr="00335297" w:rsidRDefault="005A25A0" w:rsidP="0006589F">
            <w:pPr>
              <w:spacing w:after="0"/>
              <w:jc w:val="center"/>
              <w:rPr>
                <w:rFonts w:eastAsia="Times New Roman"/>
                <w:b/>
                <w:szCs w:val="20"/>
              </w:rPr>
            </w:pPr>
            <w:r w:rsidRPr="008E05A4">
              <w:rPr>
                <w:rFonts w:eastAsia="Times New Roman"/>
                <w:b/>
                <w:szCs w:val="20"/>
              </w:rPr>
              <w:t>Treatment</w:t>
            </w:r>
            <w:r>
              <w:rPr>
                <w:rFonts w:eastAsia="Times New Roman"/>
                <w:b/>
                <w:szCs w:val="20"/>
              </w:rPr>
              <w:t>-R</w:t>
            </w:r>
            <w:r w:rsidRPr="008E05A4">
              <w:rPr>
                <w:rFonts w:eastAsia="Times New Roman"/>
                <w:b/>
                <w:szCs w:val="20"/>
              </w:rPr>
              <w:t xml:space="preserve">elated </w:t>
            </w:r>
            <w:r>
              <w:rPr>
                <w:rFonts w:eastAsia="Times New Roman"/>
                <w:b/>
                <w:szCs w:val="20"/>
              </w:rPr>
              <w:t>P</w:t>
            </w:r>
            <w:r w:rsidRPr="008E05A4">
              <w:rPr>
                <w:rFonts w:eastAsia="Times New Roman"/>
                <w:b/>
                <w:szCs w:val="20"/>
              </w:rPr>
              <w:t>arameters</w:t>
            </w:r>
          </w:p>
        </w:tc>
      </w:tr>
      <w:tr w:rsidR="005A25A0" w:rsidRPr="008E05A4" w14:paraId="170AAF46" w14:textId="77777777" w:rsidTr="0006589F">
        <w:trPr>
          <w:trHeight w:val="53"/>
        </w:trPr>
        <w:tc>
          <w:tcPr>
            <w:tcW w:w="6332" w:type="dxa"/>
            <w:noWrap/>
            <w:hideMark/>
          </w:tcPr>
          <w:p w14:paraId="7360FA64" w14:textId="77777777" w:rsidR="005A25A0" w:rsidRPr="00335297" w:rsidRDefault="005A25A0" w:rsidP="0006589F">
            <w:pPr>
              <w:spacing w:after="0"/>
              <w:rPr>
                <w:rFonts w:eastAsia="Times New Roman"/>
                <w:szCs w:val="20"/>
              </w:rPr>
            </w:pPr>
            <w:r>
              <w:rPr>
                <w:rFonts w:eastAsia="Times New Roman"/>
                <w:szCs w:val="20"/>
              </w:rPr>
              <w:t>S</w:t>
            </w:r>
            <w:r w:rsidRPr="00335297">
              <w:rPr>
                <w:rFonts w:eastAsia="Times New Roman"/>
                <w:szCs w:val="20"/>
              </w:rPr>
              <w:t>top anti-TNF treatment each year</w:t>
            </w:r>
          </w:p>
        </w:tc>
        <w:tc>
          <w:tcPr>
            <w:tcW w:w="900" w:type="dxa"/>
            <w:noWrap/>
            <w:hideMark/>
          </w:tcPr>
          <w:p w14:paraId="6A72C430" w14:textId="77777777" w:rsidR="005A25A0" w:rsidRPr="00335297" w:rsidRDefault="005A25A0" w:rsidP="0006589F">
            <w:pPr>
              <w:spacing w:after="0"/>
              <w:jc w:val="center"/>
              <w:rPr>
                <w:rFonts w:eastAsia="Times New Roman"/>
                <w:szCs w:val="20"/>
              </w:rPr>
            </w:pPr>
            <w:r w:rsidRPr="00335297">
              <w:rPr>
                <w:rFonts w:eastAsia="Times New Roman"/>
                <w:szCs w:val="20"/>
              </w:rPr>
              <w:t>0.480</w:t>
            </w:r>
          </w:p>
        </w:tc>
        <w:tc>
          <w:tcPr>
            <w:tcW w:w="900" w:type="dxa"/>
            <w:noWrap/>
            <w:hideMark/>
          </w:tcPr>
          <w:p w14:paraId="4FDD5B00" w14:textId="77777777" w:rsidR="005A25A0" w:rsidRPr="00335297" w:rsidRDefault="005A25A0" w:rsidP="0006589F">
            <w:pPr>
              <w:spacing w:after="0"/>
              <w:jc w:val="center"/>
              <w:rPr>
                <w:rFonts w:eastAsia="Times New Roman"/>
                <w:szCs w:val="20"/>
              </w:rPr>
            </w:pPr>
            <w:r w:rsidRPr="00335297">
              <w:rPr>
                <w:rFonts w:eastAsia="Times New Roman"/>
                <w:szCs w:val="20"/>
              </w:rPr>
              <w:t>0.384</w:t>
            </w:r>
          </w:p>
        </w:tc>
        <w:tc>
          <w:tcPr>
            <w:tcW w:w="990" w:type="dxa"/>
            <w:noWrap/>
            <w:hideMark/>
          </w:tcPr>
          <w:p w14:paraId="79F8E89C" w14:textId="77777777" w:rsidR="005A25A0" w:rsidRPr="00335297" w:rsidRDefault="005A25A0" w:rsidP="0006589F">
            <w:pPr>
              <w:spacing w:after="0"/>
              <w:jc w:val="center"/>
              <w:rPr>
                <w:rFonts w:eastAsia="Times New Roman"/>
                <w:szCs w:val="20"/>
              </w:rPr>
            </w:pPr>
            <w:r w:rsidRPr="00335297">
              <w:rPr>
                <w:rFonts w:eastAsia="Times New Roman"/>
                <w:szCs w:val="20"/>
              </w:rPr>
              <w:t>0.576</w:t>
            </w:r>
          </w:p>
        </w:tc>
        <w:tc>
          <w:tcPr>
            <w:tcW w:w="900" w:type="dxa"/>
            <w:noWrap/>
            <w:hideMark/>
          </w:tcPr>
          <w:p w14:paraId="5D00B22A" w14:textId="77777777" w:rsidR="005A25A0" w:rsidRPr="00335297" w:rsidRDefault="005A25A0" w:rsidP="0006589F">
            <w:pPr>
              <w:spacing w:after="0"/>
              <w:jc w:val="center"/>
              <w:rPr>
                <w:rFonts w:eastAsia="Times New Roman"/>
                <w:szCs w:val="20"/>
              </w:rPr>
            </w:pPr>
            <w:r w:rsidRPr="00335297">
              <w:rPr>
                <w:rFonts w:eastAsia="Times New Roman"/>
                <w:szCs w:val="20"/>
              </w:rPr>
              <w:t>0.049</w:t>
            </w:r>
          </w:p>
        </w:tc>
        <w:tc>
          <w:tcPr>
            <w:tcW w:w="751" w:type="dxa"/>
            <w:noWrap/>
            <w:hideMark/>
          </w:tcPr>
          <w:p w14:paraId="7EBFDB15" w14:textId="77777777" w:rsidR="005A25A0" w:rsidRPr="00335297" w:rsidRDefault="005A25A0" w:rsidP="0006589F">
            <w:pPr>
              <w:spacing w:after="0"/>
              <w:jc w:val="center"/>
              <w:rPr>
                <w:rFonts w:eastAsia="Times New Roman"/>
                <w:szCs w:val="20"/>
              </w:rPr>
            </w:pPr>
            <w:r w:rsidRPr="00335297">
              <w:rPr>
                <w:rFonts w:eastAsia="Times New Roman"/>
                <w:szCs w:val="20"/>
              </w:rPr>
              <w:t>49</w:t>
            </w:r>
          </w:p>
        </w:tc>
        <w:tc>
          <w:tcPr>
            <w:tcW w:w="894" w:type="dxa"/>
            <w:gridSpan w:val="2"/>
            <w:noWrap/>
            <w:hideMark/>
          </w:tcPr>
          <w:p w14:paraId="2144AF10" w14:textId="77777777" w:rsidR="005A25A0" w:rsidRPr="00335297" w:rsidRDefault="005A25A0" w:rsidP="0006589F">
            <w:pPr>
              <w:spacing w:after="0"/>
              <w:jc w:val="center"/>
              <w:rPr>
                <w:rFonts w:eastAsia="Times New Roman"/>
                <w:szCs w:val="20"/>
              </w:rPr>
            </w:pPr>
            <w:r w:rsidRPr="00335297">
              <w:rPr>
                <w:rFonts w:eastAsia="Times New Roman"/>
                <w:szCs w:val="20"/>
              </w:rPr>
              <w:t>54</w:t>
            </w:r>
          </w:p>
        </w:tc>
        <w:tc>
          <w:tcPr>
            <w:tcW w:w="1235" w:type="dxa"/>
            <w:noWrap/>
            <w:hideMark/>
          </w:tcPr>
          <w:p w14:paraId="62FCCB28" w14:textId="77777777" w:rsidR="005A25A0" w:rsidRPr="00335297" w:rsidRDefault="005A25A0" w:rsidP="0006589F">
            <w:pPr>
              <w:spacing w:after="0"/>
              <w:jc w:val="center"/>
              <w:rPr>
                <w:rFonts w:eastAsia="Times New Roman"/>
                <w:szCs w:val="20"/>
              </w:rPr>
            </w:pPr>
            <w:r>
              <w:rPr>
                <w:rFonts w:eastAsia="Times New Roman"/>
                <w:szCs w:val="20"/>
              </w:rPr>
              <w:t>Beta</w:t>
            </w:r>
          </w:p>
        </w:tc>
      </w:tr>
      <w:tr w:rsidR="005A25A0" w:rsidRPr="008E05A4" w14:paraId="63095923" w14:textId="77777777" w:rsidTr="0006589F">
        <w:trPr>
          <w:trHeight w:val="53"/>
        </w:trPr>
        <w:tc>
          <w:tcPr>
            <w:tcW w:w="6332" w:type="dxa"/>
            <w:noWrap/>
            <w:hideMark/>
          </w:tcPr>
          <w:p w14:paraId="0FF2DFEF" w14:textId="77777777" w:rsidR="005A25A0" w:rsidRPr="00335297" w:rsidRDefault="005A25A0" w:rsidP="0006589F">
            <w:pPr>
              <w:spacing w:after="0"/>
              <w:rPr>
                <w:rFonts w:eastAsia="Times New Roman"/>
                <w:szCs w:val="20"/>
              </w:rPr>
            </w:pPr>
            <w:r>
              <w:rPr>
                <w:rFonts w:eastAsia="Times New Roman"/>
                <w:szCs w:val="20"/>
              </w:rPr>
              <w:t>S</w:t>
            </w:r>
            <w:r w:rsidRPr="00335297">
              <w:rPr>
                <w:rFonts w:eastAsia="Times New Roman"/>
                <w:szCs w:val="20"/>
              </w:rPr>
              <w:t>top CS treatment each year</w:t>
            </w:r>
          </w:p>
        </w:tc>
        <w:tc>
          <w:tcPr>
            <w:tcW w:w="6570" w:type="dxa"/>
            <w:gridSpan w:val="8"/>
            <w:noWrap/>
            <w:hideMark/>
          </w:tcPr>
          <w:p w14:paraId="73857C95" w14:textId="77777777" w:rsidR="005A25A0" w:rsidRPr="00335297" w:rsidRDefault="005A25A0" w:rsidP="0006589F">
            <w:pPr>
              <w:spacing w:after="0"/>
              <w:jc w:val="center"/>
              <w:rPr>
                <w:rFonts w:eastAsia="Times New Roman"/>
                <w:szCs w:val="20"/>
              </w:rPr>
            </w:pPr>
            <w:r>
              <w:rPr>
                <w:rFonts w:eastAsia="Times New Roman"/>
                <w:szCs w:val="20"/>
              </w:rPr>
              <w:t>Equals P (stopping anti-TNF); not varied in PSA</w:t>
            </w:r>
          </w:p>
        </w:tc>
      </w:tr>
      <w:tr w:rsidR="005A25A0" w:rsidRPr="008E05A4" w14:paraId="32561AFB" w14:textId="77777777" w:rsidTr="0006589F">
        <w:trPr>
          <w:trHeight w:val="53"/>
        </w:trPr>
        <w:tc>
          <w:tcPr>
            <w:tcW w:w="12902" w:type="dxa"/>
            <w:gridSpan w:val="9"/>
            <w:shd w:val="clear" w:color="auto" w:fill="D9D9D9" w:themeFill="background1" w:themeFillShade="D9"/>
            <w:noWrap/>
            <w:hideMark/>
          </w:tcPr>
          <w:p w14:paraId="78AD7B0A" w14:textId="77777777" w:rsidR="005A25A0" w:rsidRPr="00335297" w:rsidRDefault="005A25A0" w:rsidP="0006589F">
            <w:pPr>
              <w:keepNext/>
              <w:spacing w:after="0"/>
              <w:jc w:val="center"/>
              <w:rPr>
                <w:rFonts w:eastAsia="Times New Roman"/>
                <w:b/>
                <w:szCs w:val="20"/>
              </w:rPr>
            </w:pPr>
            <w:r w:rsidRPr="00C34E84">
              <w:rPr>
                <w:b/>
              </w:rPr>
              <w:t>Lewis et al., 2018</w:t>
            </w:r>
          </w:p>
        </w:tc>
      </w:tr>
      <w:tr w:rsidR="005A25A0" w:rsidRPr="008E05A4" w14:paraId="74DF739C" w14:textId="77777777" w:rsidTr="0006589F">
        <w:trPr>
          <w:trHeight w:val="71"/>
        </w:trPr>
        <w:tc>
          <w:tcPr>
            <w:tcW w:w="12902" w:type="dxa"/>
            <w:gridSpan w:val="9"/>
            <w:shd w:val="clear" w:color="auto" w:fill="F2F2F2" w:themeFill="background1" w:themeFillShade="F2"/>
            <w:noWrap/>
            <w:hideMark/>
          </w:tcPr>
          <w:p w14:paraId="2C55DBD6" w14:textId="77777777" w:rsidR="005A25A0" w:rsidRPr="00335297" w:rsidRDefault="005A25A0" w:rsidP="0006589F">
            <w:pPr>
              <w:spacing w:after="0"/>
              <w:jc w:val="center"/>
              <w:rPr>
                <w:rFonts w:eastAsia="Times New Roman"/>
                <w:b/>
                <w:i/>
                <w:szCs w:val="20"/>
              </w:rPr>
            </w:pPr>
            <w:r>
              <w:rPr>
                <w:rFonts w:eastAsia="Times New Roman"/>
                <w:b/>
                <w:i/>
                <w:szCs w:val="20"/>
              </w:rPr>
              <w:t>CS</w:t>
            </w:r>
            <w:r w:rsidRPr="00335297">
              <w:rPr>
                <w:rFonts w:eastAsia="Times New Roman"/>
                <w:b/>
                <w:i/>
                <w:szCs w:val="20"/>
              </w:rPr>
              <w:t xml:space="preserve"> </w:t>
            </w:r>
            <w:r>
              <w:rPr>
                <w:rFonts w:eastAsia="Times New Roman"/>
                <w:b/>
                <w:i/>
                <w:szCs w:val="20"/>
              </w:rPr>
              <w:t>T</w:t>
            </w:r>
            <w:r w:rsidRPr="00335297">
              <w:rPr>
                <w:rFonts w:eastAsia="Times New Roman"/>
                <w:b/>
                <w:i/>
                <w:szCs w:val="20"/>
              </w:rPr>
              <w:t xml:space="preserve">reatment for Crohn's </w:t>
            </w:r>
            <w:r>
              <w:rPr>
                <w:rFonts w:eastAsia="Times New Roman"/>
                <w:b/>
                <w:i/>
                <w:szCs w:val="20"/>
              </w:rPr>
              <w:t>D</w:t>
            </w:r>
            <w:r w:rsidRPr="00335297">
              <w:rPr>
                <w:rFonts w:eastAsia="Times New Roman"/>
                <w:b/>
                <w:i/>
                <w:szCs w:val="20"/>
              </w:rPr>
              <w:t>isease</w:t>
            </w:r>
          </w:p>
        </w:tc>
      </w:tr>
      <w:tr w:rsidR="005A25A0" w:rsidRPr="008E05A4" w14:paraId="15630C24" w14:textId="77777777" w:rsidTr="0006589F">
        <w:trPr>
          <w:trHeight w:val="53"/>
        </w:trPr>
        <w:tc>
          <w:tcPr>
            <w:tcW w:w="6332" w:type="dxa"/>
            <w:noWrap/>
            <w:hideMark/>
          </w:tcPr>
          <w:p w14:paraId="3B6323D4" w14:textId="77777777" w:rsidR="005A25A0" w:rsidRPr="00335297" w:rsidRDefault="005A25A0" w:rsidP="0006589F">
            <w:pPr>
              <w:spacing w:after="0"/>
              <w:rPr>
                <w:rFonts w:eastAsia="Times New Roman"/>
                <w:szCs w:val="20"/>
              </w:rPr>
            </w:pPr>
            <w:r w:rsidRPr="00335297">
              <w:rPr>
                <w:rFonts w:eastAsia="Times New Roman"/>
                <w:szCs w:val="20"/>
              </w:rPr>
              <w:t>Death</w:t>
            </w:r>
          </w:p>
        </w:tc>
        <w:tc>
          <w:tcPr>
            <w:tcW w:w="900" w:type="dxa"/>
            <w:noWrap/>
            <w:hideMark/>
          </w:tcPr>
          <w:p w14:paraId="6562551A" w14:textId="77777777" w:rsidR="005A25A0" w:rsidRPr="00335297" w:rsidRDefault="005A25A0" w:rsidP="0006589F">
            <w:pPr>
              <w:spacing w:after="0"/>
              <w:jc w:val="center"/>
              <w:rPr>
                <w:rFonts w:eastAsia="Times New Roman"/>
                <w:szCs w:val="20"/>
              </w:rPr>
            </w:pPr>
            <w:r w:rsidRPr="00335297">
              <w:rPr>
                <w:rFonts w:eastAsia="Times New Roman"/>
                <w:szCs w:val="20"/>
              </w:rPr>
              <w:t>0.0301</w:t>
            </w:r>
          </w:p>
        </w:tc>
        <w:tc>
          <w:tcPr>
            <w:tcW w:w="900" w:type="dxa"/>
            <w:noWrap/>
            <w:hideMark/>
          </w:tcPr>
          <w:p w14:paraId="0867C587" w14:textId="77777777" w:rsidR="005A25A0" w:rsidRPr="00335297" w:rsidRDefault="005A25A0" w:rsidP="0006589F">
            <w:pPr>
              <w:spacing w:after="0"/>
              <w:jc w:val="center"/>
              <w:rPr>
                <w:rFonts w:eastAsia="Times New Roman"/>
                <w:szCs w:val="20"/>
              </w:rPr>
            </w:pPr>
            <w:r w:rsidRPr="00335297">
              <w:rPr>
                <w:rFonts w:eastAsia="Times New Roman"/>
                <w:szCs w:val="20"/>
              </w:rPr>
              <w:t>0.024</w:t>
            </w:r>
          </w:p>
        </w:tc>
        <w:tc>
          <w:tcPr>
            <w:tcW w:w="990" w:type="dxa"/>
            <w:noWrap/>
            <w:hideMark/>
          </w:tcPr>
          <w:p w14:paraId="101181EB" w14:textId="77777777" w:rsidR="005A25A0" w:rsidRPr="00335297" w:rsidRDefault="005A25A0" w:rsidP="0006589F">
            <w:pPr>
              <w:spacing w:after="0"/>
              <w:jc w:val="center"/>
              <w:rPr>
                <w:rFonts w:eastAsia="Times New Roman"/>
                <w:szCs w:val="20"/>
              </w:rPr>
            </w:pPr>
            <w:r w:rsidRPr="00335297">
              <w:rPr>
                <w:rFonts w:eastAsia="Times New Roman"/>
                <w:szCs w:val="20"/>
              </w:rPr>
              <w:t>0.036</w:t>
            </w:r>
          </w:p>
        </w:tc>
        <w:tc>
          <w:tcPr>
            <w:tcW w:w="900" w:type="dxa"/>
            <w:noWrap/>
            <w:hideMark/>
          </w:tcPr>
          <w:p w14:paraId="0AB1DEDA" w14:textId="77777777" w:rsidR="005A25A0" w:rsidRPr="00335297" w:rsidRDefault="005A25A0" w:rsidP="0006589F">
            <w:pPr>
              <w:spacing w:after="0"/>
              <w:jc w:val="center"/>
              <w:rPr>
                <w:rFonts w:eastAsia="Times New Roman"/>
                <w:szCs w:val="20"/>
              </w:rPr>
            </w:pPr>
            <w:r w:rsidRPr="00335297">
              <w:rPr>
                <w:rFonts w:eastAsia="Times New Roman"/>
                <w:szCs w:val="20"/>
              </w:rPr>
              <w:t>0.003</w:t>
            </w:r>
          </w:p>
        </w:tc>
        <w:tc>
          <w:tcPr>
            <w:tcW w:w="751" w:type="dxa"/>
            <w:noWrap/>
            <w:hideMark/>
          </w:tcPr>
          <w:p w14:paraId="64BF19CD" w14:textId="77777777" w:rsidR="005A25A0" w:rsidRPr="00335297" w:rsidRDefault="005A25A0" w:rsidP="0006589F">
            <w:pPr>
              <w:spacing w:after="0"/>
              <w:jc w:val="center"/>
              <w:rPr>
                <w:rFonts w:eastAsia="Times New Roman"/>
                <w:szCs w:val="20"/>
              </w:rPr>
            </w:pPr>
            <w:r w:rsidRPr="00335297">
              <w:rPr>
                <w:rFonts w:eastAsia="Times New Roman"/>
                <w:szCs w:val="20"/>
              </w:rPr>
              <w:t>93</w:t>
            </w:r>
          </w:p>
        </w:tc>
        <w:tc>
          <w:tcPr>
            <w:tcW w:w="894" w:type="dxa"/>
            <w:gridSpan w:val="2"/>
            <w:noWrap/>
            <w:hideMark/>
          </w:tcPr>
          <w:p w14:paraId="124DA7B0" w14:textId="77777777" w:rsidR="005A25A0" w:rsidRPr="00335297" w:rsidRDefault="005A25A0" w:rsidP="0006589F">
            <w:pPr>
              <w:spacing w:after="0"/>
              <w:jc w:val="center"/>
              <w:rPr>
                <w:rFonts w:eastAsia="Times New Roman"/>
                <w:szCs w:val="20"/>
              </w:rPr>
            </w:pPr>
            <w:r w:rsidRPr="00335297">
              <w:rPr>
                <w:rFonts w:eastAsia="Times New Roman"/>
                <w:szCs w:val="20"/>
              </w:rPr>
              <w:t>3001</w:t>
            </w:r>
          </w:p>
        </w:tc>
        <w:tc>
          <w:tcPr>
            <w:tcW w:w="1235" w:type="dxa"/>
            <w:noWrap/>
            <w:hideMark/>
          </w:tcPr>
          <w:p w14:paraId="4826D916" w14:textId="77777777" w:rsidR="005A25A0" w:rsidRPr="00335297" w:rsidRDefault="005A25A0" w:rsidP="0006589F">
            <w:pPr>
              <w:spacing w:after="0"/>
              <w:jc w:val="center"/>
              <w:rPr>
                <w:rFonts w:eastAsia="Times New Roman"/>
                <w:szCs w:val="20"/>
              </w:rPr>
            </w:pPr>
            <w:r w:rsidRPr="00335297">
              <w:rPr>
                <w:rFonts w:eastAsia="Times New Roman"/>
                <w:szCs w:val="20"/>
              </w:rPr>
              <w:t>Beta</w:t>
            </w:r>
          </w:p>
        </w:tc>
      </w:tr>
      <w:tr w:rsidR="005A25A0" w:rsidRPr="008E05A4" w14:paraId="06800EC9" w14:textId="77777777" w:rsidTr="0006589F">
        <w:trPr>
          <w:trHeight w:val="53"/>
        </w:trPr>
        <w:tc>
          <w:tcPr>
            <w:tcW w:w="6332" w:type="dxa"/>
            <w:noWrap/>
            <w:hideMark/>
          </w:tcPr>
          <w:p w14:paraId="13D5912E" w14:textId="77777777" w:rsidR="005A25A0" w:rsidRPr="00335297" w:rsidRDefault="005A25A0" w:rsidP="0006589F">
            <w:pPr>
              <w:spacing w:after="0"/>
              <w:rPr>
                <w:rFonts w:eastAsia="Times New Roman"/>
                <w:szCs w:val="20"/>
              </w:rPr>
            </w:pPr>
            <w:r w:rsidRPr="00335297">
              <w:rPr>
                <w:rFonts w:eastAsia="Times New Roman"/>
                <w:szCs w:val="20"/>
              </w:rPr>
              <w:t>Hip fracture</w:t>
            </w:r>
          </w:p>
        </w:tc>
        <w:tc>
          <w:tcPr>
            <w:tcW w:w="900" w:type="dxa"/>
            <w:noWrap/>
            <w:hideMark/>
          </w:tcPr>
          <w:p w14:paraId="032F4BDC" w14:textId="77777777" w:rsidR="005A25A0" w:rsidRPr="00335297" w:rsidRDefault="005A25A0" w:rsidP="0006589F">
            <w:pPr>
              <w:spacing w:after="0"/>
              <w:jc w:val="center"/>
              <w:rPr>
                <w:rFonts w:eastAsia="Times New Roman"/>
                <w:szCs w:val="20"/>
              </w:rPr>
            </w:pPr>
            <w:r w:rsidRPr="00335297">
              <w:rPr>
                <w:rFonts w:eastAsia="Times New Roman"/>
                <w:szCs w:val="20"/>
              </w:rPr>
              <w:t>0.0065</w:t>
            </w:r>
          </w:p>
        </w:tc>
        <w:tc>
          <w:tcPr>
            <w:tcW w:w="900" w:type="dxa"/>
            <w:noWrap/>
            <w:hideMark/>
          </w:tcPr>
          <w:p w14:paraId="487DE899" w14:textId="77777777" w:rsidR="005A25A0" w:rsidRPr="00335297" w:rsidRDefault="005A25A0" w:rsidP="0006589F">
            <w:pPr>
              <w:spacing w:after="0"/>
              <w:jc w:val="center"/>
              <w:rPr>
                <w:rFonts w:eastAsia="Times New Roman"/>
                <w:szCs w:val="20"/>
              </w:rPr>
            </w:pPr>
            <w:r w:rsidRPr="00335297">
              <w:rPr>
                <w:rFonts w:eastAsia="Times New Roman"/>
                <w:szCs w:val="20"/>
              </w:rPr>
              <w:t>0.005</w:t>
            </w:r>
          </w:p>
        </w:tc>
        <w:tc>
          <w:tcPr>
            <w:tcW w:w="990" w:type="dxa"/>
            <w:noWrap/>
            <w:hideMark/>
          </w:tcPr>
          <w:p w14:paraId="21511FD6" w14:textId="77777777" w:rsidR="005A25A0" w:rsidRPr="00335297" w:rsidRDefault="005A25A0" w:rsidP="0006589F">
            <w:pPr>
              <w:spacing w:after="0"/>
              <w:jc w:val="center"/>
              <w:rPr>
                <w:rFonts w:eastAsia="Times New Roman"/>
                <w:szCs w:val="20"/>
              </w:rPr>
            </w:pPr>
            <w:r w:rsidRPr="00335297">
              <w:rPr>
                <w:rFonts w:eastAsia="Times New Roman"/>
                <w:szCs w:val="20"/>
              </w:rPr>
              <w:t>0.008</w:t>
            </w:r>
          </w:p>
        </w:tc>
        <w:tc>
          <w:tcPr>
            <w:tcW w:w="900" w:type="dxa"/>
            <w:noWrap/>
            <w:hideMark/>
          </w:tcPr>
          <w:p w14:paraId="403F0E96" w14:textId="77777777" w:rsidR="005A25A0" w:rsidRPr="00335297" w:rsidRDefault="005A25A0" w:rsidP="0006589F">
            <w:pPr>
              <w:spacing w:after="0"/>
              <w:jc w:val="center"/>
              <w:rPr>
                <w:rFonts w:eastAsia="Times New Roman"/>
                <w:szCs w:val="20"/>
              </w:rPr>
            </w:pPr>
            <w:r w:rsidRPr="00335297">
              <w:rPr>
                <w:rFonts w:eastAsia="Times New Roman"/>
                <w:szCs w:val="20"/>
              </w:rPr>
              <w:t>0.001</w:t>
            </w:r>
          </w:p>
        </w:tc>
        <w:tc>
          <w:tcPr>
            <w:tcW w:w="751" w:type="dxa"/>
            <w:noWrap/>
            <w:hideMark/>
          </w:tcPr>
          <w:p w14:paraId="4E1F7306" w14:textId="77777777" w:rsidR="005A25A0" w:rsidRPr="00335297" w:rsidRDefault="005A25A0" w:rsidP="0006589F">
            <w:pPr>
              <w:spacing w:after="0"/>
              <w:jc w:val="center"/>
              <w:rPr>
                <w:rFonts w:eastAsia="Times New Roman"/>
                <w:szCs w:val="20"/>
              </w:rPr>
            </w:pPr>
            <w:r w:rsidRPr="00335297">
              <w:rPr>
                <w:rFonts w:eastAsia="Times New Roman"/>
                <w:szCs w:val="20"/>
              </w:rPr>
              <w:t>95</w:t>
            </w:r>
          </w:p>
        </w:tc>
        <w:tc>
          <w:tcPr>
            <w:tcW w:w="894" w:type="dxa"/>
            <w:gridSpan w:val="2"/>
            <w:noWrap/>
            <w:hideMark/>
          </w:tcPr>
          <w:p w14:paraId="278C818D" w14:textId="77777777" w:rsidR="005A25A0" w:rsidRPr="00335297" w:rsidRDefault="005A25A0" w:rsidP="0006589F">
            <w:pPr>
              <w:spacing w:after="0"/>
              <w:jc w:val="center"/>
              <w:rPr>
                <w:rFonts w:eastAsia="Times New Roman"/>
                <w:szCs w:val="20"/>
              </w:rPr>
            </w:pPr>
            <w:r w:rsidRPr="00335297">
              <w:rPr>
                <w:rFonts w:eastAsia="Times New Roman"/>
                <w:szCs w:val="20"/>
              </w:rPr>
              <w:t>14583</w:t>
            </w:r>
          </w:p>
        </w:tc>
        <w:tc>
          <w:tcPr>
            <w:tcW w:w="1235" w:type="dxa"/>
            <w:noWrap/>
            <w:hideMark/>
          </w:tcPr>
          <w:p w14:paraId="5452C5EE" w14:textId="77777777" w:rsidR="005A25A0" w:rsidRPr="00335297" w:rsidRDefault="005A25A0" w:rsidP="0006589F">
            <w:pPr>
              <w:spacing w:after="0"/>
              <w:jc w:val="center"/>
              <w:rPr>
                <w:rFonts w:eastAsia="Times New Roman"/>
                <w:szCs w:val="20"/>
              </w:rPr>
            </w:pPr>
            <w:r w:rsidRPr="00335297">
              <w:rPr>
                <w:rFonts w:eastAsia="Times New Roman"/>
                <w:szCs w:val="20"/>
              </w:rPr>
              <w:t>Beta</w:t>
            </w:r>
          </w:p>
        </w:tc>
      </w:tr>
      <w:tr w:rsidR="005A25A0" w:rsidRPr="008E05A4" w14:paraId="7F3AB933" w14:textId="77777777" w:rsidTr="0006589F">
        <w:trPr>
          <w:trHeight w:val="53"/>
        </w:trPr>
        <w:tc>
          <w:tcPr>
            <w:tcW w:w="6332" w:type="dxa"/>
            <w:noWrap/>
            <w:hideMark/>
          </w:tcPr>
          <w:p w14:paraId="79C3E7E5" w14:textId="77777777" w:rsidR="005A25A0" w:rsidRPr="00335297" w:rsidRDefault="005A25A0" w:rsidP="0006589F">
            <w:pPr>
              <w:spacing w:after="0"/>
              <w:rPr>
                <w:rFonts w:eastAsia="Times New Roman"/>
                <w:szCs w:val="20"/>
              </w:rPr>
            </w:pPr>
            <w:r>
              <w:rPr>
                <w:rFonts w:eastAsia="Times New Roman"/>
                <w:szCs w:val="20"/>
              </w:rPr>
              <w:t>MACE</w:t>
            </w:r>
          </w:p>
        </w:tc>
        <w:tc>
          <w:tcPr>
            <w:tcW w:w="900" w:type="dxa"/>
            <w:noWrap/>
            <w:hideMark/>
          </w:tcPr>
          <w:p w14:paraId="6BA422D7" w14:textId="77777777" w:rsidR="005A25A0" w:rsidRPr="00335297" w:rsidRDefault="005A25A0" w:rsidP="0006589F">
            <w:pPr>
              <w:spacing w:after="0"/>
              <w:jc w:val="center"/>
              <w:rPr>
                <w:rFonts w:eastAsia="Times New Roman"/>
                <w:szCs w:val="20"/>
              </w:rPr>
            </w:pPr>
            <w:r w:rsidRPr="00335297">
              <w:rPr>
                <w:rFonts w:eastAsia="Times New Roman"/>
                <w:szCs w:val="20"/>
              </w:rPr>
              <w:t>0.0225</w:t>
            </w:r>
          </w:p>
        </w:tc>
        <w:tc>
          <w:tcPr>
            <w:tcW w:w="900" w:type="dxa"/>
            <w:noWrap/>
            <w:hideMark/>
          </w:tcPr>
          <w:p w14:paraId="12D98C9E" w14:textId="77777777" w:rsidR="005A25A0" w:rsidRPr="00335297" w:rsidRDefault="005A25A0" w:rsidP="0006589F">
            <w:pPr>
              <w:spacing w:after="0"/>
              <w:jc w:val="center"/>
              <w:rPr>
                <w:rFonts w:eastAsia="Times New Roman"/>
                <w:szCs w:val="20"/>
              </w:rPr>
            </w:pPr>
            <w:r w:rsidRPr="00335297">
              <w:rPr>
                <w:rFonts w:eastAsia="Times New Roman"/>
                <w:szCs w:val="20"/>
              </w:rPr>
              <w:t>0.018</w:t>
            </w:r>
          </w:p>
        </w:tc>
        <w:tc>
          <w:tcPr>
            <w:tcW w:w="990" w:type="dxa"/>
            <w:noWrap/>
            <w:hideMark/>
          </w:tcPr>
          <w:p w14:paraId="3EF43C46" w14:textId="77777777" w:rsidR="005A25A0" w:rsidRPr="00335297" w:rsidRDefault="005A25A0" w:rsidP="0006589F">
            <w:pPr>
              <w:spacing w:after="0"/>
              <w:jc w:val="center"/>
              <w:rPr>
                <w:rFonts w:eastAsia="Times New Roman"/>
                <w:szCs w:val="20"/>
              </w:rPr>
            </w:pPr>
            <w:r w:rsidRPr="00335297">
              <w:rPr>
                <w:rFonts w:eastAsia="Times New Roman"/>
                <w:szCs w:val="20"/>
              </w:rPr>
              <w:t>0.027</w:t>
            </w:r>
          </w:p>
        </w:tc>
        <w:tc>
          <w:tcPr>
            <w:tcW w:w="900" w:type="dxa"/>
            <w:noWrap/>
            <w:hideMark/>
          </w:tcPr>
          <w:p w14:paraId="3AB93015" w14:textId="77777777" w:rsidR="005A25A0" w:rsidRPr="00335297" w:rsidRDefault="005A25A0" w:rsidP="0006589F">
            <w:pPr>
              <w:spacing w:after="0"/>
              <w:jc w:val="center"/>
              <w:rPr>
                <w:rFonts w:eastAsia="Times New Roman"/>
                <w:szCs w:val="20"/>
              </w:rPr>
            </w:pPr>
            <w:r w:rsidRPr="00335297">
              <w:rPr>
                <w:rFonts w:eastAsia="Times New Roman"/>
                <w:szCs w:val="20"/>
              </w:rPr>
              <w:t>0.002</w:t>
            </w:r>
          </w:p>
        </w:tc>
        <w:tc>
          <w:tcPr>
            <w:tcW w:w="751" w:type="dxa"/>
            <w:noWrap/>
            <w:hideMark/>
          </w:tcPr>
          <w:p w14:paraId="6D76699F" w14:textId="77777777" w:rsidR="005A25A0" w:rsidRPr="00335297" w:rsidRDefault="005A25A0" w:rsidP="0006589F">
            <w:pPr>
              <w:spacing w:after="0"/>
              <w:jc w:val="center"/>
              <w:rPr>
                <w:rFonts w:eastAsia="Times New Roman"/>
                <w:szCs w:val="20"/>
              </w:rPr>
            </w:pPr>
            <w:r w:rsidRPr="00335297">
              <w:rPr>
                <w:rFonts w:eastAsia="Times New Roman"/>
                <w:szCs w:val="20"/>
              </w:rPr>
              <w:t>94</w:t>
            </w:r>
          </w:p>
        </w:tc>
        <w:tc>
          <w:tcPr>
            <w:tcW w:w="894" w:type="dxa"/>
            <w:gridSpan w:val="2"/>
            <w:noWrap/>
            <w:hideMark/>
          </w:tcPr>
          <w:p w14:paraId="72BEEA5A" w14:textId="77777777" w:rsidR="005A25A0" w:rsidRPr="00335297" w:rsidRDefault="005A25A0" w:rsidP="0006589F">
            <w:pPr>
              <w:spacing w:after="0"/>
              <w:jc w:val="center"/>
              <w:rPr>
                <w:rFonts w:eastAsia="Times New Roman"/>
                <w:szCs w:val="20"/>
              </w:rPr>
            </w:pPr>
            <w:r w:rsidRPr="00335297">
              <w:rPr>
                <w:rFonts w:eastAsia="Times New Roman"/>
                <w:szCs w:val="20"/>
              </w:rPr>
              <w:t>4078</w:t>
            </w:r>
          </w:p>
        </w:tc>
        <w:tc>
          <w:tcPr>
            <w:tcW w:w="1235" w:type="dxa"/>
            <w:noWrap/>
            <w:hideMark/>
          </w:tcPr>
          <w:p w14:paraId="213166A0" w14:textId="77777777" w:rsidR="005A25A0" w:rsidRPr="00335297" w:rsidRDefault="005A25A0" w:rsidP="0006589F">
            <w:pPr>
              <w:spacing w:after="0"/>
              <w:jc w:val="center"/>
              <w:rPr>
                <w:rFonts w:eastAsia="Times New Roman"/>
                <w:szCs w:val="20"/>
              </w:rPr>
            </w:pPr>
            <w:r w:rsidRPr="00335297">
              <w:rPr>
                <w:rFonts w:eastAsia="Times New Roman"/>
                <w:szCs w:val="20"/>
              </w:rPr>
              <w:t>Beta</w:t>
            </w:r>
          </w:p>
        </w:tc>
      </w:tr>
      <w:tr w:rsidR="005A25A0" w:rsidRPr="008E05A4" w14:paraId="54F32981" w14:textId="77777777" w:rsidTr="0006589F">
        <w:trPr>
          <w:trHeight w:val="53"/>
        </w:trPr>
        <w:tc>
          <w:tcPr>
            <w:tcW w:w="6332" w:type="dxa"/>
            <w:noWrap/>
            <w:hideMark/>
          </w:tcPr>
          <w:p w14:paraId="0ADFD8C2" w14:textId="77777777" w:rsidR="005A25A0" w:rsidRPr="00335297" w:rsidRDefault="005A25A0" w:rsidP="0006589F">
            <w:pPr>
              <w:spacing w:after="0"/>
              <w:rPr>
                <w:rFonts w:eastAsia="Times New Roman"/>
                <w:szCs w:val="20"/>
              </w:rPr>
            </w:pPr>
            <w:r w:rsidRPr="00335297">
              <w:rPr>
                <w:rFonts w:eastAsia="Times New Roman"/>
                <w:szCs w:val="20"/>
              </w:rPr>
              <w:t>IBD-related hospitalization</w:t>
            </w:r>
          </w:p>
        </w:tc>
        <w:tc>
          <w:tcPr>
            <w:tcW w:w="900" w:type="dxa"/>
            <w:noWrap/>
            <w:hideMark/>
          </w:tcPr>
          <w:p w14:paraId="488B4E70" w14:textId="77777777" w:rsidR="005A25A0" w:rsidRPr="00335297" w:rsidRDefault="005A25A0" w:rsidP="0006589F">
            <w:pPr>
              <w:spacing w:after="0"/>
              <w:jc w:val="center"/>
              <w:rPr>
                <w:rFonts w:eastAsia="Times New Roman"/>
                <w:szCs w:val="20"/>
              </w:rPr>
            </w:pPr>
            <w:r w:rsidRPr="00335297">
              <w:rPr>
                <w:rFonts w:eastAsia="Times New Roman"/>
                <w:szCs w:val="20"/>
              </w:rPr>
              <w:t>0.0210</w:t>
            </w:r>
          </w:p>
        </w:tc>
        <w:tc>
          <w:tcPr>
            <w:tcW w:w="900" w:type="dxa"/>
            <w:noWrap/>
            <w:hideMark/>
          </w:tcPr>
          <w:p w14:paraId="234CEEDD" w14:textId="77777777" w:rsidR="005A25A0" w:rsidRPr="00335297" w:rsidRDefault="005A25A0" w:rsidP="0006589F">
            <w:pPr>
              <w:spacing w:after="0"/>
              <w:jc w:val="center"/>
              <w:rPr>
                <w:rFonts w:eastAsia="Times New Roman"/>
                <w:szCs w:val="20"/>
              </w:rPr>
            </w:pPr>
            <w:r w:rsidRPr="00335297">
              <w:rPr>
                <w:rFonts w:eastAsia="Times New Roman"/>
                <w:szCs w:val="20"/>
              </w:rPr>
              <w:t>0.017</w:t>
            </w:r>
          </w:p>
        </w:tc>
        <w:tc>
          <w:tcPr>
            <w:tcW w:w="990" w:type="dxa"/>
            <w:noWrap/>
            <w:hideMark/>
          </w:tcPr>
          <w:p w14:paraId="59745566" w14:textId="77777777" w:rsidR="005A25A0" w:rsidRPr="00335297" w:rsidRDefault="005A25A0" w:rsidP="0006589F">
            <w:pPr>
              <w:spacing w:after="0"/>
              <w:jc w:val="center"/>
              <w:rPr>
                <w:rFonts w:eastAsia="Times New Roman"/>
                <w:szCs w:val="20"/>
              </w:rPr>
            </w:pPr>
            <w:r w:rsidRPr="00335297">
              <w:rPr>
                <w:rFonts w:eastAsia="Times New Roman"/>
                <w:szCs w:val="20"/>
              </w:rPr>
              <w:t>0.025</w:t>
            </w:r>
          </w:p>
        </w:tc>
        <w:tc>
          <w:tcPr>
            <w:tcW w:w="900" w:type="dxa"/>
            <w:noWrap/>
            <w:hideMark/>
          </w:tcPr>
          <w:p w14:paraId="5EFCFDF9" w14:textId="77777777" w:rsidR="005A25A0" w:rsidRPr="00335297" w:rsidRDefault="005A25A0" w:rsidP="0006589F">
            <w:pPr>
              <w:spacing w:after="0"/>
              <w:jc w:val="center"/>
              <w:rPr>
                <w:rFonts w:eastAsia="Times New Roman"/>
                <w:szCs w:val="20"/>
              </w:rPr>
            </w:pPr>
            <w:r w:rsidRPr="00335297">
              <w:rPr>
                <w:rFonts w:eastAsia="Times New Roman"/>
                <w:szCs w:val="20"/>
              </w:rPr>
              <w:t>0.002</w:t>
            </w:r>
          </w:p>
        </w:tc>
        <w:tc>
          <w:tcPr>
            <w:tcW w:w="751" w:type="dxa"/>
            <w:noWrap/>
            <w:hideMark/>
          </w:tcPr>
          <w:p w14:paraId="2AA82415" w14:textId="77777777" w:rsidR="005A25A0" w:rsidRPr="00335297" w:rsidRDefault="005A25A0" w:rsidP="0006589F">
            <w:pPr>
              <w:spacing w:after="0"/>
              <w:jc w:val="center"/>
              <w:rPr>
                <w:rFonts w:eastAsia="Times New Roman"/>
                <w:szCs w:val="20"/>
              </w:rPr>
            </w:pPr>
            <w:r w:rsidRPr="00335297">
              <w:rPr>
                <w:rFonts w:eastAsia="Times New Roman"/>
                <w:szCs w:val="20"/>
              </w:rPr>
              <w:t>94</w:t>
            </w:r>
          </w:p>
        </w:tc>
        <w:tc>
          <w:tcPr>
            <w:tcW w:w="894" w:type="dxa"/>
            <w:gridSpan w:val="2"/>
            <w:noWrap/>
            <w:hideMark/>
          </w:tcPr>
          <w:p w14:paraId="0F7CFF51" w14:textId="77777777" w:rsidR="005A25A0" w:rsidRPr="00335297" w:rsidRDefault="005A25A0" w:rsidP="0006589F">
            <w:pPr>
              <w:spacing w:after="0"/>
              <w:jc w:val="center"/>
              <w:rPr>
                <w:rFonts w:eastAsia="Times New Roman"/>
                <w:szCs w:val="20"/>
              </w:rPr>
            </w:pPr>
            <w:r w:rsidRPr="00335297">
              <w:rPr>
                <w:rFonts w:eastAsia="Times New Roman"/>
                <w:szCs w:val="20"/>
              </w:rPr>
              <w:t>4382</w:t>
            </w:r>
          </w:p>
        </w:tc>
        <w:tc>
          <w:tcPr>
            <w:tcW w:w="1235" w:type="dxa"/>
            <w:noWrap/>
            <w:hideMark/>
          </w:tcPr>
          <w:p w14:paraId="495B770E" w14:textId="77777777" w:rsidR="005A25A0" w:rsidRPr="00335297" w:rsidRDefault="005A25A0" w:rsidP="0006589F">
            <w:pPr>
              <w:spacing w:after="0"/>
              <w:jc w:val="center"/>
              <w:rPr>
                <w:rFonts w:eastAsia="Times New Roman"/>
                <w:szCs w:val="20"/>
              </w:rPr>
            </w:pPr>
            <w:r w:rsidRPr="00335297">
              <w:rPr>
                <w:rFonts w:eastAsia="Times New Roman"/>
                <w:szCs w:val="20"/>
              </w:rPr>
              <w:t>Beta</w:t>
            </w:r>
          </w:p>
        </w:tc>
      </w:tr>
      <w:tr w:rsidR="005A25A0" w:rsidRPr="008E05A4" w14:paraId="0C442D69" w14:textId="77777777" w:rsidTr="0006589F">
        <w:trPr>
          <w:trHeight w:val="53"/>
        </w:trPr>
        <w:tc>
          <w:tcPr>
            <w:tcW w:w="12902" w:type="dxa"/>
            <w:gridSpan w:val="9"/>
            <w:shd w:val="clear" w:color="auto" w:fill="F2F2F2" w:themeFill="background1" w:themeFillShade="F2"/>
            <w:noWrap/>
            <w:hideMark/>
          </w:tcPr>
          <w:p w14:paraId="0F8C1667" w14:textId="77777777" w:rsidR="005A25A0" w:rsidRPr="00335297" w:rsidRDefault="005A25A0" w:rsidP="0006589F">
            <w:pPr>
              <w:keepNext/>
              <w:keepLines/>
              <w:spacing w:after="0"/>
              <w:jc w:val="center"/>
              <w:rPr>
                <w:rFonts w:eastAsia="Times New Roman"/>
                <w:b/>
                <w:i/>
                <w:szCs w:val="20"/>
              </w:rPr>
            </w:pPr>
            <w:r w:rsidRPr="00335297">
              <w:rPr>
                <w:rFonts w:eastAsia="Times New Roman"/>
                <w:b/>
                <w:i/>
                <w:szCs w:val="20"/>
              </w:rPr>
              <w:t xml:space="preserve">Anti-TNF </w:t>
            </w:r>
            <w:r>
              <w:rPr>
                <w:rFonts w:eastAsia="Times New Roman"/>
                <w:b/>
                <w:i/>
                <w:szCs w:val="20"/>
              </w:rPr>
              <w:t>T</w:t>
            </w:r>
            <w:r w:rsidRPr="00335297">
              <w:rPr>
                <w:rFonts w:eastAsia="Times New Roman"/>
                <w:b/>
                <w:i/>
                <w:szCs w:val="20"/>
              </w:rPr>
              <w:t xml:space="preserve">reatment for Crohn's </w:t>
            </w:r>
            <w:r>
              <w:rPr>
                <w:rFonts w:eastAsia="Times New Roman"/>
                <w:b/>
                <w:i/>
                <w:szCs w:val="20"/>
              </w:rPr>
              <w:t>D</w:t>
            </w:r>
            <w:r w:rsidRPr="00335297">
              <w:rPr>
                <w:rFonts w:eastAsia="Times New Roman"/>
                <w:b/>
                <w:i/>
                <w:szCs w:val="20"/>
              </w:rPr>
              <w:t>isease</w:t>
            </w:r>
          </w:p>
        </w:tc>
      </w:tr>
      <w:tr w:rsidR="005A25A0" w:rsidRPr="008E05A4" w14:paraId="15E3C00A" w14:textId="77777777" w:rsidTr="0006589F">
        <w:trPr>
          <w:trHeight w:val="53"/>
        </w:trPr>
        <w:tc>
          <w:tcPr>
            <w:tcW w:w="6332" w:type="dxa"/>
            <w:noWrap/>
            <w:hideMark/>
          </w:tcPr>
          <w:p w14:paraId="2E8ECD44" w14:textId="77777777" w:rsidR="005A25A0" w:rsidRPr="00335297" w:rsidRDefault="005A25A0" w:rsidP="0006589F">
            <w:pPr>
              <w:keepNext/>
              <w:keepLines/>
              <w:spacing w:after="0"/>
              <w:rPr>
                <w:rFonts w:eastAsia="Times New Roman"/>
                <w:szCs w:val="20"/>
              </w:rPr>
            </w:pPr>
            <w:r w:rsidRPr="00335297">
              <w:rPr>
                <w:rFonts w:eastAsia="Times New Roman"/>
                <w:szCs w:val="20"/>
              </w:rPr>
              <w:t>Death</w:t>
            </w:r>
          </w:p>
        </w:tc>
        <w:tc>
          <w:tcPr>
            <w:tcW w:w="900" w:type="dxa"/>
            <w:noWrap/>
            <w:hideMark/>
          </w:tcPr>
          <w:p w14:paraId="3765856B"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0.0214</w:t>
            </w:r>
          </w:p>
        </w:tc>
        <w:tc>
          <w:tcPr>
            <w:tcW w:w="900" w:type="dxa"/>
            <w:noWrap/>
            <w:hideMark/>
          </w:tcPr>
          <w:p w14:paraId="4CBC19EF"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0.017</w:t>
            </w:r>
          </w:p>
        </w:tc>
        <w:tc>
          <w:tcPr>
            <w:tcW w:w="990" w:type="dxa"/>
            <w:noWrap/>
            <w:hideMark/>
          </w:tcPr>
          <w:p w14:paraId="673BCB46"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0.026</w:t>
            </w:r>
          </w:p>
        </w:tc>
        <w:tc>
          <w:tcPr>
            <w:tcW w:w="900" w:type="dxa"/>
            <w:noWrap/>
            <w:hideMark/>
          </w:tcPr>
          <w:p w14:paraId="7BF23A61"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0.002</w:t>
            </w:r>
          </w:p>
        </w:tc>
        <w:tc>
          <w:tcPr>
            <w:tcW w:w="751" w:type="dxa"/>
            <w:noWrap/>
            <w:hideMark/>
          </w:tcPr>
          <w:p w14:paraId="16B6A868"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94</w:t>
            </w:r>
          </w:p>
        </w:tc>
        <w:tc>
          <w:tcPr>
            <w:tcW w:w="894" w:type="dxa"/>
            <w:gridSpan w:val="2"/>
            <w:noWrap/>
            <w:hideMark/>
          </w:tcPr>
          <w:p w14:paraId="78675959"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4297</w:t>
            </w:r>
          </w:p>
        </w:tc>
        <w:tc>
          <w:tcPr>
            <w:tcW w:w="1235" w:type="dxa"/>
            <w:noWrap/>
            <w:hideMark/>
          </w:tcPr>
          <w:p w14:paraId="2FDB94AF"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Beta</w:t>
            </w:r>
          </w:p>
        </w:tc>
      </w:tr>
      <w:tr w:rsidR="005A25A0" w:rsidRPr="008E05A4" w14:paraId="5D723F1B" w14:textId="77777777" w:rsidTr="0006589F">
        <w:trPr>
          <w:trHeight w:val="53"/>
        </w:trPr>
        <w:tc>
          <w:tcPr>
            <w:tcW w:w="6332" w:type="dxa"/>
            <w:noWrap/>
            <w:hideMark/>
          </w:tcPr>
          <w:p w14:paraId="5D4AF787" w14:textId="77777777" w:rsidR="005A25A0" w:rsidRPr="00335297" w:rsidRDefault="005A25A0" w:rsidP="0006589F">
            <w:pPr>
              <w:keepNext/>
              <w:keepLines/>
              <w:spacing w:after="0"/>
              <w:rPr>
                <w:rFonts w:eastAsia="Times New Roman"/>
                <w:szCs w:val="20"/>
              </w:rPr>
            </w:pPr>
            <w:r w:rsidRPr="00335297">
              <w:rPr>
                <w:rFonts w:eastAsia="Times New Roman"/>
                <w:szCs w:val="20"/>
              </w:rPr>
              <w:t>Hip fracture</w:t>
            </w:r>
          </w:p>
        </w:tc>
        <w:tc>
          <w:tcPr>
            <w:tcW w:w="900" w:type="dxa"/>
            <w:noWrap/>
            <w:hideMark/>
          </w:tcPr>
          <w:p w14:paraId="2006E337"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0.0032</w:t>
            </w:r>
          </w:p>
        </w:tc>
        <w:tc>
          <w:tcPr>
            <w:tcW w:w="900" w:type="dxa"/>
            <w:noWrap/>
            <w:hideMark/>
          </w:tcPr>
          <w:p w14:paraId="43478168"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0.003</w:t>
            </w:r>
          </w:p>
        </w:tc>
        <w:tc>
          <w:tcPr>
            <w:tcW w:w="990" w:type="dxa"/>
            <w:noWrap/>
            <w:hideMark/>
          </w:tcPr>
          <w:p w14:paraId="293C571D"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0.004</w:t>
            </w:r>
          </w:p>
        </w:tc>
        <w:tc>
          <w:tcPr>
            <w:tcW w:w="900" w:type="dxa"/>
            <w:noWrap/>
            <w:hideMark/>
          </w:tcPr>
          <w:p w14:paraId="0AE6AF55"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0.000</w:t>
            </w:r>
          </w:p>
        </w:tc>
        <w:tc>
          <w:tcPr>
            <w:tcW w:w="751" w:type="dxa"/>
            <w:noWrap/>
            <w:hideMark/>
          </w:tcPr>
          <w:p w14:paraId="4EE10168"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96</w:t>
            </w:r>
          </w:p>
        </w:tc>
        <w:tc>
          <w:tcPr>
            <w:tcW w:w="894" w:type="dxa"/>
            <w:gridSpan w:val="2"/>
            <w:noWrap/>
            <w:hideMark/>
          </w:tcPr>
          <w:p w14:paraId="28FFCF18"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29820</w:t>
            </w:r>
          </w:p>
        </w:tc>
        <w:tc>
          <w:tcPr>
            <w:tcW w:w="1235" w:type="dxa"/>
            <w:noWrap/>
            <w:hideMark/>
          </w:tcPr>
          <w:p w14:paraId="78B89D2A" w14:textId="77777777" w:rsidR="005A25A0" w:rsidRPr="00335297" w:rsidRDefault="005A25A0" w:rsidP="0006589F">
            <w:pPr>
              <w:keepNext/>
              <w:keepLines/>
              <w:spacing w:after="0"/>
              <w:jc w:val="center"/>
              <w:rPr>
                <w:rFonts w:eastAsia="Times New Roman"/>
                <w:szCs w:val="20"/>
              </w:rPr>
            </w:pPr>
            <w:r w:rsidRPr="00335297">
              <w:rPr>
                <w:rFonts w:eastAsia="Times New Roman"/>
                <w:szCs w:val="20"/>
              </w:rPr>
              <w:t>Beta</w:t>
            </w:r>
          </w:p>
        </w:tc>
      </w:tr>
      <w:tr w:rsidR="005A25A0" w:rsidRPr="008E05A4" w14:paraId="085306AD" w14:textId="77777777" w:rsidTr="0006589F">
        <w:trPr>
          <w:trHeight w:val="53"/>
        </w:trPr>
        <w:tc>
          <w:tcPr>
            <w:tcW w:w="6332" w:type="dxa"/>
            <w:noWrap/>
            <w:hideMark/>
          </w:tcPr>
          <w:p w14:paraId="02EBC98D" w14:textId="77777777" w:rsidR="005A25A0" w:rsidRPr="00335297" w:rsidRDefault="005A25A0" w:rsidP="0006589F">
            <w:pPr>
              <w:spacing w:after="0"/>
              <w:rPr>
                <w:rFonts w:eastAsia="Times New Roman"/>
                <w:szCs w:val="20"/>
              </w:rPr>
            </w:pPr>
            <w:r>
              <w:rPr>
                <w:rFonts w:eastAsia="Times New Roman"/>
                <w:szCs w:val="20"/>
              </w:rPr>
              <w:t>MACE</w:t>
            </w:r>
          </w:p>
        </w:tc>
        <w:tc>
          <w:tcPr>
            <w:tcW w:w="900" w:type="dxa"/>
            <w:noWrap/>
            <w:hideMark/>
          </w:tcPr>
          <w:p w14:paraId="2A9FD86D" w14:textId="77777777" w:rsidR="005A25A0" w:rsidRPr="00335297" w:rsidRDefault="005A25A0" w:rsidP="0006589F">
            <w:pPr>
              <w:spacing w:after="0"/>
              <w:jc w:val="center"/>
              <w:rPr>
                <w:rFonts w:eastAsia="Times New Roman"/>
                <w:szCs w:val="20"/>
              </w:rPr>
            </w:pPr>
            <w:r w:rsidRPr="00335297">
              <w:rPr>
                <w:rFonts w:eastAsia="Times New Roman"/>
                <w:szCs w:val="20"/>
              </w:rPr>
              <w:t>0.0134</w:t>
            </w:r>
          </w:p>
        </w:tc>
        <w:tc>
          <w:tcPr>
            <w:tcW w:w="900" w:type="dxa"/>
            <w:noWrap/>
            <w:hideMark/>
          </w:tcPr>
          <w:p w14:paraId="513E9BE6" w14:textId="77777777" w:rsidR="005A25A0" w:rsidRPr="00335297" w:rsidRDefault="005A25A0" w:rsidP="0006589F">
            <w:pPr>
              <w:spacing w:after="0"/>
              <w:jc w:val="center"/>
              <w:rPr>
                <w:rFonts w:eastAsia="Times New Roman"/>
                <w:szCs w:val="20"/>
              </w:rPr>
            </w:pPr>
            <w:r w:rsidRPr="00335297">
              <w:rPr>
                <w:rFonts w:eastAsia="Times New Roman"/>
                <w:szCs w:val="20"/>
              </w:rPr>
              <w:t>0.011</w:t>
            </w:r>
          </w:p>
        </w:tc>
        <w:tc>
          <w:tcPr>
            <w:tcW w:w="990" w:type="dxa"/>
            <w:noWrap/>
            <w:hideMark/>
          </w:tcPr>
          <w:p w14:paraId="69EFB047" w14:textId="77777777" w:rsidR="005A25A0" w:rsidRPr="00335297" w:rsidRDefault="005A25A0" w:rsidP="0006589F">
            <w:pPr>
              <w:spacing w:after="0"/>
              <w:jc w:val="center"/>
              <w:rPr>
                <w:rFonts w:eastAsia="Times New Roman"/>
                <w:szCs w:val="20"/>
              </w:rPr>
            </w:pPr>
            <w:r w:rsidRPr="00335297">
              <w:rPr>
                <w:rFonts w:eastAsia="Times New Roman"/>
                <w:szCs w:val="20"/>
              </w:rPr>
              <w:t>0.016</w:t>
            </w:r>
          </w:p>
        </w:tc>
        <w:tc>
          <w:tcPr>
            <w:tcW w:w="900" w:type="dxa"/>
            <w:noWrap/>
            <w:hideMark/>
          </w:tcPr>
          <w:p w14:paraId="2B4A78F3" w14:textId="77777777" w:rsidR="005A25A0" w:rsidRPr="00335297" w:rsidRDefault="005A25A0" w:rsidP="0006589F">
            <w:pPr>
              <w:spacing w:after="0"/>
              <w:jc w:val="center"/>
              <w:rPr>
                <w:rFonts w:eastAsia="Times New Roman"/>
                <w:szCs w:val="20"/>
              </w:rPr>
            </w:pPr>
            <w:r w:rsidRPr="00335297">
              <w:rPr>
                <w:rFonts w:eastAsia="Times New Roman"/>
                <w:szCs w:val="20"/>
              </w:rPr>
              <w:t>0.001</w:t>
            </w:r>
          </w:p>
        </w:tc>
        <w:tc>
          <w:tcPr>
            <w:tcW w:w="751" w:type="dxa"/>
            <w:noWrap/>
            <w:hideMark/>
          </w:tcPr>
          <w:p w14:paraId="630EBDFE" w14:textId="77777777" w:rsidR="005A25A0" w:rsidRPr="00335297" w:rsidRDefault="005A25A0" w:rsidP="0006589F">
            <w:pPr>
              <w:spacing w:after="0"/>
              <w:jc w:val="center"/>
              <w:rPr>
                <w:rFonts w:eastAsia="Times New Roman"/>
                <w:szCs w:val="20"/>
              </w:rPr>
            </w:pPr>
            <w:r w:rsidRPr="00335297">
              <w:rPr>
                <w:rFonts w:eastAsia="Times New Roman"/>
                <w:szCs w:val="20"/>
              </w:rPr>
              <w:t>95</w:t>
            </w:r>
          </w:p>
        </w:tc>
        <w:tc>
          <w:tcPr>
            <w:tcW w:w="894" w:type="dxa"/>
            <w:gridSpan w:val="2"/>
            <w:noWrap/>
            <w:hideMark/>
          </w:tcPr>
          <w:p w14:paraId="479BB08F" w14:textId="77777777" w:rsidR="005A25A0" w:rsidRPr="00335297" w:rsidRDefault="005A25A0" w:rsidP="0006589F">
            <w:pPr>
              <w:spacing w:after="0"/>
              <w:jc w:val="center"/>
              <w:rPr>
                <w:rFonts w:eastAsia="Times New Roman"/>
                <w:szCs w:val="20"/>
              </w:rPr>
            </w:pPr>
            <w:r w:rsidRPr="00335297">
              <w:rPr>
                <w:rFonts w:eastAsia="Times New Roman"/>
                <w:szCs w:val="20"/>
              </w:rPr>
              <w:t>6975</w:t>
            </w:r>
          </w:p>
        </w:tc>
        <w:tc>
          <w:tcPr>
            <w:tcW w:w="1235" w:type="dxa"/>
            <w:noWrap/>
            <w:hideMark/>
          </w:tcPr>
          <w:p w14:paraId="3AD13E62" w14:textId="77777777" w:rsidR="005A25A0" w:rsidRPr="00335297" w:rsidRDefault="005A25A0" w:rsidP="0006589F">
            <w:pPr>
              <w:spacing w:after="0"/>
              <w:jc w:val="center"/>
              <w:rPr>
                <w:rFonts w:eastAsia="Times New Roman"/>
                <w:szCs w:val="20"/>
              </w:rPr>
            </w:pPr>
            <w:r w:rsidRPr="00335297">
              <w:rPr>
                <w:rFonts w:eastAsia="Times New Roman"/>
                <w:szCs w:val="20"/>
              </w:rPr>
              <w:t>Beta</w:t>
            </w:r>
          </w:p>
        </w:tc>
      </w:tr>
      <w:tr w:rsidR="005A25A0" w:rsidRPr="008E05A4" w14:paraId="13FE833B" w14:textId="77777777" w:rsidTr="0006589F">
        <w:trPr>
          <w:trHeight w:val="53"/>
        </w:trPr>
        <w:tc>
          <w:tcPr>
            <w:tcW w:w="6332" w:type="dxa"/>
            <w:noWrap/>
            <w:hideMark/>
          </w:tcPr>
          <w:p w14:paraId="7433E2DA" w14:textId="77777777" w:rsidR="005A25A0" w:rsidRPr="00335297" w:rsidRDefault="005A25A0" w:rsidP="0006589F">
            <w:pPr>
              <w:spacing w:after="0"/>
              <w:rPr>
                <w:rFonts w:eastAsia="Times New Roman"/>
                <w:szCs w:val="20"/>
              </w:rPr>
            </w:pPr>
            <w:r w:rsidRPr="00335297">
              <w:rPr>
                <w:rFonts w:eastAsia="Times New Roman"/>
                <w:szCs w:val="20"/>
              </w:rPr>
              <w:t>IBD-related hospitalization</w:t>
            </w:r>
          </w:p>
        </w:tc>
        <w:tc>
          <w:tcPr>
            <w:tcW w:w="900" w:type="dxa"/>
            <w:noWrap/>
            <w:hideMark/>
          </w:tcPr>
          <w:p w14:paraId="0592B465" w14:textId="77777777" w:rsidR="005A25A0" w:rsidRPr="00335297" w:rsidRDefault="005A25A0" w:rsidP="0006589F">
            <w:pPr>
              <w:spacing w:after="0"/>
              <w:jc w:val="center"/>
              <w:rPr>
                <w:rFonts w:eastAsia="Times New Roman"/>
                <w:szCs w:val="20"/>
              </w:rPr>
            </w:pPr>
            <w:r w:rsidRPr="00335297">
              <w:rPr>
                <w:rFonts w:eastAsia="Times New Roman"/>
                <w:szCs w:val="20"/>
              </w:rPr>
              <w:t>0.0213</w:t>
            </w:r>
          </w:p>
        </w:tc>
        <w:tc>
          <w:tcPr>
            <w:tcW w:w="900" w:type="dxa"/>
            <w:noWrap/>
            <w:hideMark/>
          </w:tcPr>
          <w:p w14:paraId="681F2915" w14:textId="77777777" w:rsidR="005A25A0" w:rsidRPr="00335297" w:rsidRDefault="005A25A0" w:rsidP="0006589F">
            <w:pPr>
              <w:spacing w:after="0"/>
              <w:jc w:val="center"/>
              <w:rPr>
                <w:rFonts w:eastAsia="Times New Roman"/>
                <w:szCs w:val="20"/>
              </w:rPr>
            </w:pPr>
            <w:r w:rsidRPr="00335297">
              <w:rPr>
                <w:rFonts w:eastAsia="Times New Roman"/>
                <w:szCs w:val="20"/>
              </w:rPr>
              <w:t>0.017</w:t>
            </w:r>
          </w:p>
        </w:tc>
        <w:tc>
          <w:tcPr>
            <w:tcW w:w="990" w:type="dxa"/>
            <w:noWrap/>
            <w:hideMark/>
          </w:tcPr>
          <w:p w14:paraId="0E77F2C8" w14:textId="77777777" w:rsidR="005A25A0" w:rsidRPr="00335297" w:rsidRDefault="005A25A0" w:rsidP="0006589F">
            <w:pPr>
              <w:spacing w:after="0"/>
              <w:jc w:val="center"/>
              <w:rPr>
                <w:rFonts w:eastAsia="Times New Roman"/>
                <w:szCs w:val="20"/>
              </w:rPr>
            </w:pPr>
            <w:r w:rsidRPr="00335297">
              <w:rPr>
                <w:rFonts w:eastAsia="Times New Roman"/>
                <w:szCs w:val="20"/>
              </w:rPr>
              <w:t>0.026</w:t>
            </w:r>
          </w:p>
        </w:tc>
        <w:tc>
          <w:tcPr>
            <w:tcW w:w="900" w:type="dxa"/>
            <w:noWrap/>
            <w:hideMark/>
          </w:tcPr>
          <w:p w14:paraId="2AA9A891" w14:textId="77777777" w:rsidR="005A25A0" w:rsidRPr="00335297" w:rsidRDefault="005A25A0" w:rsidP="0006589F">
            <w:pPr>
              <w:spacing w:after="0"/>
              <w:jc w:val="center"/>
              <w:rPr>
                <w:rFonts w:eastAsia="Times New Roman"/>
                <w:szCs w:val="20"/>
              </w:rPr>
            </w:pPr>
            <w:r w:rsidRPr="00335297">
              <w:rPr>
                <w:rFonts w:eastAsia="Times New Roman"/>
                <w:szCs w:val="20"/>
              </w:rPr>
              <w:t>0.002</w:t>
            </w:r>
          </w:p>
        </w:tc>
        <w:tc>
          <w:tcPr>
            <w:tcW w:w="751" w:type="dxa"/>
            <w:noWrap/>
            <w:hideMark/>
          </w:tcPr>
          <w:p w14:paraId="49B48835" w14:textId="77777777" w:rsidR="005A25A0" w:rsidRPr="00335297" w:rsidRDefault="005A25A0" w:rsidP="0006589F">
            <w:pPr>
              <w:spacing w:after="0"/>
              <w:jc w:val="center"/>
              <w:rPr>
                <w:rFonts w:eastAsia="Times New Roman"/>
                <w:szCs w:val="20"/>
              </w:rPr>
            </w:pPr>
            <w:r w:rsidRPr="00335297">
              <w:rPr>
                <w:rFonts w:eastAsia="Times New Roman"/>
                <w:szCs w:val="20"/>
              </w:rPr>
              <w:t>94</w:t>
            </w:r>
          </w:p>
        </w:tc>
        <w:tc>
          <w:tcPr>
            <w:tcW w:w="894" w:type="dxa"/>
            <w:gridSpan w:val="2"/>
            <w:noWrap/>
            <w:hideMark/>
          </w:tcPr>
          <w:p w14:paraId="2DDA48AC" w14:textId="77777777" w:rsidR="005A25A0" w:rsidRPr="00335297" w:rsidRDefault="005A25A0" w:rsidP="0006589F">
            <w:pPr>
              <w:spacing w:after="0"/>
              <w:jc w:val="center"/>
              <w:rPr>
                <w:rFonts w:eastAsia="Times New Roman"/>
                <w:szCs w:val="20"/>
              </w:rPr>
            </w:pPr>
            <w:r w:rsidRPr="00335297">
              <w:rPr>
                <w:rFonts w:eastAsia="Times New Roman"/>
                <w:szCs w:val="20"/>
              </w:rPr>
              <w:t>4318</w:t>
            </w:r>
          </w:p>
        </w:tc>
        <w:tc>
          <w:tcPr>
            <w:tcW w:w="1235" w:type="dxa"/>
            <w:noWrap/>
            <w:hideMark/>
          </w:tcPr>
          <w:p w14:paraId="2A22CC25" w14:textId="77777777" w:rsidR="005A25A0" w:rsidRPr="00335297" w:rsidRDefault="005A25A0" w:rsidP="0006589F">
            <w:pPr>
              <w:spacing w:after="0"/>
              <w:jc w:val="center"/>
              <w:rPr>
                <w:rFonts w:eastAsia="Times New Roman"/>
                <w:szCs w:val="20"/>
              </w:rPr>
            </w:pPr>
            <w:r w:rsidRPr="00335297">
              <w:rPr>
                <w:rFonts w:eastAsia="Times New Roman"/>
                <w:szCs w:val="20"/>
              </w:rPr>
              <w:t>Beta</w:t>
            </w:r>
          </w:p>
        </w:tc>
      </w:tr>
      <w:tr w:rsidR="005A25A0" w:rsidRPr="008E05A4" w14:paraId="7DF8F78F" w14:textId="77777777" w:rsidTr="0006589F">
        <w:trPr>
          <w:trHeight w:val="53"/>
        </w:trPr>
        <w:tc>
          <w:tcPr>
            <w:tcW w:w="12902" w:type="dxa"/>
            <w:gridSpan w:val="9"/>
            <w:shd w:val="clear" w:color="auto" w:fill="D9D9D9" w:themeFill="background1" w:themeFillShade="D9"/>
            <w:noWrap/>
            <w:hideMark/>
          </w:tcPr>
          <w:p w14:paraId="25FD3578" w14:textId="77777777" w:rsidR="005A25A0" w:rsidRPr="00335297" w:rsidRDefault="005A25A0" w:rsidP="0006589F">
            <w:pPr>
              <w:spacing w:after="0"/>
              <w:jc w:val="center"/>
              <w:rPr>
                <w:rFonts w:eastAsia="Times New Roman"/>
                <w:b/>
                <w:szCs w:val="20"/>
              </w:rPr>
            </w:pPr>
            <w:r w:rsidRPr="008E05A4">
              <w:rPr>
                <w:rFonts w:eastAsia="Times New Roman"/>
                <w:b/>
                <w:szCs w:val="20"/>
              </w:rPr>
              <w:t>Direct Medical Costs</w:t>
            </w:r>
          </w:p>
        </w:tc>
      </w:tr>
      <w:tr w:rsidR="005A25A0" w:rsidRPr="008E05A4" w14:paraId="1275B23A" w14:textId="77777777" w:rsidTr="0006589F">
        <w:trPr>
          <w:trHeight w:val="53"/>
        </w:trPr>
        <w:tc>
          <w:tcPr>
            <w:tcW w:w="12902" w:type="dxa"/>
            <w:gridSpan w:val="9"/>
            <w:shd w:val="clear" w:color="auto" w:fill="F2F2F2" w:themeFill="background1" w:themeFillShade="F2"/>
            <w:noWrap/>
            <w:hideMark/>
          </w:tcPr>
          <w:p w14:paraId="533E2747" w14:textId="77777777" w:rsidR="005A25A0" w:rsidRPr="00335297" w:rsidRDefault="005A25A0" w:rsidP="0006589F">
            <w:pPr>
              <w:spacing w:after="0"/>
              <w:jc w:val="center"/>
              <w:rPr>
                <w:rFonts w:eastAsia="Times New Roman"/>
                <w:b/>
                <w:i/>
                <w:szCs w:val="20"/>
              </w:rPr>
            </w:pPr>
            <w:r w:rsidRPr="00335297">
              <w:rPr>
                <w:rFonts w:eastAsia="Times New Roman"/>
                <w:b/>
                <w:i/>
                <w:szCs w:val="20"/>
              </w:rPr>
              <w:t>Medical Treatment Costs</w:t>
            </w:r>
          </w:p>
        </w:tc>
      </w:tr>
      <w:tr w:rsidR="005A25A0" w:rsidRPr="008E05A4" w14:paraId="4CA6B91C" w14:textId="77777777" w:rsidTr="0006589F">
        <w:trPr>
          <w:trHeight w:val="53"/>
        </w:trPr>
        <w:tc>
          <w:tcPr>
            <w:tcW w:w="6332" w:type="dxa"/>
            <w:noWrap/>
            <w:hideMark/>
          </w:tcPr>
          <w:p w14:paraId="48430FF8" w14:textId="77777777" w:rsidR="005A25A0" w:rsidRPr="00335297" w:rsidRDefault="005A25A0" w:rsidP="0006589F">
            <w:pPr>
              <w:spacing w:after="0"/>
              <w:rPr>
                <w:rFonts w:eastAsia="Times New Roman"/>
                <w:szCs w:val="20"/>
              </w:rPr>
            </w:pPr>
            <w:r w:rsidRPr="00335297">
              <w:rPr>
                <w:rFonts w:eastAsia="Times New Roman"/>
                <w:szCs w:val="20"/>
              </w:rPr>
              <w:t xml:space="preserve">CS </w:t>
            </w:r>
            <w:r>
              <w:rPr>
                <w:rFonts w:eastAsia="Times New Roman"/>
                <w:szCs w:val="20"/>
              </w:rPr>
              <w:t>t</w:t>
            </w:r>
            <w:r w:rsidRPr="00335297">
              <w:rPr>
                <w:rFonts w:eastAsia="Times New Roman"/>
                <w:szCs w:val="20"/>
              </w:rPr>
              <w:t>reatment cost, per patient per year</w:t>
            </w:r>
          </w:p>
        </w:tc>
        <w:tc>
          <w:tcPr>
            <w:tcW w:w="900" w:type="dxa"/>
            <w:noWrap/>
            <w:hideMark/>
          </w:tcPr>
          <w:p w14:paraId="4FC88013" w14:textId="77777777" w:rsidR="005A25A0" w:rsidRPr="00335297" w:rsidRDefault="005A25A0" w:rsidP="0006589F">
            <w:pPr>
              <w:spacing w:after="0"/>
              <w:jc w:val="center"/>
              <w:rPr>
                <w:rFonts w:eastAsia="Times New Roman"/>
                <w:szCs w:val="20"/>
              </w:rPr>
            </w:pPr>
            <w:r w:rsidRPr="00335297">
              <w:rPr>
                <w:rFonts w:eastAsia="Times New Roman"/>
                <w:szCs w:val="20"/>
              </w:rPr>
              <w:t>$408</w:t>
            </w:r>
          </w:p>
        </w:tc>
        <w:tc>
          <w:tcPr>
            <w:tcW w:w="900" w:type="dxa"/>
            <w:noWrap/>
            <w:hideMark/>
          </w:tcPr>
          <w:p w14:paraId="59E630B8" w14:textId="77777777" w:rsidR="005A25A0" w:rsidRPr="00335297" w:rsidRDefault="005A25A0" w:rsidP="0006589F">
            <w:pPr>
              <w:spacing w:after="0"/>
              <w:jc w:val="center"/>
              <w:rPr>
                <w:rFonts w:eastAsia="Times New Roman"/>
                <w:szCs w:val="20"/>
              </w:rPr>
            </w:pPr>
            <w:r w:rsidRPr="00335297">
              <w:rPr>
                <w:rFonts w:eastAsia="Times New Roman"/>
                <w:szCs w:val="20"/>
              </w:rPr>
              <w:t>$326</w:t>
            </w:r>
          </w:p>
        </w:tc>
        <w:tc>
          <w:tcPr>
            <w:tcW w:w="990" w:type="dxa"/>
            <w:noWrap/>
            <w:hideMark/>
          </w:tcPr>
          <w:p w14:paraId="6EE7D82F" w14:textId="77777777" w:rsidR="005A25A0" w:rsidRPr="00335297" w:rsidRDefault="005A25A0" w:rsidP="0006589F">
            <w:pPr>
              <w:spacing w:after="0"/>
              <w:jc w:val="center"/>
              <w:rPr>
                <w:rFonts w:eastAsia="Times New Roman"/>
                <w:szCs w:val="20"/>
              </w:rPr>
            </w:pPr>
            <w:r w:rsidRPr="00335297">
              <w:rPr>
                <w:rFonts w:eastAsia="Times New Roman"/>
                <w:szCs w:val="20"/>
              </w:rPr>
              <w:t>$1,000</w:t>
            </w:r>
          </w:p>
        </w:tc>
        <w:tc>
          <w:tcPr>
            <w:tcW w:w="900" w:type="dxa"/>
            <w:noWrap/>
            <w:hideMark/>
          </w:tcPr>
          <w:p w14:paraId="4F5D7F01" w14:textId="77777777" w:rsidR="005A25A0" w:rsidRPr="00335297" w:rsidRDefault="005A25A0" w:rsidP="0006589F">
            <w:pPr>
              <w:spacing w:after="0"/>
              <w:jc w:val="center"/>
              <w:rPr>
                <w:rFonts w:eastAsia="Times New Roman"/>
                <w:szCs w:val="20"/>
              </w:rPr>
            </w:pPr>
            <w:r w:rsidRPr="00335297">
              <w:rPr>
                <w:rFonts w:eastAsia="Times New Roman"/>
                <w:szCs w:val="20"/>
              </w:rPr>
              <w:t>$42</w:t>
            </w:r>
          </w:p>
        </w:tc>
        <w:tc>
          <w:tcPr>
            <w:tcW w:w="751" w:type="dxa"/>
            <w:noWrap/>
            <w:hideMark/>
          </w:tcPr>
          <w:p w14:paraId="50DE33FC"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777D3697" w14:textId="77777777" w:rsidR="005A25A0" w:rsidRPr="00335297" w:rsidRDefault="005A25A0" w:rsidP="0006589F">
            <w:pPr>
              <w:spacing w:after="0"/>
              <w:jc w:val="center"/>
              <w:rPr>
                <w:rFonts w:eastAsia="Times New Roman"/>
                <w:szCs w:val="20"/>
              </w:rPr>
            </w:pPr>
            <w:r w:rsidRPr="00335297">
              <w:rPr>
                <w:rFonts w:eastAsia="Times New Roman"/>
                <w:szCs w:val="20"/>
              </w:rPr>
              <w:t>4</w:t>
            </w:r>
          </w:p>
        </w:tc>
        <w:tc>
          <w:tcPr>
            <w:tcW w:w="1235" w:type="dxa"/>
            <w:noWrap/>
            <w:hideMark/>
          </w:tcPr>
          <w:p w14:paraId="19A43C37" w14:textId="77777777" w:rsidR="005A25A0" w:rsidRPr="00335297" w:rsidRDefault="005A25A0" w:rsidP="0006589F">
            <w:pPr>
              <w:spacing w:after="0"/>
              <w:jc w:val="center"/>
              <w:rPr>
                <w:rFonts w:eastAsia="Times New Roman"/>
                <w:szCs w:val="20"/>
              </w:rPr>
            </w:pPr>
            <w:r w:rsidRPr="00335297">
              <w:rPr>
                <w:rFonts w:eastAsia="Times New Roman"/>
                <w:szCs w:val="20"/>
              </w:rPr>
              <w:t>Gamma</w:t>
            </w:r>
          </w:p>
        </w:tc>
      </w:tr>
      <w:tr w:rsidR="005A25A0" w:rsidRPr="008E05A4" w14:paraId="4BA1D2C0" w14:textId="77777777" w:rsidTr="0006589F">
        <w:trPr>
          <w:trHeight w:val="53"/>
        </w:trPr>
        <w:tc>
          <w:tcPr>
            <w:tcW w:w="6332" w:type="dxa"/>
            <w:noWrap/>
            <w:hideMark/>
          </w:tcPr>
          <w:p w14:paraId="33184AAE" w14:textId="77777777" w:rsidR="005A25A0" w:rsidRPr="00335297" w:rsidRDefault="005A25A0" w:rsidP="0006589F">
            <w:pPr>
              <w:spacing w:after="0"/>
              <w:rPr>
                <w:rFonts w:eastAsia="Times New Roman"/>
                <w:szCs w:val="20"/>
              </w:rPr>
            </w:pPr>
            <w:r w:rsidRPr="00335297">
              <w:rPr>
                <w:rFonts w:eastAsia="Times New Roman"/>
                <w:szCs w:val="20"/>
              </w:rPr>
              <w:t>Anti-TNF treatment cost, per patient per year</w:t>
            </w:r>
          </w:p>
        </w:tc>
        <w:tc>
          <w:tcPr>
            <w:tcW w:w="900" w:type="dxa"/>
            <w:noWrap/>
            <w:hideMark/>
          </w:tcPr>
          <w:p w14:paraId="45F5B114" w14:textId="77777777" w:rsidR="005A25A0" w:rsidRPr="00335297" w:rsidRDefault="005A25A0" w:rsidP="0006589F">
            <w:pPr>
              <w:spacing w:after="0"/>
              <w:jc w:val="center"/>
              <w:rPr>
                <w:rFonts w:eastAsia="Times New Roman"/>
                <w:szCs w:val="20"/>
              </w:rPr>
            </w:pPr>
            <w:r w:rsidRPr="00335297">
              <w:rPr>
                <w:rFonts w:eastAsia="Times New Roman"/>
                <w:szCs w:val="20"/>
              </w:rPr>
              <w:t>$27,161</w:t>
            </w:r>
          </w:p>
        </w:tc>
        <w:tc>
          <w:tcPr>
            <w:tcW w:w="900" w:type="dxa"/>
            <w:noWrap/>
            <w:hideMark/>
          </w:tcPr>
          <w:p w14:paraId="7D972B1F" w14:textId="77777777" w:rsidR="005A25A0" w:rsidRPr="00335297" w:rsidRDefault="005A25A0" w:rsidP="0006589F">
            <w:pPr>
              <w:spacing w:after="0"/>
              <w:jc w:val="center"/>
              <w:rPr>
                <w:rFonts w:eastAsia="Times New Roman"/>
                <w:szCs w:val="20"/>
              </w:rPr>
            </w:pPr>
            <w:r w:rsidRPr="00335297">
              <w:rPr>
                <w:rFonts w:eastAsia="Times New Roman"/>
                <w:szCs w:val="20"/>
              </w:rPr>
              <w:t>$16,000</w:t>
            </w:r>
          </w:p>
        </w:tc>
        <w:tc>
          <w:tcPr>
            <w:tcW w:w="990" w:type="dxa"/>
            <w:noWrap/>
            <w:hideMark/>
          </w:tcPr>
          <w:p w14:paraId="2B5E42D1" w14:textId="77777777" w:rsidR="005A25A0" w:rsidRPr="00335297" w:rsidRDefault="005A25A0" w:rsidP="0006589F">
            <w:pPr>
              <w:spacing w:after="0"/>
              <w:jc w:val="center"/>
              <w:rPr>
                <w:rFonts w:eastAsia="Times New Roman"/>
                <w:szCs w:val="20"/>
              </w:rPr>
            </w:pPr>
            <w:r w:rsidRPr="00335297">
              <w:rPr>
                <w:rFonts w:eastAsia="Times New Roman"/>
                <w:szCs w:val="20"/>
              </w:rPr>
              <w:t>$32,500</w:t>
            </w:r>
          </w:p>
        </w:tc>
        <w:tc>
          <w:tcPr>
            <w:tcW w:w="900" w:type="dxa"/>
            <w:noWrap/>
            <w:hideMark/>
          </w:tcPr>
          <w:p w14:paraId="5A361DD2" w14:textId="77777777" w:rsidR="005A25A0" w:rsidRPr="00335297" w:rsidRDefault="005A25A0" w:rsidP="0006589F">
            <w:pPr>
              <w:spacing w:after="0"/>
              <w:jc w:val="center"/>
              <w:rPr>
                <w:rFonts w:eastAsia="Times New Roman"/>
                <w:szCs w:val="20"/>
              </w:rPr>
            </w:pPr>
            <w:r w:rsidRPr="00335297">
              <w:rPr>
                <w:rFonts w:eastAsia="Times New Roman"/>
                <w:szCs w:val="20"/>
              </w:rPr>
              <w:t>$2,772</w:t>
            </w:r>
          </w:p>
        </w:tc>
        <w:tc>
          <w:tcPr>
            <w:tcW w:w="751" w:type="dxa"/>
            <w:noWrap/>
            <w:hideMark/>
          </w:tcPr>
          <w:p w14:paraId="6922EF95"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7C4E0F5A" w14:textId="77777777" w:rsidR="005A25A0" w:rsidRPr="00335297" w:rsidRDefault="005A25A0" w:rsidP="0006589F">
            <w:pPr>
              <w:spacing w:after="0"/>
              <w:jc w:val="center"/>
              <w:rPr>
                <w:rFonts w:eastAsia="Times New Roman"/>
                <w:szCs w:val="20"/>
              </w:rPr>
            </w:pPr>
            <w:r w:rsidRPr="00335297">
              <w:rPr>
                <w:rFonts w:eastAsia="Times New Roman"/>
                <w:szCs w:val="20"/>
              </w:rPr>
              <w:t>283</w:t>
            </w:r>
          </w:p>
        </w:tc>
        <w:tc>
          <w:tcPr>
            <w:tcW w:w="1235" w:type="dxa"/>
            <w:noWrap/>
            <w:hideMark/>
          </w:tcPr>
          <w:p w14:paraId="59AFE2EF" w14:textId="77777777" w:rsidR="005A25A0" w:rsidRPr="00335297" w:rsidRDefault="005A25A0" w:rsidP="0006589F">
            <w:pPr>
              <w:spacing w:after="0"/>
              <w:jc w:val="center"/>
              <w:rPr>
                <w:rFonts w:eastAsia="Times New Roman"/>
                <w:szCs w:val="20"/>
              </w:rPr>
            </w:pPr>
            <w:r w:rsidRPr="00335297">
              <w:rPr>
                <w:rFonts w:eastAsia="Times New Roman"/>
                <w:szCs w:val="20"/>
              </w:rPr>
              <w:t>Gamma</w:t>
            </w:r>
          </w:p>
        </w:tc>
      </w:tr>
      <w:tr w:rsidR="005A25A0" w:rsidRPr="008E05A4" w14:paraId="2E953BCC" w14:textId="77777777" w:rsidTr="0006589F">
        <w:trPr>
          <w:trHeight w:val="53"/>
        </w:trPr>
        <w:tc>
          <w:tcPr>
            <w:tcW w:w="12902" w:type="dxa"/>
            <w:gridSpan w:val="9"/>
            <w:shd w:val="clear" w:color="auto" w:fill="F2F2F2" w:themeFill="background1" w:themeFillShade="F2"/>
            <w:noWrap/>
            <w:hideMark/>
          </w:tcPr>
          <w:p w14:paraId="1A1EE71E" w14:textId="77777777" w:rsidR="005A25A0" w:rsidRPr="00335297" w:rsidRDefault="005A25A0" w:rsidP="0006589F">
            <w:pPr>
              <w:spacing w:after="0"/>
              <w:jc w:val="center"/>
              <w:rPr>
                <w:rFonts w:eastAsia="Times New Roman"/>
                <w:b/>
                <w:i/>
                <w:szCs w:val="20"/>
              </w:rPr>
            </w:pPr>
            <w:r w:rsidRPr="00335297">
              <w:rPr>
                <w:rFonts w:eastAsia="Times New Roman"/>
                <w:b/>
                <w:i/>
                <w:szCs w:val="20"/>
              </w:rPr>
              <w:t>Health</w:t>
            </w:r>
            <w:r>
              <w:rPr>
                <w:rFonts w:eastAsia="Times New Roman"/>
                <w:b/>
                <w:i/>
                <w:szCs w:val="20"/>
              </w:rPr>
              <w:t>-O</w:t>
            </w:r>
            <w:r w:rsidRPr="00335297">
              <w:rPr>
                <w:rFonts w:eastAsia="Times New Roman"/>
                <w:b/>
                <w:i/>
                <w:szCs w:val="20"/>
              </w:rPr>
              <w:t>utcomes-</w:t>
            </w:r>
            <w:r>
              <w:rPr>
                <w:rFonts w:eastAsia="Times New Roman"/>
                <w:b/>
                <w:i/>
                <w:szCs w:val="20"/>
              </w:rPr>
              <w:t>R</w:t>
            </w:r>
            <w:r w:rsidRPr="00335297">
              <w:rPr>
                <w:rFonts w:eastAsia="Times New Roman"/>
                <w:b/>
                <w:i/>
                <w:szCs w:val="20"/>
              </w:rPr>
              <w:t xml:space="preserve">elated </w:t>
            </w:r>
            <w:r>
              <w:rPr>
                <w:rFonts w:eastAsia="Times New Roman"/>
                <w:b/>
                <w:i/>
                <w:szCs w:val="20"/>
              </w:rPr>
              <w:t>C</w:t>
            </w:r>
            <w:r w:rsidRPr="00335297">
              <w:rPr>
                <w:rFonts w:eastAsia="Times New Roman"/>
                <w:b/>
                <w:i/>
                <w:szCs w:val="20"/>
              </w:rPr>
              <w:t xml:space="preserve">osts, </w:t>
            </w:r>
            <w:r>
              <w:rPr>
                <w:rFonts w:eastAsia="Times New Roman"/>
                <w:b/>
                <w:i/>
                <w:szCs w:val="20"/>
              </w:rPr>
              <w:t>Payer</w:t>
            </w:r>
            <w:r w:rsidRPr="00335297">
              <w:rPr>
                <w:rFonts w:eastAsia="Times New Roman"/>
                <w:b/>
                <w:i/>
                <w:szCs w:val="20"/>
              </w:rPr>
              <w:t xml:space="preserve"> </w:t>
            </w:r>
            <w:r>
              <w:rPr>
                <w:rFonts w:eastAsia="Times New Roman"/>
                <w:b/>
                <w:i/>
                <w:szCs w:val="20"/>
              </w:rPr>
              <w:t>S</w:t>
            </w:r>
            <w:r w:rsidRPr="00335297">
              <w:rPr>
                <w:rFonts w:eastAsia="Times New Roman"/>
                <w:b/>
                <w:i/>
                <w:szCs w:val="20"/>
              </w:rPr>
              <w:t>pending</w:t>
            </w:r>
          </w:p>
        </w:tc>
      </w:tr>
      <w:tr w:rsidR="005A25A0" w:rsidRPr="008E05A4" w14:paraId="0014F592" w14:textId="77777777" w:rsidTr="0006589F">
        <w:trPr>
          <w:trHeight w:val="53"/>
        </w:trPr>
        <w:tc>
          <w:tcPr>
            <w:tcW w:w="6332" w:type="dxa"/>
            <w:noWrap/>
            <w:hideMark/>
          </w:tcPr>
          <w:p w14:paraId="2E23C90B" w14:textId="77777777" w:rsidR="005A25A0" w:rsidRPr="00335297" w:rsidRDefault="005A25A0" w:rsidP="0006589F">
            <w:pPr>
              <w:spacing w:after="0"/>
              <w:rPr>
                <w:rFonts w:eastAsia="Times New Roman"/>
                <w:szCs w:val="20"/>
              </w:rPr>
            </w:pPr>
            <w:r w:rsidRPr="00335297">
              <w:rPr>
                <w:rFonts w:eastAsia="Times New Roman"/>
                <w:szCs w:val="20"/>
              </w:rPr>
              <w:t>Death, per event</w:t>
            </w:r>
          </w:p>
        </w:tc>
        <w:tc>
          <w:tcPr>
            <w:tcW w:w="900" w:type="dxa"/>
            <w:noWrap/>
            <w:hideMark/>
          </w:tcPr>
          <w:p w14:paraId="2DE46CDC" w14:textId="77777777" w:rsidR="005A25A0" w:rsidRPr="00335297" w:rsidRDefault="005A25A0" w:rsidP="0006589F">
            <w:pPr>
              <w:spacing w:after="0"/>
              <w:jc w:val="center"/>
              <w:rPr>
                <w:rFonts w:eastAsia="Times New Roman"/>
                <w:szCs w:val="20"/>
              </w:rPr>
            </w:pPr>
            <w:r w:rsidRPr="00335297">
              <w:rPr>
                <w:rFonts w:eastAsia="Times New Roman"/>
                <w:szCs w:val="20"/>
              </w:rPr>
              <w:t>$26,055</w:t>
            </w:r>
          </w:p>
        </w:tc>
        <w:tc>
          <w:tcPr>
            <w:tcW w:w="900" w:type="dxa"/>
            <w:noWrap/>
            <w:hideMark/>
          </w:tcPr>
          <w:p w14:paraId="2F3100CD" w14:textId="77777777" w:rsidR="005A25A0" w:rsidRPr="00335297" w:rsidRDefault="005A25A0" w:rsidP="0006589F">
            <w:pPr>
              <w:spacing w:after="0"/>
              <w:jc w:val="center"/>
              <w:rPr>
                <w:rFonts w:eastAsia="Times New Roman"/>
                <w:szCs w:val="20"/>
              </w:rPr>
            </w:pPr>
            <w:r w:rsidRPr="00335297">
              <w:rPr>
                <w:rFonts w:eastAsia="Times New Roman"/>
                <w:szCs w:val="20"/>
              </w:rPr>
              <w:t>$20,844</w:t>
            </w:r>
          </w:p>
        </w:tc>
        <w:tc>
          <w:tcPr>
            <w:tcW w:w="990" w:type="dxa"/>
            <w:noWrap/>
            <w:hideMark/>
          </w:tcPr>
          <w:p w14:paraId="05F879E4" w14:textId="77777777" w:rsidR="005A25A0" w:rsidRPr="00335297" w:rsidRDefault="005A25A0" w:rsidP="0006589F">
            <w:pPr>
              <w:spacing w:after="0"/>
              <w:jc w:val="center"/>
              <w:rPr>
                <w:rFonts w:eastAsia="Times New Roman"/>
                <w:szCs w:val="20"/>
              </w:rPr>
            </w:pPr>
            <w:r w:rsidRPr="00335297">
              <w:rPr>
                <w:rFonts w:eastAsia="Times New Roman"/>
                <w:szCs w:val="20"/>
              </w:rPr>
              <w:t>$31,266</w:t>
            </w:r>
          </w:p>
        </w:tc>
        <w:tc>
          <w:tcPr>
            <w:tcW w:w="900" w:type="dxa"/>
            <w:noWrap/>
            <w:hideMark/>
          </w:tcPr>
          <w:p w14:paraId="2868C2E5" w14:textId="77777777" w:rsidR="005A25A0" w:rsidRPr="00335297" w:rsidRDefault="005A25A0" w:rsidP="0006589F">
            <w:pPr>
              <w:spacing w:after="0"/>
              <w:jc w:val="center"/>
              <w:rPr>
                <w:rFonts w:eastAsia="Times New Roman"/>
                <w:szCs w:val="20"/>
              </w:rPr>
            </w:pPr>
            <w:r w:rsidRPr="00335297">
              <w:rPr>
                <w:rFonts w:eastAsia="Times New Roman"/>
                <w:szCs w:val="20"/>
              </w:rPr>
              <w:t>$2,659</w:t>
            </w:r>
          </w:p>
        </w:tc>
        <w:tc>
          <w:tcPr>
            <w:tcW w:w="751" w:type="dxa"/>
            <w:noWrap/>
            <w:hideMark/>
          </w:tcPr>
          <w:p w14:paraId="5609A554"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4B18750F" w14:textId="77777777" w:rsidR="005A25A0" w:rsidRPr="00335297" w:rsidRDefault="005A25A0" w:rsidP="0006589F">
            <w:pPr>
              <w:spacing w:after="0"/>
              <w:jc w:val="center"/>
              <w:rPr>
                <w:rFonts w:eastAsia="Times New Roman"/>
                <w:szCs w:val="20"/>
              </w:rPr>
            </w:pPr>
            <w:r w:rsidRPr="00335297">
              <w:rPr>
                <w:rFonts w:eastAsia="Times New Roman"/>
                <w:szCs w:val="20"/>
              </w:rPr>
              <w:t>271</w:t>
            </w:r>
          </w:p>
        </w:tc>
        <w:tc>
          <w:tcPr>
            <w:tcW w:w="1235" w:type="dxa"/>
            <w:noWrap/>
            <w:hideMark/>
          </w:tcPr>
          <w:p w14:paraId="044FAFB9" w14:textId="77777777" w:rsidR="005A25A0" w:rsidRPr="00335297" w:rsidRDefault="005A25A0" w:rsidP="0006589F">
            <w:pPr>
              <w:spacing w:after="0"/>
              <w:jc w:val="center"/>
              <w:rPr>
                <w:rFonts w:eastAsia="Times New Roman"/>
                <w:szCs w:val="20"/>
              </w:rPr>
            </w:pPr>
            <w:r w:rsidRPr="00335297">
              <w:rPr>
                <w:rFonts w:eastAsia="Times New Roman"/>
                <w:szCs w:val="20"/>
              </w:rPr>
              <w:t>Gamma</w:t>
            </w:r>
          </w:p>
        </w:tc>
      </w:tr>
      <w:tr w:rsidR="005A25A0" w:rsidRPr="008E05A4" w14:paraId="4DD2F755" w14:textId="77777777" w:rsidTr="0006589F">
        <w:trPr>
          <w:trHeight w:val="53"/>
        </w:trPr>
        <w:tc>
          <w:tcPr>
            <w:tcW w:w="6332" w:type="dxa"/>
            <w:noWrap/>
            <w:hideMark/>
          </w:tcPr>
          <w:p w14:paraId="3F1D9FB5" w14:textId="77777777" w:rsidR="005A25A0" w:rsidRPr="00335297" w:rsidRDefault="005A25A0" w:rsidP="0006589F">
            <w:pPr>
              <w:spacing w:after="0"/>
              <w:rPr>
                <w:rFonts w:eastAsia="Times New Roman"/>
                <w:szCs w:val="20"/>
              </w:rPr>
            </w:pPr>
            <w:r w:rsidRPr="00335297">
              <w:rPr>
                <w:rFonts w:eastAsia="Times New Roman"/>
                <w:szCs w:val="20"/>
              </w:rPr>
              <w:t>Hip fracture, per event</w:t>
            </w:r>
          </w:p>
        </w:tc>
        <w:tc>
          <w:tcPr>
            <w:tcW w:w="900" w:type="dxa"/>
            <w:noWrap/>
            <w:hideMark/>
          </w:tcPr>
          <w:p w14:paraId="6E84A909" w14:textId="77777777" w:rsidR="005A25A0" w:rsidRPr="00335297" w:rsidRDefault="005A25A0" w:rsidP="0006589F">
            <w:pPr>
              <w:spacing w:after="0"/>
              <w:jc w:val="center"/>
              <w:rPr>
                <w:rFonts w:eastAsia="Times New Roman"/>
                <w:szCs w:val="20"/>
              </w:rPr>
            </w:pPr>
            <w:r w:rsidRPr="00335297">
              <w:rPr>
                <w:rFonts w:eastAsia="Times New Roman"/>
                <w:szCs w:val="20"/>
              </w:rPr>
              <w:t>$20,390</w:t>
            </w:r>
          </w:p>
        </w:tc>
        <w:tc>
          <w:tcPr>
            <w:tcW w:w="900" w:type="dxa"/>
            <w:noWrap/>
            <w:hideMark/>
          </w:tcPr>
          <w:p w14:paraId="7255B447" w14:textId="77777777" w:rsidR="005A25A0" w:rsidRPr="00335297" w:rsidRDefault="005A25A0" w:rsidP="0006589F">
            <w:pPr>
              <w:spacing w:after="0"/>
              <w:jc w:val="center"/>
              <w:rPr>
                <w:rFonts w:eastAsia="Times New Roman"/>
                <w:szCs w:val="20"/>
              </w:rPr>
            </w:pPr>
            <w:r w:rsidRPr="00335297">
              <w:rPr>
                <w:rFonts w:eastAsia="Times New Roman"/>
                <w:szCs w:val="20"/>
              </w:rPr>
              <w:t>$16,312</w:t>
            </w:r>
          </w:p>
        </w:tc>
        <w:tc>
          <w:tcPr>
            <w:tcW w:w="990" w:type="dxa"/>
            <w:noWrap/>
            <w:hideMark/>
          </w:tcPr>
          <w:p w14:paraId="5CF20B4A" w14:textId="77777777" w:rsidR="005A25A0" w:rsidRPr="00335297" w:rsidRDefault="005A25A0" w:rsidP="0006589F">
            <w:pPr>
              <w:spacing w:after="0"/>
              <w:jc w:val="center"/>
              <w:rPr>
                <w:rFonts w:eastAsia="Times New Roman"/>
                <w:szCs w:val="20"/>
              </w:rPr>
            </w:pPr>
            <w:r w:rsidRPr="00335297">
              <w:rPr>
                <w:rFonts w:eastAsia="Times New Roman"/>
                <w:szCs w:val="20"/>
              </w:rPr>
              <w:t>$24,468</w:t>
            </w:r>
          </w:p>
        </w:tc>
        <w:tc>
          <w:tcPr>
            <w:tcW w:w="900" w:type="dxa"/>
            <w:noWrap/>
            <w:hideMark/>
          </w:tcPr>
          <w:p w14:paraId="4CA80DB1" w14:textId="77777777" w:rsidR="005A25A0" w:rsidRPr="00335297" w:rsidRDefault="005A25A0" w:rsidP="0006589F">
            <w:pPr>
              <w:spacing w:after="0"/>
              <w:jc w:val="center"/>
              <w:rPr>
                <w:rFonts w:eastAsia="Times New Roman"/>
                <w:szCs w:val="20"/>
              </w:rPr>
            </w:pPr>
            <w:r w:rsidRPr="00335297">
              <w:rPr>
                <w:rFonts w:eastAsia="Times New Roman"/>
                <w:szCs w:val="20"/>
              </w:rPr>
              <w:t>$2,081</w:t>
            </w:r>
          </w:p>
        </w:tc>
        <w:tc>
          <w:tcPr>
            <w:tcW w:w="751" w:type="dxa"/>
            <w:noWrap/>
            <w:hideMark/>
          </w:tcPr>
          <w:p w14:paraId="66222A26"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47B7CE65" w14:textId="77777777" w:rsidR="005A25A0" w:rsidRPr="00335297" w:rsidRDefault="005A25A0" w:rsidP="0006589F">
            <w:pPr>
              <w:spacing w:after="0"/>
              <w:jc w:val="center"/>
              <w:rPr>
                <w:rFonts w:eastAsia="Times New Roman"/>
                <w:szCs w:val="20"/>
              </w:rPr>
            </w:pPr>
            <w:r w:rsidRPr="00335297">
              <w:rPr>
                <w:rFonts w:eastAsia="Times New Roman"/>
                <w:szCs w:val="20"/>
              </w:rPr>
              <w:t>212</w:t>
            </w:r>
          </w:p>
        </w:tc>
        <w:tc>
          <w:tcPr>
            <w:tcW w:w="1235" w:type="dxa"/>
            <w:noWrap/>
            <w:hideMark/>
          </w:tcPr>
          <w:p w14:paraId="7175C351" w14:textId="77777777" w:rsidR="005A25A0" w:rsidRPr="00335297" w:rsidRDefault="005A25A0" w:rsidP="0006589F">
            <w:pPr>
              <w:spacing w:after="0"/>
              <w:jc w:val="center"/>
              <w:rPr>
                <w:rFonts w:eastAsia="Times New Roman"/>
                <w:szCs w:val="20"/>
              </w:rPr>
            </w:pPr>
            <w:r w:rsidRPr="00335297">
              <w:rPr>
                <w:rFonts w:eastAsia="Times New Roman"/>
                <w:szCs w:val="20"/>
              </w:rPr>
              <w:t>Gamma</w:t>
            </w:r>
          </w:p>
        </w:tc>
      </w:tr>
      <w:tr w:rsidR="005A25A0" w:rsidRPr="008E05A4" w14:paraId="78330E2A" w14:textId="77777777" w:rsidTr="0006589F">
        <w:trPr>
          <w:trHeight w:val="53"/>
        </w:trPr>
        <w:tc>
          <w:tcPr>
            <w:tcW w:w="6332" w:type="dxa"/>
            <w:noWrap/>
            <w:hideMark/>
          </w:tcPr>
          <w:p w14:paraId="316749ED" w14:textId="77777777" w:rsidR="005A25A0" w:rsidRPr="00335297" w:rsidRDefault="005A25A0" w:rsidP="0006589F">
            <w:pPr>
              <w:spacing w:after="0"/>
              <w:rPr>
                <w:rFonts w:eastAsia="Times New Roman"/>
                <w:szCs w:val="20"/>
              </w:rPr>
            </w:pPr>
            <w:r>
              <w:rPr>
                <w:rFonts w:eastAsia="Times New Roman"/>
                <w:szCs w:val="20"/>
              </w:rPr>
              <w:t>MACE</w:t>
            </w:r>
            <w:r w:rsidRPr="00335297">
              <w:rPr>
                <w:rFonts w:eastAsia="Times New Roman"/>
                <w:szCs w:val="20"/>
              </w:rPr>
              <w:t>, per event</w:t>
            </w:r>
          </w:p>
        </w:tc>
        <w:tc>
          <w:tcPr>
            <w:tcW w:w="900" w:type="dxa"/>
            <w:noWrap/>
            <w:hideMark/>
          </w:tcPr>
          <w:p w14:paraId="628BDEF7" w14:textId="77777777" w:rsidR="005A25A0" w:rsidRPr="00335297" w:rsidRDefault="005A25A0" w:rsidP="0006589F">
            <w:pPr>
              <w:spacing w:after="0"/>
              <w:jc w:val="center"/>
              <w:rPr>
                <w:rFonts w:eastAsia="Times New Roman"/>
                <w:szCs w:val="20"/>
              </w:rPr>
            </w:pPr>
            <w:r w:rsidRPr="00335297">
              <w:rPr>
                <w:rFonts w:eastAsia="Times New Roman"/>
                <w:szCs w:val="20"/>
              </w:rPr>
              <w:t>$36,981</w:t>
            </w:r>
          </w:p>
        </w:tc>
        <w:tc>
          <w:tcPr>
            <w:tcW w:w="900" w:type="dxa"/>
            <w:noWrap/>
            <w:hideMark/>
          </w:tcPr>
          <w:p w14:paraId="2AF589B7" w14:textId="77777777" w:rsidR="005A25A0" w:rsidRPr="00335297" w:rsidRDefault="005A25A0" w:rsidP="0006589F">
            <w:pPr>
              <w:spacing w:after="0"/>
              <w:jc w:val="center"/>
              <w:rPr>
                <w:rFonts w:eastAsia="Times New Roman"/>
                <w:szCs w:val="20"/>
              </w:rPr>
            </w:pPr>
            <w:r w:rsidRPr="00335297">
              <w:rPr>
                <w:rFonts w:eastAsia="Times New Roman"/>
                <w:szCs w:val="20"/>
              </w:rPr>
              <w:t>$29,584</w:t>
            </w:r>
          </w:p>
        </w:tc>
        <w:tc>
          <w:tcPr>
            <w:tcW w:w="990" w:type="dxa"/>
            <w:noWrap/>
            <w:hideMark/>
          </w:tcPr>
          <w:p w14:paraId="28B0FF1C" w14:textId="77777777" w:rsidR="005A25A0" w:rsidRPr="00335297" w:rsidRDefault="005A25A0" w:rsidP="0006589F">
            <w:pPr>
              <w:spacing w:after="0"/>
              <w:jc w:val="center"/>
              <w:rPr>
                <w:rFonts w:eastAsia="Times New Roman"/>
                <w:szCs w:val="20"/>
              </w:rPr>
            </w:pPr>
            <w:r w:rsidRPr="00335297">
              <w:rPr>
                <w:rFonts w:eastAsia="Times New Roman"/>
                <w:szCs w:val="20"/>
              </w:rPr>
              <w:t>$44,377</w:t>
            </w:r>
          </w:p>
        </w:tc>
        <w:tc>
          <w:tcPr>
            <w:tcW w:w="900" w:type="dxa"/>
            <w:noWrap/>
            <w:hideMark/>
          </w:tcPr>
          <w:p w14:paraId="29378F8B" w14:textId="77777777" w:rsidR="005A25A0" w:rsidRPr="00335297" w:rsidRDefault="005A25A0" w:rsidP="0006589F">
            <w:pPr>
              <w:spacing w:after="0"/>
              <w:jc w:val="center"/>
              <w:rPr>
                <w:rFonts w:eastAsia="Times New Roman"/>
                <w:szCs w:val="20"/>
              </w:rPr>
            </w:pPr>
            <w:r w:rsidRPr="00335297">
              <w:rPr>
                <w:rFonts w:eastAsia="Times New Roman"/>
                <w:szCs w:val="20"/>
              </w:rPr>
              <w:t>$3,774</w:t>
            </w:r>
          </w:p>
        </w:tc>
        <w:tc>
          <w:tcPr>
            <w:tcW w:w="751" w:type="dxa"/>
            <w:noWrap/>
            <w:hideMark/>
          </w:tcPr>
          <w:p w14:paraId="538A8E14"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05797328" w14:textId="77777777" w:rsidR="005A25A0" w:rsidRPr="00335297" w:rsidRDefault="005A25A0" w:rsidP="0006589F">
            <w:pPr>
              <w:spacing w:after="0"/>
              <w:jc w:val="center"/>
              <w:rPr>
                <w:rFonts w:eastAsia="Times New Roman"/>
                <w:szCs w:val="20"/>
              </w:rPr>
            </w:pPr>
            <w:r w:rsidRPr="00335297">
              <w:rPr>
                <w:rFonts w:eastAsia="Times New Roman"/>
                <w:szCs w:val="20"/>
              </w:rPr>
              <w:t>385</w:t>
            </w:r>
          </w:p>
        </w:tc>
        <w:tc>
          <w:tcPr>
            <w:tcW w:w="1235" w:type="dxa"/>
            <w:noWrap/>
            <w:hideMark/>
          </w:tcPr>
          <w:p w14:paraId="1F436980" w14:textId="77777777" w:rsidR="005A25A0" w:rsidRPr="00335297" w:rsidRDefault="005A25A0" w:rsidP="0006589F">
            <w:pPr>
              <w:spacing w:after="0"/>
              <w:jc w:val="center"/>
              <w:rPr>
                <w:rFonts w:eastAsia="Times New Roman"/>
                <w:szCs w:val="20"/>
              </w:rPr>
            </w:pPr>
            <w:r w:rsidRPr="00335297">
              <w:rPr>
                <w:rFonts w:eastAsia="Times New Roman"/>
                <w:szCs w:val="20"/>
              </w:rPr>
              <w:t>Gamma</w:t>
            </w:r>
          </w:p>
        </w:tc>
      </w:tr>
      <w:tr w:rsidR="005A25A0" w:rsidRPr="008E05A4" w14:paraId="696C8C66" w14:textId="77777777" w:rsidTr="0006589F">
        <w:trPr>
          <w:trHeight w:val="53"/>
        </w:trPr>
        <w:tc>
          <w:tcPr>
            <w:tcW w:w="6332" w:type="dxa"/>
            <w:noWrap/>
            <w:hideMark/>
          </w:tcPr>
          <w:p w14:paraId="59B36A13" w14:textId="77777777" w:rsidR="005A25A0" w:rsidRPr="00335297" w:rsidRDefault="005A25A0" w:rsidP="0006589F">
            <w:pPr>
              <w:spacing w:after="0"/>
              <w:rPr>
                <w:rFonts w:eastAsia="Times New Roman"/>
                <w:szCs w:val="20"/>
              </w:rPr>
            </w:pPr>
            <w:r w:rsidRPr="00335297">
              <w:rPr>
                <w:rFonts w:eastAsia="Times New Roman"/>
                <w:szCs w:val="20"/>
              </w:rPr>
              <w:t>IBD-related hospitalization, per event</w:t>
            </w:r>
          </w:p>
        </w:tc>
        <w:tc>
          <w:tcPr>
            <w:tcW w:w="900" w:type="dxa"/>
            <w:noWrap/>
            <w:hideMark/>
          </w:tcPr>
          <w:p w14:paraId="52F94ED1" w14:textId="77777777" w:rsidR="005A25A0" w:rsidRPr="00335297" w:rsidRDefault="005A25A0" w:rsidP="0006589F">
            <w:pPr>
              <w:spacing w:after="0"/>
              <w:jc w:val="center"/>
              <w:rPr>
                <w:rFonts w:eastAsia="Times New Roman"/>
                <w:szCs w:val="20"/>
              </w:rPr>
            </w:pPr>
            <w:r w:rsidRPr="00335297">
              <w:rPr>
                <w:rFonts w:eastAsia="Times New Roman"/>
                <w:szCs w:val="20"/>
              </w:rPr>
              <w:t>$12,059</w:t>
            </w:r>
          </w:p>
        </w:tc>
        <w:tc>
          <w:tcPr>
            <w:tcW w:w="900" w:type="dxa"/>
            <w:noWrap/>
            <w:hideMark/>
          </w:tcPr>
          <w:p w14:paraId="415181B1" w14:textId="77777777" w:rsidR="005A25A0" w:rsidRPr="00335297" w:rsidRDefault="005A25A0" w:rsidP="0006589F">
            <w:pPr>
              <w:spacing w:after="0"/>
              <w:jc w:val="center"/>
              <w:rPr>
                <w:rFonts w:eastAsia="Times New Roman"/>
                <w:szCs w:val="20"/>
              </w:rPr>
            </w:pPr>
            <w:r w:rsidRPr="00335297">
              <w:rPr>
                <w:rFonts w:eastAsia="Times New Roman"/>
                <w:szCs w:val="20"/>
              </w:rPr>
              <w:t>$9,647</w:t>
            </w:r>
          </w:p>
        </w:tc>
        <w:tc>
          <w:tcPr>
            <w:tcW w:w="990" w:type="dxa"/>
            <w:noWrap/>
            <w:hideMark/>
          </w:tcPr>
          <w:p w14:paraId="6EE92E00" w14:textId="77777777" w:rsidR="005A25A0" w:rsidRPr="00335297" w:rsidRDefault="005A25A0" w:rsidP="0006589F">
            <w:pPr>
              <w:spacing w:after="0"/>
              <w:jc w:val="center"/>
              <w:rPr>
                <w:rFonts w:eastAsia="Times New Roman"/>
                <w:szCs w:val="20"/>
              </w:rPr>
            </w:pPr>
            <w:r w:rsidRPr="00335297">
              <w:rPr>
                <w:rFonts w:eastAsia="Times New Roman"/>
                <w:szCs w:val="20"/>
              </w:rPr>
              <w:t>$14,470</w:t>
            </w:r>
          </w:p>
        </w:tc>
        <w:tc>
          <w:tcPr>
            <w:tcW w:w="900" w:type="dxa"/>
            <w:noWrap/>
            <w:hideMark/>
          </w:tcPr>
          <w:p w14:paraId="0296B9E1" w14:textId="77777777" w:rsidR="005A25A0" w:rsidRPr="00335297" w:rsidRDefault="005A25A0" w:rsidP="0006589F">
            <w:pPr>
              <w:spacing w:after="0"/>
              <w:jc w:val="center"/>
              <w:rPr>
                <w:rFonts w:eastAsia="Times New Roman"/>
                <w:szCs w:val="20"/>
              </w:rPr>
            </w:pPr>
            <w:r w:rsidRPr="00335297">
              <w:rPr>
                <w:rFonts w:eastAsia="Times New Roman"/>
                <w:szCs w:val="20"/>
              </w:rPr>
              <w:t>$1,230</w:t>
            </w:r>
          </w:p>
        </w:tc>
        <w:tc>
          <w:tcPr>
            <w:tcW w:w="751" w:type="dxa"/>
            <w:noWrap/>
            <w:hideMark/>
          </w:tcPr>
          <w:p w14:paraId="6B659439"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32F44459" w14:textId="77777777" w:rsidR="005A25A0" w:rsidRPr="00335297" w:rsidRDefault="005A25A0" w:rsidP="0006589F">
            <w:pPr>
              <w:spacing w:after="0"/>
              <w:jc w:val="center"/>
              <w:rPr>
                <w:rFonts w:eastAsia="Times New Roman"/>
                <w:szCs w:val="20"/>
              </w:rPr>
            </w:pPr>
            <w:r w:rsidRPr="00335297">
              <w:rPr>
                <w:rFonts w:eastAsia="Times New Roman"/>
                <w:szCs w:val="20"/>
              </w:rPr>
              <w:t>126</w:t>
            </w:r>
          </w:p>
        </w:tc>
        <w:tc>
          <w:tcPr>
            <w:tcW w:w="1235" w:type="dxa"/>
            <w:noWrap/>
            <w:hideMark/>
          </w:tcPr>
          <w:p w14:paraId="5FEEDBA1" w14:textId="77777777" w:rsidR="005A25A0" w:rsidRPr="00335297" w:rsidRDefault="005A25A0" w:rsidP="0006589F">
            <w:pPr>
              <w:spacing w:after="0"/>
              <w:jc w:val="center"/>
              <w:rPr>
                <w:rFonts w:eastAsia="Times New Roman"/>
                <w:szCs w:val="20"/>
              </w:rPr>
            </w:pPr>
            <w:r w:rsidRPr="00335297">
              <w:rPr>
                <w:rFonts w:eastAsia="Times New Roman"/>
                <w:szCs w:val="20"/>
              </w:rPr>
              <w:t>Gamma</w:t>
            </w:r>
          </w:p>
        </w:tc>
      </w:tr>
      <w:tr w:rsidR="005A25A0" w:rsidRPr="008E05A4" w14:paraId="46A55CD0" w14:textId="77777777" w:rsidTr="0006589F">
        <w:trPr>
          <w:trHeight w:val="53"/>
        </w:trPr>
        <w:tc>
          <w:tcPr>
            <w:tcW w:w="6332" w:type="dxa"/>
            <w:noWrap/>
            <w:hideMark/>
          </w:tcPr>
          <w:p w14:paraId="045307E4" w14:textId="77777777" w:rsidR="005A25A0" w:rsidRPr="00335297" w:rsidRDefault="005A25A0" w:rsidP="0006589F">
            <w:pPr>
              <w:spacing w:after="0"/>
              <w:rPr>
                <w:rFonts w:eastAsia="Times New Roman"/>
                <w:szCs w:val="20"/>
              </w:rPr>
            </w:pPr>
            <w:r w:rsidRPr="00335297">
              <w:rPr>
                <w:rFonts w:eastAsia="Times New Roman"/>
                <w:szCs w:val="20"/>
              </w:rPr>
              <w:t>Office visit</w:t>
            </w:r>
          </w:p>
        </w:tc>
        <w:tc>
          <w:tcPr>
            <w:tcW w:w="900" w:type="dxa"/>
            <w:noWrap/>
            <w:hideMark/>
          </w:tcPr>
          <w:p w14:paraId="00625959" w14:textId="77777777" w:rsidR="005A25A0" w:rsidRPr="00335297" w:rsidRDefault="005A25A0" w:rsidP="0006589F">
            <w:pPr>
              <w:spacing w:after="0"/>
              <w:jc w:val="center"/>
              <w:rPr>
                <w:rFonts w:eastAsia="Times New Roman"/>
                <w:szCs w:val="20"/>
              </w:rPr>
            </w:pPr>
            <w:r w:rsidRPr="00335297">
              <w:rPr>
                <w:rFonts w:eastAsia="Times New Roman"/>
                <w:szCs w:val="20"/>
              </w:rPr>
              <w:t>$410</w:t>
            </w:r>
          </w:p>
        </w:tc>
        <w:tc>
          <w:tcPr>
            <w:tcW w:w="900" w:type="dxa"/>
            <w:noWrap/>
            <w:hideMark/>
          </w:tcPr>
          <w:p w14:paraId="580A628E" w14:textId="77777777" w:rsidR="005A25A0" w:rsidRPr="00335297" w:rsidRDefault="005A25A0" w:rsidP="0006589F">
            <w:pPr>
              <w:spacing w:after="0"/>
              <w:jc w:val="center"/>
              <w:rPr>
                <w:rFonts w:eastAsia="Times New Roman"/>
                <w:szCs w:val="20"/>
              </w:rPr>
            </w:pPr>
            <w:r w:rsidRPr="00335297">
              <w:rPr>
                <w:rFonts w:eastAsia="Times New Roman"/>
                <w:szCs w:val="20"/>
              </w:rPr>
              <w:t>$328</w:t>
            </w:r>
          </w:p>
        </w:tc>
        <w:tc>
          <w:tcPr>
            <w:tcW w:w="990" w:type="dxa"/>
            <w:noWrap/>
            <w:hideMark/>
          </w:tcPr>
          <w:p w14:paraId="2173B669" w14:textId="77777777" w:rsidR="005A25A0" w:rsidRPr="00335297" w:rsidRDefault="005A25A0" w:rsidP="0006589F">
            <w:pPr>
              <w:spacing w:after="0"/>
              <w:jc w:val="center"/>
              <w:rPr>
                <w:rFonts w:eastAsia="Times New Roman"/>
                <w:szCs w:val="20"/>
              </w:rPr>
            </w:pPr>
            <w:r w:rsidRPr="00335297">
              <w:rPr>
                <w:rFonts w:eastAsia="Times New Roman"/>
                <w:szCs w:val="20"/>
              </w:rPr>
              <w:t>$493</w:t>
            </w:r>
          </w:p>
        </w:tc>
        <w:tc>
          <w:tcPr>
            <w:tcW w:w="900" w:type="dxa"/>
            <w:noWrap/>
            <w:hideMark/>
          </w:tcPr>
          <w:p w14:paraId="6F298D51" w14:textId="77777777" w:rsidR="005A25A0" w:rsidRPr="00335297" w:rsidRDefault="005A25A0" w:rsidP="0006589F">
            <w:pPr>
              <w:spacing w:after="0"/>
              <w:jc w:val="center"/>
              <w:rPr>
                <w:rFonts w:eastAsia="Times New Roman"/>
                <w:szCs w:val="20"/>
              </w:rPr>
            </w:pPr>
            <w:r w:rsidRPr="00335297">
              <w:rPr>
                <w:rFonts w:eastAsia="Times New Roman"/>
                <w:szCs w:val="20"/>
              </w:rPr>
              <w:t>$42</w:t>
            </w:r>
          </w:p>
        </w:tc>
        <w:tc>
          <w:tcPr>
            <w:tcW w:w="751" w:type="dxa"/>
            <w:noWrap/>
            <w:hideMark/>
          </w:tcPr>
          <w:p w14:paraId="281F5EF4"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568A7A4D" w14:textId="77777777" w:rsidR="005A25A0" w:rsidRPr="00335297" w:rsidRDefault="005A25A0" w:rsidP="0006589F">
            <w:pPr>
              <w:spacing w:after="0"/>
              <w:jc w:val="center"/>
              <w:rPr>
                <w:rFonts w:eastAsia="Times New Roman"/>
                <w:szCs w:val="20"/>
              </w:rPr>
            </w:pPr>
            <w:r w:rsidRPr="00335297">
              <w:rPr>
                <w:rFonts w:eastAsia="Times New Roman"/>
                <w:szCs w:val="20"/>
              </w:rPr>
              <w:t>4</w:t>
            </w:r>
          </w:p>
        </w:tc>
        <w:tc>
          <w:tcPr>
            <w:tcW w:w="1235" w:type="dxa"/>
            <w:noWrap/>
            <w:hideMark/>
          </w:tcPr>
          <w:p w14:paraId="1982B6A3" w14:textId="77777777" w:rsidR="005A25A0" w:rsidRPr="00335297" w:rsidRDefault="005A25A0" w:rsidP="0006589F">
            <w:pPr>
              <w:spacing w:after="0"/>
              <w:jc w:val="center"/>
              <w:rPr>
                <w:rFonts w:eastAsia="Times New Roman"/>
                <w:szCs w:val="20"/>
              </w:rPr>
            </w:pPr>
            <w:r w:rsidRPr="00335297">
              <w:rPr>
                <w:rFonts w:eastAsia="Times New Roman"/>
                <w:szCs w:val="20"/>
              </w:rPr>
              <w:t>Gamma</w:t>
            </w:r>
          </w:p>
        </w:tc>
      </w:tr>
      <w:tr w:rsidR="005A25A0" w:rsidRPr="008E05A4" w14:paraId="327CBAE5" w14:textId="77777777" w:rsidTr="0006589F">
        <w:trPr>
          <w:trHeight w:val="53"/>
        </w:trPr>
        <w:tc>
          <w:tcPr>
            <w:tcW w:w="12902" w:type="dxa"/>
            <w:gridSpan w:val="9"/>
            <w:shd w:val="clear" w:color="auto" w:fill="F2F2F2" w:themeFill="background1" w:themeFillShade="F2"/>
            <w:noWrap/>
          </w:tcPr>
          <w:p w14:paraId="50E669FC" w14:textId="77777777" w:rsidR="005A25A0" w:rsidRPr="007C42FC" w:rsidRDefault="005A25A0" w:rsidP="0006589F">
            <w:pPr>
              <w:spacing w:after="0"/>
              <w:jc w:val="center"/>
              <w:rPr>
                <w:rFonts w:eastAsia="Times New Roman"/>
                <w:b/>
                <w:bCs/>
                <w:i/>
                <w:iCs/>
                <w:szCs w:val="20"/>
              </w:rPr>
            </w:pPr>
            <w:r w:rsidRPr="007C42FC">
              <w:rPr>
                <w:rFonts w:eastAsia="Times New Roman"/>
                <w:b/>
                <w:bCs/>
                <w:i/>
                <w:iCs/>
                <w:szCs w:val="20"/>
              </w:rPr>
              <w:t>Payer Assumptions</w:t>
            </w:r>
          </w:p>
        </w:tc>
      </w:tr>
      <w:tr w:rsidR="005A25A0" w:rsidRPr="008E05A4" w14:paraId="39739592" w14:textId="77777777" w:rsidTr="0006589F">
        <w:trPr>
          <w:trHeight w:val="116"/>
        </w:trPr>
        <w:tc>
          <w:tcPr>
            <w:tcW w:w="6332" w:type="dxa"/>
            <w:noWrap/>
          </w:tcPr>
          <w:p w14:paraId="761AAE91" w14:textId="77777777" w:rsidR="005A25A0" w:rsidRPr="00335297" w:rsidRDefault="005A25A0" w:rsidP="0006589F">
            <w:pPr>
              <w:spacing w:after="0"/>
              <w:rPr>
                <w:rFonts w:eastAsia="Times New Roman"/>
                <w:szCs w:val="20"/>
              </w:rPr>
            </w:pPr>
            <w:r>
              <w:rPr>
                <w:rFonts w:eastAsia="Times New Roman"/>
                <w:szCs w:val="20"/>
              </w:rPr>
              <w:t>Proportion of patients with Medicare as primary payer</w:t>
            </w:r>
          </w:p>
        </w:tc>
        <w:tc>
          <w:tcPr>
            <w:tcW w:w="3690" w:type="dxa"/>
            <w:gridSpan w:val="4"/>
            <w:noWrap/>
          </w:tcPr>
          <w:p w14:paraId="78A7E689" w14:textId="77777777" w:rsidR="005A25A0" w:rsidRPr="00335297" w:rsidRDefault="005A25A0" w:rsidP="0006589F">
            <w:pPr>
              <w:spacing w:after="0"/>
              <w:jc w:val="center"/>
              <w:rPr>
                <w:rFonts w:eastAsia="Times New Roman"/>
                <w:szCs w:val="20"/>
              </w:rPr>
            </w:pPr>
            <w:r>
              <w:rPr>
                <w:rFonts w:eastAsia="Times New Roman"/>
                <w:szCs w:val="20"/>
              </w:rPr>
              <w:t>0.35</w:t>
            </w:r>
          </w:p>
        </w:tc>
        <w:tc>
          <w:tcPr>
            <w:tcW w:w="2880" w:type="dxa"/>
            <w:gridSpan w:val="4"/>
            <w:noWrap/>
          </w:tcPr>
          <w:p w14:paraId="5C440B55" w14:textId="77777777" w:rsidR="005A25A0" w:rsidRPr="00335297" w:rsidRDefault="005A25A0" w:rsidP="0006589F">
            <w:pPr>
              <w:spacing w:after="0"/>
              <w:jc w:val="center"/>
              <w:rPr>
                <w:rFonts w:eastAsia="Times New Roman"/>
                <w:szCs w:val="20"/>
              </w:rPr>
            </w:pPr>
            <w:r>
              <w:rPr>
                <w:rFonts w:eastAsia="Times New Roman"/>
                <w:szCs w:val="20"/>
              </w:rPr>
              <w:t>Not varied in PSA</w:t>
            </w:r>
          </w:p>
        </w:tc>
      </w:tr>
      <w:tr w:rsidR="005A25A0" w:rsidRPr="008E05A4" w14:paraId="4EACE32E" w14:textId="77777777" w:rsidTr="0006589F">
        <w:trPr>
          <w:trHeight w:val="58"/>
        </w:trPr>
        <w:tc>
          <w:tcPr>
            <w:tcW w:w="6332" w:type="dxa"/>
            <w:noWrap/>
          </w:tcPr>
          <w:p w14:paraId="223DC5C7" w14:textId="77777777" w:rsidR="005A25A0" w:rsidRPr="00335297" w:rsidRDefault="005A25A0" w:rsidP="0006589F">
            <w:pPr>
              <w:spacing w:after="0"/>
              <w:rPr>
                <w:rFonts w:eastAsia="Times New Roman"/>
                <w:szCs w:val="20"/>
              </w:rPr>
            </w:pPr>
            <w:r>
              <w:rPr>
                <w:rFonts w:eastAsia="Times New Roman"/>
                <w:szCs w:val="20"/>
              </w:rPr>
              <w:t>Proportion of patients with Medicaid as primary payer</w:t>
            </w:r>
          </w:p>
        </w:tc>
        <w:tc>
          <w:tcPr>
            <w:tcW w:w="3690" w:type="dxa"/>
            <w:gridSpan w:val="4"/>
            <w:noWrap/>
          </w:tcPr>
          <w:p w14:paraId="36D91E90" w14:textId="77777777" w:rsidR="005A25A0" w:rsidRPr="00335297" w:rsidRDefault="005A25A0" w:rsidP="0006589F">
            <w:pPr>
              <w:spacing w:after="0"/>
              <w:jc w:val="center"/>
              <w:rPr>
                <w:rFonts w:eastAsia="Times New Roman"/>
                <w:szCs w:val="20"/>
              </w:rPr>
            </w:pPr>
            <w:r>
              <w:rPr>
                <w:rFonts w:eastAsia="Times New Roman"/>
                <w:szCs w:val="20"/>
              </w:rPr>
              <w:t>0.08</w:t>
            </w:r>
          </w:p>
        </w:tc>
        <w:tc>
          <w:tcPr>
            <w:tcW w:w="2880" w:type="dxa"/>
            <w:gridSpan w:val="4"/>
            <w:noWrap/>
          </w:tcPr>
          <w:p w14:paraId="427647CA" w14:textId="77777777" w:rsidR="005A25A0" w:rsidRPr="00335297" w:rsidRDefault="005A25A0" w:rsidP="0006589F">
            <w:pPr>
              <w:spacing w:after="0"/>
              <w:jc w:val="center"/>
              <w:rPr>
                <w:rFonts w:eastAsia="Times New Roman"/>
                <w:szCs w:val="20"/>
              </w:rPr>
            </w:pPr>
            <w:r>
              <w:rPr>
                <w:rFonts w:eastAsia="Times New Roman"/>
                <w:szCs w:val="20"/>
              </w:rPr>
              <w:t>Not varied in PSA</w:t>
            </w:r>
          </w:p>
        </w:tc>
      </w:tr>
      <w:tr w:rsidR="005A25A0" w:rsidRPr="008E05A4" w14:paraId="2430A6E8" w14:textId="77777777" w:rsidTr="0006589F">
        <w:trPr>
          <w:trHeight w:val="53"/>
        </w:trPr>
        <w:tc>
          <w:tcPr>
            <w:tcW w:w="12902" w:type="dxa"/>
            <w:gridSpan w:val="9"/>
            <w:shd w:val="clear" w:color="auto" w:fill="F2F2F2" w:themeFill="background1" w:themeFillShade="F2"/>
            <w:noWrap/>
          </w:tcPr>
          <w:p w14:paraId="59942A89" w14:textId="77777777" w:rsidR="005A25A0" w:rsidRPr="007C42FC" w:rsidRDefault="005A25A0" w:rsidP="0006589F">
            <w:pPr>
              <w:spacing w:after="0"/>
              <w:jc w:val="center"/>
              <w:rPr>
                <w:rFonts w:eastAsia="Times New Roman"/>
                <w:b/>
                <w:bCs/>
                <w:i/>
                <w:iCs/>
                <w:szCs w:val="20"/>
              </w:rPr>
            </w:pPr>
            <w:r w:rsidRPr="007C42FC">
              <w:rPr>
                <w:rFonts w:eastAsia="Times New Roman"/>
                <w:b/>
                <w:bCs/>
                <w:i/>
                <w:iCs/>
                <w:szCs w:val="20"/>
              </w:rPr>
              <w:lastRenderedPageBreak/>
              <w:t>Proportion of Health Outcomes Resulting in Death</w:t>
            </w:r>
          </w:p>
        </w:tc>
      </w:tr>
      <w:tr w:rsidR="005A25A0" w:rsidRPr="008E05A4" w14:paraId="5892BCEB" w14:textId="77777777" w:rsidTr="0006589F">
        <w:trPr>
          <w:trHeight w:val="53"/>
        </w:trPr>
        <w:tc>
          <w:tcPr>
            <w:tcW w:w="6332" w:type="dxa"/>
            <w:noWrap/>
          </w:tcPr>
          <w:p w14:paraId="797FE3A6" w14:textId="77777777" w:rsidR="005A25A0" w:rsidRPr="00335297" w:rsidRDefault="005A25A0" w:rsidP="0006589F">
            <w:pPr>
              <w:spacing w:after="0"/>
              <w:rPr>
                <w:rFonts w:eastAsia="Times New Roman"/>
                <w:szCs w:val="20"/>
              </w:rPr>
            </w:pPr>
            <w:r>
              <w:rPr>
                <w:rFonts w:eastAsia="Times New Roman"/>
                <w:szCs w:val="20"/>
              </w:rPr>
              <w:t>Hip fracture, proportion dying within 30 days</w:t>
            </w:r>
          </w:p>
        </w:tc>
        <w:tc>
          <w:tcPr>
            <w:tcW w:w="900" w:type="dxa"/>
            <w:noWrap/>
          </w:tcPr>
          <w:p w14:paraId="3A4D618C" w14:textId="77777777" w:rsidR="005A25A0" w:rsidRPr="00335297" w:rsidRDefault="005A25A0" w:rsidP="0006589F">
            <w:pPr>
              <w:spacing w:after="0"/>
              <w:jc w:val="center"/>
              <w:rPr>
                <w:rFonts w:eastAsia="Times New Roman"/>
                <w:szCs w:val="20"/>
              </w:rPr>
            </w:pPr>
            <w:r>
              <w:rPr>
                <w:rFonts w:eastAsia="Times New Roman"/>
                <w:szCs w:val="20"/>
              </w:rPr>
              <w:t>0.075</w:t>
            </w:r>
          </w:p>
        </w:tc>
        <w:tc>
          <w:tcPr>
            <w:tcW w:w="900" w:type="dxa"/>
            <w:noWrap/>
          </w:tcPr>
          <w:p w14:paraId="45A416A5" w14:textId="77777777" w:rsidR="005A25A0" w:rsidRPr="00335297" w:rsidRDefault="005A25A0" w:rsidP="0006589F">
            <w:pPr>
              <w:spacing w:after="0"/>
              <w:jc w:val="center"/>
              <w:rPr>
                <w:rFonts w:eastAsia="Times New Roman"/>
                <w:szCs w:val="20"/>
              </w:rPr>
            </w:pPr>
            <w:r>
              <w:rPr>
                <w:rFonts w:eastAsia="Times New Roman"/>
                <w:szCs w:val="20"/>
              </w:rPr>
              <w:t>0.060</w:t>
            </w:r>
          </w:p>
        </w:tc>
        <w:tc>
          <w:tcPr>
            <w:tcW w:w="990" w:type="dxa"/>
            <w:noWrap/>
          </w:tcPr>
          <w:p w14:paraId="4305892A" w14:textId="77777777" w:rsidR="005A25A0" w:rsidRPr="00335297" w:rsidRDefault="005A25A0" w:rsidP="0006589F">
            <w:pPr>
              <w:spacing w:after="0"/>
              <w:jc w:val="center"/>
              <w:rPr>
                <w:rFonts w:eastAsia="Times New Roman"/>
                <w:szCs w:val="20"/>
              </w:rPr>
            </w:pPr>
            <w:r>
              <w:rPr>
                <w:rFonts w:eastAsia="Times New Roman"/>
                <w:szCs w:val="20"/>
              </w:rPr>
              <w:t>0.090</w:t>
            </w:r>
          </w:p>
        </w:tc>
        <w:tc>
          <w:tcPr>
            <w:tcW w:w="900" w:type="dxa"/>
            <w:noWrap/>
          </w:tcPr>
          <w:p w14:paraId="466BE633" w14:textId="77777777" w:rsidR="005A25A0" w:rsidRPr="00335297" w:rsidRDefault="005A25A0" w:rsidP="0006589F">
            <w:pPr>
              <w:spacing w:after="0"/>
              <w:jc w:val="center"/>
              <w:rPr>
                <w:rFonts w:eastAsia="Times New Roman"/>
                <w:szCs w:val="20"/>
              </w:rPr>
            </w:pPr>
            <w:r>
              <w:rPr>
                <w:rFonts w:eastAsia="Times New Roman"/>
                <w:szCs w:val="20"/>
              </w:rPr>
              <w:t>0.008</w:t>
            </w:r>
          </w:p>
        </w:tc>
        <w:tc>
          <w:tcPr>
            <w:tcW w:w="751" w:type="dxa"/>
            <w:noWrap/>
          </w:tcPr>
          <w:p w14:paraId="346B197B" w14:textId="77777777" w:rsidR="005A25A0" w:rsidRPr="00335297" w:rsidRDefault="005A25A0" w:rsidP="0006589F">
            <w:pPr>
              <w:spacing w:after="0"/>
              <w:jc w:val="center"/>
              <w:rPr>
                <w:rFonts w:eastAsia="Times New Roman"/>
                <w:szCs w:val="20"/>
              </w:rPr>
            </w:pPr>
            <w:r>
              <w:rPr>
                <w:rFonts w:eastAsia="Times New Roman"/>
                <w:szCs w:val="20"/>
              </w:rPr>
              <w:t>89</w:t>
            </w:r>
          </w:p>
        </w:tc>
        <w:tc>
          <w:tcPr>
            <w:tcW w:w="894" w:type="dxa"/>
            <w:gridSpan w:val="2"/>
            <w:noWrap/>
          </w:tcPr>
          <w:p w14:paraId="0BBD4D31" w14:textId="77777777" w:rsidR="005A25A0" w:rsidRPr="00335297" w:rsidRDefault="005A25A0" w:rsidP="0006589F">
            <w:pPr>
              <w:spacing w:after="0"/>
              <w:jc w:val="center"/>
              <w:rPr>
                <w:rFonts w:eastAsia="Times New Roman"/>
                <w:szCs w:val="20"/>
              </w:rPr>
            </w:pPr>
            <w:r>
              <w:rPr>
                <w:rFonts w:eastAsia="Times New Roman"/>
                <w:szCs w:val="20"/>
              </w:rPr>
              <w:t>1095</w:t>
            </w:r>
          </w:p>
        </w:tc>
        <w:tc>
          <w:tcPr>
            <w:tcW w:w="1235" w:type="dxa"/>
            <w:noWrap/>
          </w:tcPr>
          <w:p w14:paraId="78470B8B" w14:textId="77777777" w:rsidR="005A25A0" w:rsidRPr="00335297" w:rsidRDefault="005A25A0" w:rsidP="0006589F">
            <w:pPr>
              <w:spacing w:after="0"/>
              <w:jc w:val="center"/>
              <w:rPr>
                <w:rFonts w:eastAsia="Times New Roman"/>
                <w:szCs w:val="20"/>
              </w:rPr>
            </w:pPr>
            <w:r>
              <w:rPr>
                <w:rFonts w:eastAsia="Times New Roman"/>
                <w:szCs w:val="20"/>
              </w:rPr>
              <w:t>Beta</w:t>
            </w:r>
          </w:p>
        </w:tc>
      </w:tr>
      <w:tr w:rsidR="005A25A0" w:rsidRPr="008E05A4" w14:paraId="58CD105A" w14:textId="77777777" w:rsidTr="0006589F">
        <w:trPr>
          <w:trHeight w:val="53"/>
        </w:trPr>
        <w:tc>
          <w:tcPr>
            <w:tcW w:w="6332" w:type="dxa"/>
            <w:noWrap/>
          </w:tcPr>
          <w:p w14:paraId="10667318" w14:textId="77777777" w:rsidR="005A25A0" w:rsidRPr="00335297" w:rsidRDefault="005A25A0" w:rsidP="0006589F">
            <w:pPr>
              <w:spacing w:after="0"/>
              <w:rPr>
                <w:rFonts w:eastAsia="Times New Roman"/>
                <w:szCs w:val="20"/>
              </w:rPr>
            </w:pPr>
            <w:r>
              <w:rPr>
                <w:rFonts w:eastAsia="Times New Roman"/>
                <w:szCs w:val="20"/>
              </w:rPr>
              <w:t>MACE, proportion resulting in death</w:t>
            </w:r>
          </w:p>
        </w:tc>
        <w:tc>
          <w:tcPr>
            <w:tcW w:w="900" w:type="dxa"/>
            <w:noWrap/>
          </w:tcPr>
          <w:p w14:paraId="455A0C87" w14:textId="77777777" w:rsidR="005A25A0" w:rsidRPr="00335297" w:rsidRDefault="005A25A0" w:rsidP="0006589F">
            <w:pPr>
              <w:spacing w:after="0"/>
              <w:jc w:val="center"/>
              <w:rPr>
                <w:rFonts w:eastAsia="Times New Roman"/>
                <w:szCs w:val="20"/>
              </w:rPr>
            </w:pPr>
            <w:r>
              <w:rPr>
                <w:rFonts w:eastAsia="Times New Roman"/>
                <w:szCs w:val="20"/>
              </w:rPr>
              <w:t>0.090</w:t>
            </w:r>
          </w:p>
        </w:tc>
        <w:tc>
          <w:tcPr>
            <w:tcW w:w="900" w:type="dxa"/>
            <w:noWrap/>
          </w:tcPr>
          <w:p w14:paraId="2A9F6259" w14:textId="77777777" w:rsidR="005A25A0" w:rsidRPr="00335297" w:rsidRDefault="005A25A0" w:rsidP="0006589F">
            <w:pPr>
              <w:spacing w:after="0"/>
              <w:jc w:val="center"/>
              <w:rPr>
                <w:rFonts w:eastAsia="Times New Roman"/>
                <w:szCs w:val="20"/>
              </w:rPr>
            </w:pPr>
            <w:r>
              <w:rPr>
                <w:rFonts w:eastAsia="Times New Roman"/>
                <w:szCs w:val="20"/>
              </w:rPr>
              <w:t>0.072</w:t>
            </w:r>
          </w:p>
        </w:tc>
        <w:tc>
          <w:tcPr>
            <w:tcW w:w="990" w:type="dxa"/>
            <w:noWrap/>
          </w:tcPr>
          <w:p w14:paraId="3F8CB8DD" w14:textId="77777777" w:rsidR="005A25A0" w:rsidRPr="00335297" w:rsidRDefault="005A25A0" w:rsidP="0006589F">
            <w:pPr>
              <w:spacing w:after="0"/>
              <w:jc w:val="center"/>
              <w:rPr>
                <w:rFonts w:eastAsia="Times New Roman"/>
                <w:szCs w:val="20"/>
              </w:rPr>
            </w:pPr>
            <w:r>
              <w:rPr>
                <w:rFonts w:eastAsia="Times New Roman"/>
                <w:szCs w:val="20"/>
              </w:rPr>
              <w:t>0.108</w:t>
            </w:r>
          </w:p>
        </w:tc>
        <w:tc>
          <w:tcPr>
            <w:tcW w:w="900" w:type="dxa"/>
            <w:noWrap/>
          </w:tcPr>
          <w:p w14:paraId="149CC989" w14:textId="77777777" w:rsidR="005A25A0" w:rsidRPr="00335297" w:rsidRDefault="005A25A0" w:rsidP="0006589F">
            <w:pPr>
              <w:spacing w:after="0"/>
              <w:jc w:val="center"/>
              <w:rPr>
                <w:rFonts w:eastAsia="Times New Roman"/>
                <w:szCs w:val="20"/>
              </w:rPr>
            </w:pPr>
            <w:r>
              <w:rPr>
                <w:rFonts w:eastAsia="Times New Roman"/>
                <w:szCs w:val="20"/>
              </w:rPr>
              <w:t>0.009</w:t>
            </w:r>
          </w:p>
        </w:tc>
        <w:tc>
          <w:tcPr>
            <w:tcW w:w="751" w:type="dxa"/>
            <w:noWrap/>
          </w:tcPr>
          <w:p w14:paraId="5DEC38AD" w14:textId="77777777" w:rsidR="005A25A0" w:rsidRPr="00335297" w:rsidRDefault="005A25A0" w:rsidP="0006589F">
            <w:pPr>
              <w:spacing w:after="0"/>
              <w:jc w:val="center"/>
              <w:rPr>
                <w:rFonts w:eastAsia="Times New Roman"/>
                <w:szCs w:val="20"/>
              </w:rPr>
            </w:pPr>
            <w:r>
              <w:rPr>
                <w:rFonts w:eastAsia="Times New Roman"/>
                <w:szCs w:val="20"/>
              </w:rPr>
              <w:t>87</w:t>
            </w:r>
          </w:p>
        </w:tc>
        <w:tc>
          <w:tcPr>
            <w:tcW w:w="894" w:type="dxa"/>
            <w:gridSpan w:val="2"/>
            <w:noWrap/>
          </w:tcPr>
          <w:p w14:paraId="4A472F9F" w14:textId="77777777" w:rsidR="005A25A0" w:rsidRPr="00335297" w:rsidRDefault="005A25A0" w:rsidP="0006589F">
            <w:pPr>
              <w:spacing w:after="0"/>
              <w:jc w:val="center"/>
              <w:rPr>
                <w:rFonts w:eastAsia="Times New Roman"/>
                <w:szCs w:val="20"/>
              </w:rPr>
            </w:pPr>
            <w:r>
              <w:rPr>
                <w:rFonts w:eastAsia="Times New Roman"/>
                <w:szCs w:val="20"/>
              </w:rPr>
              <w:t>886</w:t>
            </w:r>
          </w:p>
        </w:tc>
        <w:tc>
          <w:tcPr>
            <w:tcW w:w="1235" w:type="dxa"/>
            <w:noWrap/>
          </w:tcPr>
          <w:p w14:paraId="27FABA62" w14:textId="77777777" w:rsidR="005A25A0" w:rsidRPr="00335297" w:rsidRDefault="005A25A0" w:rsidP="0006589F">
            <w:pPr>
              <w:spacing w:after="0"/>
              <w:jc w:val="center"/>
              <w:rPr>
                <w:rFonts w:eastAsia="Times New Roman"/>
                <w:szCs w:val="20"/>
              </w:rPr>
            </w:pPr>
            <w:r>
              <w:rPr>
                <w:rFonts w:eastAsia="Times New Roman"/>
                <w:szCs w:val="20"/>
              </w:rPr>
              <w:t>Beta</w:t>
            </w:r>
          </w:p>
        </w:tc>
      </w:tr>
      <w:tr w:rsidR="005A25A0" w:rsidRPr="008E05A4" w14:paraId="03189C7F" w14:textId="77777777" w:rsidTr="0006589F">
        <w:trPr>
          <w:trHeight w:val="53"/>
        </w:trPr>
        <w:tc>
          <w:tcPr>
            <w:tcW w:w="6332" w:type="dxa"/>
            <w:noWrap/>
          </w:tcPr>
          <w:p w14:paraId="4DF922DD" w14:textId="77777777" w:rsidR="005A25A0" w:rsidRPr="00335297" w:rsidRDefault="005A25A0" w:rsidP="0006589F">
            <w:pPr>
              <w:spacing w:after="0"/>
              <w:rPr>
                <w:rFonts w:eastAsia="Times New Roman"/>
                <w:szCs w:val="20"/>
              </w:rPr>
            </w:pPr>
            <w:r>
              <w:rPr>
                <w:rFonts w:eastAsia="Times New Roman"/>
                <w:szCs w:val="20"/>
              </w:rPr>
              <w:t>IBD-related hospitalization, proportion resulting in death</w:t>
            </w:r>
          </w:p>
        </w:tc>
        <w:tc>
          <w:tcPr>
            <w:tcW w:w="900" w:type="dxa"/>
            <w:noWrap/>
          </w:tcPr>
          <w:p w14:paraId="69BB4DC7" w14:textId="77777777" w:rsidR="005A25A0" w:rsidRPr="00335297" w:rsidRDefault="005A25A0" w:rsidP="0006589F">
            <w:pPr>
              <w:spacing w:after="0"/>
              <w:jc w:val="center"/>
              <w:rPr>
                <w:rFonts w:eastAsia="Times New Roman"/>
                <w:szCs w:val="20"/>
              </w:rPr>
            </w:pPr>
            <w:r>
              <w:rPr>
                <w:rFonts w:eastAsia="Times New Roman"/>
                <w:szCs w:val="20"/>
              </w:rPr>
              <w:t>0.009</w:t>
            </w:r>
          </w:p>
        </w:tc>
        <w:tc>
          <w:tcPr>
            <w:tcW w:w="900" w:type="dxa"/>
            <w:noWrap/>
          </w:tcPr>
          <w:p w14:paraId="51A3AECC" w14:textId="77777777" w:rsidR="005A25A0" w:rsidRPr="00335297" w:rsidRDefault="005A25A0" w:rsidP="0006589F">
            <w:pPr>
              <w:spacing w:after="0"/>
              <w:jc w:val="center"/>
              <w:rPr>
                <w:rFonts w:eastAsia="Times New Roman"/>
                <w:szCs w:val="20"/>
              </w:rPr>
            </w:pPr>
            <w:r>
              <w:rPr>
                <w:rFonts w:eastAsia="Times New Roman"/>
                <w:szCs w:val="20"/>
              </w:rPr>
              <w:t>0.007</w:t>
            </w:r>
          </w:p>
        </w:tc>
        <w:tc>
          <w:tcPr>
            <w:tcW w:w="990" w:type="dxa"/>
            <w:noWrap/>
          </w:tcPr>
          <w:p w14:paraId="0F75AA58" w14:textId="77777777" w:rsidR="005A25A0" w:rsidRPr="00335297" w:rsidRDefault="005A25A0" w:rsidP="0006589F">
            <w:pPr>
              <w:spacing w:after="0"/>
              <w:jc w:val="center"/>
              <w:rPr>
                <w:rFonts w:eastAsia="Times New Roman"/>
                <w:szCs w:val="20"/>
              </w:rPr>
            </w:pPr>
            <w:r>
              <w:rPr>
                <w:rFonts w:eastAsia="Times New Roman"/>
                <w:szCs w:val="20"/>
              </w:rPr>
              <w:t>0.011</w:t>
            </w:r>
          </w:p>
        </w:tc>
        <w:tc>
          <w:tcPr>
            <w:tcW w:w="900" w:type="dxa"/>
            <w:noWrap/>
          </w:tcPr>
          <w:p w14:paraId="3014AA77" w14:textId="77777777" w:rsidR="005A25A0" w:rsidRPr="00335297" w:rsidRDefault="005A25A0" w:rsidP="0006589F">
            <w:pPr>
              <w:spacing w:after="0"/>
              <w:jc w:val="center"/>
              <w:rPr>
                <w:rFonts w:eastAsia="Times New Roman"/>
                <w:szCs w:val="20"/>
              </w:rPr>
            </w:pPr>
            <w:r>
              <w:rPr>
                <w:rFonts w:eastAsia="Times New Roman"/>
                <w:szCs w:val="20"/>
              </w:rPr>
              <w:t>0.001</w:t>
            </w:r>
          </w:p>
        </w:tc>
        <w:tc>
          <w:tcPr>
            <w:tcW w:w="751" w:type="dxa"/>
            <w:noWrap/>
          </w:tcPr>
          <w:p w14:paraId="23DC6F6C" w14:textId="77777777" w:rsidR="005A25A0" w:rsidRPr="00335297" w:rsidRDefault="005A25A0" w:rsidP="0006589F">
            <w:pPr>
              <w:spacing w:after="0"/>
              <w:jc w:val="center"/>
              <w:rPr>
                <w:rFonts w:eastAsia="Times New Roman"/>
                <w:szCs w:val="20"/>
              </w:rPr>
            </w:pPr>
            <w:r>
              <w:rPr>
                <w:rFonts w:eastAsia="Times New Roman"/>
                <w:szCs w:val="20"/>
              </w:rPr>
              <w:t>95</w:t>
            </w:r>
          </w:p>
        </w:tc>
        <w:tc>
          <w:tcPr>
            <w:tcW w:w="894" w:type="dxa"/>
            <w:gridSpan w:val="2"/>
            <w:noWrap/>
          </w:tcPr>
          <w:p w14:paraId="5AAB540E" w14:textId="77777777" w:rsidR="005A25A0" w:rsidRPr="00335297" w:rsidRDefault="005A25A0" w:rsidP="0006589F">
            <w:pPr>
              <w:spacing w:after="0"/>
              <w:jc w:val="center"/>
              <w:rPr>
                <w:rFonts w:eastAsia="Times New Roman"/>
                <w:szCs w:val="20"/>
              </w:rPr>
            </w:pPr>
            <w:r>
              <w:rPr>
                <w:rFonts w:eastAsia="Times New Roman"/>
                <w:szCs w:val="20"/>
              </w:rPr>
              <w:t>10479</w:t>
            </w:r>
          </w:p>
        </w:tc>
        <w:tc>
          <w:tcPr>
            <w:tcW w:w="1235" w:type="dxa"/>
            <w:noWrap/>
          </w:tcPr>
          <w:p w14:paraId="79C48469" w14:textId="77777777" w:rsidR="005A25A0" w:rsidRPr="00335297" w:rsidRDefault="005A25A0" w:rsidP="0006589F">
            <w:pPr>
              <w:spacing w:after="0"/>
              <w:jc w:val="center"/>
              <w:rPr>
                <w:rFonts w:eastAsia="Times New Roman"/>
                <w:szCs w:val="20"/>
              </w:rPr>
            </w:pPr>
            <w:r>
              <w:rPr>
                <w:rFonts w:eastAsia="Times New Roman"/>
                <w:szCs w:val="20"/>
              </w:rPr>
              <w:t>Beta</w:t>
            </w:r>
          </w:p>
        </w:tc>
      </w:tr>
      <w:tr w:rsidR="005A25A0" w:rsidRPr="008E05A4" w14:paraId="26F1DA79" w14:textId="77777777" w:rsidTr="0006589F">
        <w:trPr>
          <w:trHeight w:val="53"/>
        </w:trPr>
        <w:tc>
          <w:tcPr>
            <w:tcW w:w="12902" w:type="dxa"/>
            <w:gridSpan w:val="9"/>
            <w:shd w:val="clear" w:color="auto" w:fill="F2F2F2" w:themeFill="background1" w:themeFillShade="F2"/>
            <w:noWrap/>
            <w:hideMark/>
          </w:tcPr>
          <w:p w14:paraId="62385A6C" w14:textId="77777777" w:rsidR="005A25A0" w:rsidRPr="00335297" w:rsidRDefault="005A25A0" w:rsidP="0006589F">
            <w:pPr>
              <w:keepNext/>
              <w:spacing w:after="0"/>
              <w:jc w:val="center"/>
              <w:rPr>
                <w:rFonts w:eastAsia="Times New Roman"/>
                <w:b/>
                <w:i/>
                <w:szCs w:val="20"/>
              </w:rPr>
            </w:pPr>
            <w:r w:rsidRPr="00335297">
              <w:rPr>
                <w:rFonts w:eastAsia="Times New Roman"/>
                <w:b/>
                <w:i/>
                <w:szCs w:val="20"/>
              </w:rPr>
              <w:t>Health</w:t>
            </w:r>
            <w:r>
              <w:rPr>
                <w:rFonts w:eastAsia="Times New Roman"/>
                <w:b/>
                <w:i/>
                <w:szCs w:val="20"/>
              </w:rPr>
              <w:t>-O</w:t>
            </w:r>
            <w:r w:rsidRPr="00335297">
              <w:rPr>
                <w:rFonts w:eastAsia="Times New Roman"/>
                <w:b/>
                <w:i/>
                <w:szCs w:val="20"/>
              </w:rPr>
              <w:t>utcomes-</w:t>
            </w:r>
            <w:r>
              <w:rPr>
                <w:rFonts w:eastAsia="Times New Roman"/>
                <w:b/>
                <w:i/>
                <w:szCs w:val="20"/>
              </w:rPr>
              <w:t>R</w:t>
            </w:r>
            <w:r w:rsidRPr="00335297">
              <w:rPr>
                <w:rFonts w:eastAsia="Times New Roman"/>
                <w:b/>
                <w:i/>
                <w:szCs w:val="20"/>
              </w:rPr>
              <w:t xml:space="preserve">elated </w:t>
            </w:r>
            <w:r>
              <w:rPr>
                <w:rFonts w:eastAsia="Times New Roman"/>
                <w:b/>
                <w:i/>
                <w:szCs w:val="20"/>
              </w:rPr>
              <w:t>C</w:t>
            </w:r>
            <w:r w:rsidRPr="00335297">
              <w:rPr>
                <w:rFonts w:eastAsia="Times New Roman"/>
                <w:b/>
                <w:i/>
                <w:szCs w:val="20"/>
              </w:rPr>
              <w:t xml:space="preserve">osts, </w:t>
            </w:r>
            <w:r>
              <w:rPr>
                <w:rFonts w:eastAsia="Times New Roman"/>
                <w:b/>
                <w:i/>
                <w:szCs w:val="20"/>
              </w:rPr>
              <w:t>Out-of-Pocket</w:t>
            </w:r>
            <w:r w:rsidRPr="00335297">
              <w:rPr>
                <w:rFonts w:eastAsia="Times New Roman"/>
                <w:b/>
                <w:i/>
                <w:szCs w:val="20"/>
              </w:rPr>
              <w:t xml:space="preserve"> </w:t>
            </w:r>
            <w:r>
              <w:rPr>
                <w:rFonts w:eastAsia="Times New Roman"/>
                <w:b/>
                <w:i/>
                <w:szCs w:val="20"/>
              </w:rPr>
              <w:t>S</w:t>
            </w:r>
            <w:r w:rsidRPr="00335297">
              <w:rPr>
                <w:rFonts w:eastAsia="Times New Roman"/>
                <w:b/>
                <w:i/>
                <w:szCs w:val="20"/>
              </w:rPr>
              <w:t>pending</w:t>
            </w:r>
          </w:p>
        </w:tc>
      </w:tr>
      <w:tr w:rsidR="005A25A0" w:rsidRPr="008E05A4" w14:paraId="3477F3D3" w14:textId="77777777" w:rsidTr="0006589F">
        <w:trPr>
          <w:trHeight w:val="53"/>
        </w:trPr>
        <w:tc>
          <w:tcPr>
            <w:tcW w:w="6332" w:type="dxa"/>
            <w:noWrap/>
            <w:hideMark/>
          </w:tcPr>
          <w:p w14:paraId="27571A64" w14:textId="77777777" w:rsidR="005A25A0" w:rsidRPr="00335297" w:rsidRDefault="005A25A0" w:rsidP="0006589F">
            <w:pPr>
              <w:spacing w:after="0"/>
              <w:rPr>
                <w:rFonts w:eastAsia="Times New Roman"/>
                <w:szCs w:val="20"/>
              </w:rPr>
            </w:pPr>
            <w:r w:rsidRPr="00335297">
              <w:rPr>
                <w:rFonts w:eastAsia="Times New Roman"/>
                <w:szCs w:val="20"/>
              </w:rPr>
              <w:t>Death, per event</w:t>
            </w:r>
          </w:p>
        </w:tc>
        <w:tc>
          <w:tcPr>
            <w:tcW w:w="900" w:type="dxa"/>
            <w:noWrap/>
            <w:hideMark/>
          </w:tcPr>
          <w:p w14:paraId="539C3E47" w14:textId="77777777" w:rsidR="005A25A0" w:rsidRPr="00335297" w:rsidRDefault="005A25A0" w:rsidP="0006589F">
            <w:pPr>
              <w:spacing w:after="0"/>
              <w:jc w:val="center"/>
              <w:rPr>
                <w:rFonts w:eastAsia="Times New Roman"/>
                <w:szCs w:val="20"/>
              </w:rPr>
            </w:pPr>
            <w:r w:rsidRPr="00335297">
              <w:rPr>
                <w:rFonts w:eastAsia="Times New Roman"/>
                <w:szCs w:val="20"/>
              </w:rPr>
              <w:t>$0</w:t>
            </w:r>
          </w:p>
        </w:tc>
        <w:tc>
          <w:tcPr>
            <w:tcW w:w="900" w:type="dxa"/>
            <w:noWrap/>
            <w:hideMark/>
          </w:tcPr>
          <w:p w14:paraId="2C0DFC5E" w14:textId="77777777" w:rsidR="005A25A0" w:rsidRPr="00335297" w:rsidRDefault="005A25A0" w:rsidP="0006589F">
            <w:pPr>
              <w:spacing w:after="0"/>
              <w:jc w:val="center"/>
              <w:rPr>
                <w:rFonts w:eastAsia="Times New Roman"/>
                <w:szCs w:val="20"/>
              </w:rPr>
            </w:pPr>
            <w:r w:rsidRPr="00335297">
              <w:rPr>
                <w:rFonts w:eastAsia="Times New Roman"/>
                <w:szCs w:val="20"/>
              </w:rPr>
              <w:t>$0.01</w:t>
            </w:r>
          </w:p>
        </w:tc>
        <w:tc>
          <w:tcPr>
            <w:tcW w:w="990" w:type="dxa"/>
            <w:noWrap/>
            <w:hideMark/>
          </w:tcPr>
          <w:p w14:paraId="2F975C12" w14:textId="77777777" w:rsidR="005A25A0" w:rsidRPr="00335297" w:rsidRDefault="005A25A0" w:rsidP="0006589F">
            <w:pPr>
              <w:spacing w:after="0"/>
              <w:jc w:val="center"/>
              <w:rPr>
                <w:rFonts w:eastAsia="Times New Roman"/>
                <w:szCs w:val="20"/>
              </w:rPr>
            </w:pPr>
            <w:r w:rsidRPr="00335297">
              <w:rPr>
                <w:rFonts w:eastAsia="Times New Roman"/>
                <w:szCs w:val="20"/>
              </w:rPr>
              <w:t>$0.01</w:t>
            </w:r>
          </w:p>
        </w:tc>
        <w:tc>
          <w:tcPr>
            <w:tcW w:w="900" w:type="dxa"/>
            <w:noWrap/>
            <w:hideMark/>
          </w:tcPr>
          <w:p w14:paraId="5CB3E1AC" w14:textId="77777777" w:rsidR="005A25A0" w:rsidRPr="00335297" w:rsidRDefault="005A25A0" w:rsidP="0006589F">
            <w:pPr>
              <w:spacing w:after="0"/>
              <w:jc w:val="center"/>
              <w:rPr>
                <w:rFonts w:eastAsia="Times New Roman"/>
                <w:szCs w:val="20"/>
              </w:rPr>
            </w:pPr>
            <w:r w:rsidRPr="00335297">
              <w:rPr>
                <w:rFonts w:eastAsia="Times New Roman"/>
                <w:szCs w:val="20"/>
              </w:rPr>
              <w:t>$0.00</w:t>
            </w:r>
          </w:p>
        </w:tc>
        <w:tc>
          <w:tcPr>
            <w:tcW w:w="751" w:type="dxa"/>
            <w:noWrap/>
            <w:hideMark/>
          </w:tcPr>
          <w:p w14:paraId="7BE57A18"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2D89D92A" w14:textId="77777777" w:rsidR="005A25A0" w:rsidRPr="00335297" w:rsidRDefault="005A25A0" w:rsidP="0006589F">
            <w:pPr>
              <w:spacing w:after="0"/>
              <w:jc w:val="center"/>
              <w:rPr>
                <w:rFonts w:eastAsia="Times New Roman"/>
                <w:szCs w:val="20"/>
              </w:rPr>
            </w:pPr>
            <w:r w:rsidRPr="00335297">
              <w:rPr>
                <w:rFonts w:eastAsia="Times New Roman"/>
                <w:szCs w:val="20"/>
              </w:rPr>
              <w:t>0</w:t>
            </w:r>
          </w:p>
        </w:tc>
        <w:tc>
          <w:tcPr>
            <w:tcW w:w="1235" w:type="dxa"/>
            <w:noWrap/>
            <w:hideMark/>
          </w:tcPr>
          <w:p w14:paraId="1C5CF035" w14:textId="77777777" w:rsidR="005A25A0" w:rsidRPr="00335297" w:rsidRDefault="005A25A0" w:rsidP="0006589F">
            <w:pPr>
              <w:spacing w:after="0"/>
              <w:jc w:val="center"/>
              <w:rPr>
                <w:rFonts w:eastAsia="Times New Roman"/>
                <w:szCs w:val="20"/>
              </w:rPr>
            </w:pPr>
            <w:r w:rsidRPr="00335297">
              <w:rPr>
                <w:rFonts w:eastAsia="Times New Roman"/>
                <w:szCs w:val="20"/>
              </w:rPr>
              <w:t>Gamma</w:t>
            </w:r>
          </w:p>
        </w:tc>
      </w:tr>
      <w:tr w:rsidR="005A25A0" w:rsidRPr="008E05A4" w14:paraId="74CB6404" w14:textId="77777777" w:rsidTr="0006589F">
        <w:trPr>
          <w:trHeight w:val="53"/>
        </w:trPr>
        <w:tc>
          <w:tcPr>
            <w:tcW w:w="6332" w:type="dxa"/>
            <w:noWrap/>
            <w:hideMark/>
          </w:tcPr>
          <w:p w14:paraId="78D1C5EF" w14:textId="77777777" w:rsidR="005A25A0" w:rsidRPr="00335297" w:rsidRDefault="005A25A0" w:rsidP="0006589F">
            <w:pPr>
              <w:spacing w:after="0"/>
              <w:rPr>
                <w:rFonts w:eastAsia="Times New Roman"/>
                <w:szCs w:val="20"/>
              </w:rPr>
            </w:pPr>
            <w:r w:rsidRPr="00335297">
              <w:rPr>
                <w:rFonts w:eastAsia="Times New Roman"/>
                <w:szCs w:val="20"/>
              </w:rPr>
              <w:t>Hip fracture, per event</w:t>
            </w:r>
          </w:p>
        </w:tc>
        <w:tc>
          <w:tcPr>
            <w:tcW w:w="900" w:type="dxa"/>
            <w:noWrap/>
            <w:hideMark/>
          </w:tcPr>
          <w:p w14:paraId="22A34B53" w14:textId="77777777" w:rsidR="005A25A0" w:rsidRPr="00335297" w:rsidRDefault="005A25A0" w:rsidP="0006589F">
            <w:pPr>
              <w:spacing w:after="0"/>
              <w:jc w:val="center"/>
              <w:rPr>
                <w:rFonts w:eastAsia="Times New Roman"/>
                <w:szCs w:val="20"/>
              </w:rPr>
            </w:pPr>
            <w:r w:rsidRPr="00335297">
              <w:rPr>
                <w:rFonts w:eastAsia="Times New Roman"/>
                <w:szCs w:val="20"/>
              </w:rPr>
              <w:t>$1,192</w:t>
            </w:r>
          </w:p>
        </w:tc>
        <w:tc>
          <w:tcPr>
            <w:tcW w:w="900" w:type="dxa"/>
            <w:noWrap/>
            <w:hideMark/>
          </w:tcPr>
          <w:p w14:paraId="6D8D7F66" w14:textId="77777777" w:rsidR="005A25A0" w:rsidRPr="00335297" w:rsidRDefault="005A25A0" w:rsidP="0006589F">
            <w:pPr>
              <w:spacing w:after="0"/>
              <w:jc w:val="center"/>
              <w:rPr>
                <w:rFonts w:eastAsia="Times New Roman"/>
                <w:szCs w:val="20"/>
              </w:rPr>
            </w:pPr>
            <w:r w:rsidRPr="00335297">
              <w:rPr>
                <w:rFonts w:eastAsia="Times New Roman"/>
                <w:szCs w:val="20"/>
              </w:rPr>
              <w:t>$954</w:t>
            </w:r>
          </w:p>
        </w:tc>
        <w:tc>
          <w:tcPr>
            <w:tcW w:w="990" w:type="dxa"/>
            <w:noWrap/>
            <w:hideMark/>
          </w:tcPr>
          <w:p w14:paraId="685D5A7F" w14:textId="77777777" w:rsidR="005A25A0" w:rsidRPr="00335297" w:rsidRDefault="005A25A0" w:rsidP="0006589F">
            <w:pPr>
              <w:spacing w:after="0"/>
              <w:jc w:val="center"/>
              <w:rPr>
                <w:rFonts w:eastAsia="Times New Roman"/>
                <w:szCs w:val="20"/>
              </w:rPr>
            </w:pPr>
            <w:r w:rsidRPr="00335297">
              <w:rPr>
                <w:rFonts w:eastAsia="Times New Roman"/>
                <w:szCs w:val="20"/>
              </w:rPr>
              <w:t>$1,431</w:t>
            </w:r>
          </w:p>
        </w:tc>
        <w:tc>
          <w:tcPr>
            <w:tcW w:w="900" w:type="dxa"/>
            <w:noWrap/>
            <w:hideMark/>
          </w:tcPr>
          <w:p w14:paraId="6065B072" w14:textId="77777777" w:rsidR="005A25A0" w:rsidRPr="00335297" w:rsidRDefault="005A25A0" w:rsidP="0006589F">
            <w:pPr>
              <w:spacing w:after="0"/>
              <w:jc w:val="center"/>
              <w:rPr>
                <w:rFonts w:eastAsia="Times New Roman"/>
                <w:szCs w:val="20"/>
              </w:rPr>
            </w:pPr>
            <w:r w:rsidRPr="00335297">
              <w:rPr>
                <w:rFonts w:eastAsia="Times New Roman"/>
                <w:szCs w:val="20"/>
              </w:rPr>
              <w:t>$122</w:t>
            </w:r>
          </w:p>
        </w:tc>
        <w:tc>
          <w:tcPr>
            <w:tcW w:w="751" w:type="dxa"/>
            <w:noWrap/>
            <w:hideMark/>
          </w:tcPr>
          <w:p w14:paraId="382EFE59"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7DE07C9D" w14:textId="77777777" w:rsidR="005A25A0" w:rsidRPr="00335297" w:rsidRDefault="005A25A0" w:rsidP="0006589F">
            <w:pPr>
              <w:spacing w:after="0"/>
              <w:jc w:val="center"/>
              <w:rPr>
                <w:rFonts w:eastAsia="Times New Roman"/>
                <w:szCs w:val="20"/>
              </w:rPr>
            </w:pPr>
            <w:r w:rsidRPr="00335297">
              <w:rPr>
                <w:rFonts w:eastAsia="Times New Roman"/>
                <w:szCs w:val="20"/>
              </w:rPr>
              <w:t>12</w:t>
            </w:r>
          </w:p>
        </w:tc>
        <w:tc>
          <w:tcPr>
            <w:tcW w:w="1235" w:type="dxa"/>
            <w:noWrap/>
            <w:hideMark/>
          </w:tcPr>
          <w:p w14:paraId="28197C89" w14:textId="77777777" w:rsidR="005A25A0" w:rsidRPr="00335297" w:rsidRDefault="005A25A0" w:rsidP="0006589F">
            <w:pPr>
              <w:spacing w:after="0"/>
              <w:jc w:val="center"/>
              <w:rPr>
                <w:rFonts w:eastAsia="Times New Roman"/>
                <w:szCs w:val="20"/>
              </w:rPr>
            </w:pPr>
            <w:r w:rsidRPr="00335297">
              <w:rPr>
                <w:rFonts w:eastAsia="Times New Roman"/>
                <w:szCs w:val="20"/>
              </w:rPr>
              <w:t>Gamma</w:t>
            </w:r>
          </w:p>
        </w:tc>
      </w:tr>
      <w:tr w:rsidR="005A25A0" w:rsidRPr="008E05A4" w14:paraId="3589E01D" w14:textId="77777777" w:rsidTr="0006589F">
        <w:trPr>
          <w:trHeight w:val="53"/>
        </w:trPr>
        <w:tc>
          <w:tcPr>
            <w:tcW w:w="6332" w:type="dxa"/>
            <w:noWrap/>
            <w:hideMark/>
          </w:tcPr>
          <w:p w14:paraId="39C8DBE6" w14:textId="77777777" w:rsidR="005A25A0" w:rsidRPr="00335297" w:rsidRDefault="005A25A0" w:rsidP="0006589F">
            <w:pPr>
              <w:spacing w:after="0"/>
              <w:rPr>
                <w:rFonts w:eastAsia="Times New Roman"/>
                <w:szCs w:val="20"/>
              </w:rPr>
            </w:pPr>
            <w:r>
              <w:rPr>
                <w:rFonts w:eastAsia="Times New Roman"/>
                <w:szCs w:val="20"/>
              </w:rPr>
              <w:t>MACE</w:t>
            </w:r>
            <w:r w:rsidRPr="00335297">
              <w:rPr>
                <w:rFonts w:eastAsia="Times New Roman"/>
                <w:szCs w:val="20"/>
              </w:rPr>
              <w:t>, per event</w:t>
            </w:r>
          </w:p>
        </w:tc>
        <w:tc>
          <w:tcPr>
            <w:tcW w:w="900" w:type="dxa"/>
            <w:noWrap/>
            <w:hideMark/>
          </w:tcPr>
          <w:p w14:paraId="69A8D680" w14:textId="77777777" w:rsidR="005A25A0" w:rsidRPr="00335297" w:rsidRDefault="005A25A0" w:rsidP="0006589F">
            <w:pPr>
              <w:spacing w:after="0"/>
              <w:jc w:val="center"/>
              <w:rPr>
                <w:rFonts w:eastAsia="Times New Roman"/>
                <w:szCs w:val="20"/>
              </w:rPr>
            </w:pPr>
            <w:r w:rsidRPr="00335297">
              <w:rPr>
                <w:rFonts w:eastAsia="Times New Roman"/>
                <w:szCs w:val="20"/>
              </w:rPr>
              <w:t>$343</w:t>
            </w:r>
          </w:p>
        </w:tc>
        <w:tc>
          <w:tcPr>
            <w:tcW w:w="900" w:type="dxa"/>
            <w:noWrap/>
            <w:hideMark/>
          </w:tcPr>
          <w:p w14:paraId="0D39E570" w14:textId="77777777" w:rsidR="005A25A0" w:rsidRPr="00335297" w:rsidRDefault="005A25A0" w:rsidP="0006589F">
            <w:pPr>
              <w:spacing w:after="0"/>
              <w:jc w:val="center"/>
              <w:rPr>
                <w:rFonts w:eastAsia="Times New Roman"/>
                <w:szCs w:val="20"/>
              </w:rPr>
            </w:pPr>
            <w:r w:rsidRPr="00335297">
              <w:rPr>
                <w:rFonts w:eastAsia="Times New Roman"/>
                <w:szCs w:val="20"/>
              </w:rPr>
              <w:t>$274</w:t>
            </w:r>
          </w:p>
        </w:tc>
        <w:tc>
          <w:tcPr>
            <w:tcW w:w="990" w:type="dxa"/>
            <w:noWrap/>
            <w:hideMark/>
          </w:tcPr>
          <w:p w14:paraId="0123B39C" w14:textId="77777777" w:rsidR="005A25A0" w:rsidRPr="00335297" w:rsidRDefault="005A25A0" w:rsidP="0006589F">
            <w:pPr>
              <w:spacing w:after="0"/>
              <w:jc w:val="center"/>
              <w:rPr>
                <w:rFonts w:eastAsia="Times New Roman"/>
                <w:szCs w:val="20"/>
              </w:rPr>
            </w:pPr>
            <w:r w:rsidRPr="00335297">
              <w:rPr>
                <w:rFonts w:eastAsia="Times New Roman"/>
                <w:szCs w:val="20"/>
              </w:rPr>
              <w:t>$412</w:t>
            </w:r>
          </w:p>
        </w:tc>
        <w:tc>
          <w:tcPr>
            <w:tcW w:w="900" w:type="dxa"/>
            <w:noWrap/>
            <w:hideMark/>
          </w:tcPr>
          <w:p w14:paraId="51AE2ACF" w14:textId="77777777" w:rsidR="005A25A0" w:rsidRPr="00335297" w:rsidRDefault="005A25A0" w:rsidP="0006589F">
            <w:pPr>
              <w:spacing w:after="0"/>
              <w:jc w:val="center"/>
              <w:rPr>
                <w:rFonts w:eastAsia="Times New Roman"/>
                <w:szCs w:val="20"/>
              </w:rPr>
            </w:pPr>
            <w:r w:rsidRPr="00335297">
              <w:rPr>
                <w:rFonts w:eastAsia="Times New Roman"/>
                <w:szCs w:val="20"/>
              </w:rPr>
              <w:t>$35</w:t>
            </w:r>
          </w:p>
        </w:tc>
        <w:tc>
          <w:tcPr>
            <w:tcW w:w="751" w:type="dxa"/>
            <w:noWrap/>
            <w:hideMark/>
          </w:tcPr>
          <w:p w14:paraId="21AD1773"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08696A53" w14:textId="77777777" w:rsidR="005A25A0" w:rsidRPr="00335297" w:rsidRDefault="005A25A0" w:rsidP="0006589F">
            <w:pPr>
              <w:spacing w:after="0"/>
              <w:jc w:val="center"/>
              <w:rPr>
                <w:rFonts w:eastAsia="Times New Roman"/>
                <w:szCs w:val="20"/>
              </w:rPr>
            </w:pPr>
            <w:r w:rsidRPr="00335297">
              <w:rPr>
                <w:rFonts w:eastAsia="Times New Roman"/>
                <w:szCs w:val="20"/>
              </w:rPr>
              <w:t>4</w:t>
            </w:r>
          </w:p>
        </w:tc>
        <w:tc>
          <w:tcPr>
            <w:tcW w:w="1235" w:type="dxa"/>
            <w:noWrap/>
            <w:hideMark/>
          </w:tcPr>
          <w:p w14:paraId="4F20B9EF" w14:textId="77777777" w:rsidR="005A25A0" w:rsidRPr="00335297" w:rsidRDefault="005A25A0" w:rsidP="0006589F">
            <w:pPr>
              <w:spacing w:after="0"/>
              <w:jc w:val="center"/>
              <w:rPr>
                <w:rFonts w:eastAsia="Times New Roman"/>
                <w:szCs w:val="20"/>
              </w:rPr>
            </w:pPr>
            <w:r w:rsidRPr="00335297">
              <w:rPr>
                <w:rFonts w:eastAsia="Times New Roman"/>
                <w:szCs w:val="20"/>
              </w:rPr>
              <w:t>Gamma</w:t>
            </w:r>
          </w:p>
        </w:tc>
      </w:tr>
      <w:tr w:rsidR="005A25A0" w:rsidRPr="008E05A4" w14:paraId="539FA2B8" w14:textId="77777777" w:rsidTr="0006589F">
        <w:trPr>
          <w:trHeight w:val="53"/>
        </w:trPr>
        <w:tc>
          <w:tcPr>
            <w:tcW w:w="6332" w:type="dxa"/>
            <w:noWrap/>
            <w:hideMark/>
          </w:tcPr>
          <w:p w14:paraId="05678DA8" w14:textId="77777777" w:rsidR="005A25A0" w:rsidRPr="00335297" w:rsidRDefault="005A25A0" w:rsidP="0006589F">
            <w:pPr>
              <w:spacing w:after="0"/>
              <w:rPr>
                <w:rFonts w:eastAsia="Times New Roman"/>
                <w:szCs w:val="20"/>
              </w:rPr>
            </w:pPr>
            <w:r w:rsidRPr="00335297">
              <w:rPr>
                <w:rFonts w:eastAsia="Times New Roman"/>
                <w:szCs w:val="20"/>
              </w:rPr>
              <w:t>IBD-related hospitalization, per event</w:t>
            </w:r>
          </w:p>
        </w:tc>
        <w:tc>
          <w:tcPr>
            <w:tcW w:w="900" w:type="dxa"/>
            <w:noWrap/>
            <w:hideMark/>
          </w:tcPr>
          <w:p w14:paraId="70B226B1" w14:textId="77777777" w:rsidR="005A25A0" w:rsidRPr="00335297" w:rsidRDefault="005A25A0" w:rsidP="0006589F">
            <w:pPr>
              <w:spacing w:after="0"/>
              <w:jc w:val="center"/>
              <w:rPr>
                <w:rFonts w:eastAsia="Times New Roman"/>
                <w:szCs w:val="20"/>
              </w:rPr>
            </w:pPr>
            <w:r w:rsidRPr="00335297">
              <w:rPr>
                <w:rFonts w:eastAsia="Times New Roman"/>
                <w:szCs w:val="20"/>
              </w:rPr>
              <w:t>$249</w:t>
            </w:r>
          </w:p>
        </w:tc>
        <w:tc>
          <w:tcPr>
            <w:tcW w:w="900" w:type="dxa"/>
            <w:noWrap/>
            <w:hideMark/>
          </w:tcPr>
          <w:p w14:paraId="7D834B22" w14:textId="77777777" w:rsidR="005A25A0" w:rsidRPr="00335297" w:rsidRDefault="005A25A0" w:rsidP="0006589F">
            <w:pPr>
              <w:spacing w:after="0"/>
              <w:jc w:val="center"/>
              <w:rPr>
                <w:rFonts w:eastAsia="Times New Roman"/>
                <w:szCs w:val="20"/>
              </w:rPr>
            </w:pPr>
            <w:r w:rsidRPr="00335297">
              <w:rPr>
                <w:rFonts w:eastAsia="Times New Roman"/>
                <w:szCs w:val="20"/>
              </w:rPr>
              <w:t>$200</w:t>
            </w:r>
          </w:p>
        </w:tc>
        <w:tc>
          <w:tcPr>
            <w:tcW w:w="990" w:type="dxa"/>
            <w:noWrap/>
            <w:hideMark/>
          </w:tcPr>
          <w:p w14:paraId="30E65ADA" w14:textId="77777777" w:rsidR="005A25A0" w:rsidRPr="00335297" w:rsidRDefault="005A25A0" w:rsidP="0006589F">
            <w:pPr>
              <w:spacing w:after="0"/>
              <w:jc w:val="center"/>
              <w:rPr>
                <w:rFonts w:eastAsia="Times New Roman"/>
                <w:szCs w:val="20"/>
              </w:rPr>
            </w:pPr>
            <w:r w:rsidRPr="00335297">
              <w:rPr>
                <w:rFonts w:eastAsia="Times New Roman"/>
                <w:szCs w:val="20"/>
              </w:rPr>
              <w:t>$299</w:t>
            </w:r>
          </w:p>
        </w:tc>
        <w:tc>
          <w:tcPr>
            <w:tcW w:w="900" w:type="dxa"/>
            <w:noWrap/>
            <w:hideMark/>
          </w:tcPr>
          <w:p w14:paraId="10382EA5" w14:textId="77777777" w:rsidR="005A25A0" w:rsidRPr="00335297" w:rsidRDefault="005A25A0" w:rsidP="0006589F">
            <w:pPr>
              <w:spacing w:after="0"/>
              <w:jc w:val="center"/>
              <w:rPr>
                <w:rFonts w:eastAsia="Times New Roman"/>
                <w:szCs w:val="20"/>
              </w:rPr>
            </w:pPr>
            <w:r w:rsidRPr="00335297">
              <w:rPr>
                <w:rFonts w:eastAsia="Times New Roman"/>
                <w:szCs w:val="20"/>
              </w:rPr>
              <w:t>$25</w:t>
            </w:r>
          </w:p>
        </w:tc>
        <w:tc>
          <w:tcPr>
            <w:tcW w:w="751" w:type="dxa"/>
            <w:noWrap/>
            <w:hideMark/>
          </w:tcPr>
          <w:p w14:paraId="5662346D"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10821430" w14:textId="77777777" w:rsidR="005A25A0" w:rsidRPr="00335297" w:rsidRDefault="005A25A0" w:rsidP="0006589F">
            <w:pPr>
              <w:spacing w:after="0"/>
              <w:jc w:val="center"/>
              <w:rPr>
                <w:rFonts w:eastAsia="Times New Roman"/>
                <w:szCs w:val="20"/>
              </w:rPr>
            </w:pPr>
            <w:r w:rsidRPr="00335297">
              <w:rPr>
                <w:rFonts w:eastAsia="Times New Roman"/>
                <w:szCs w:val="20"/>
              </w:rPr>
              <w:t>3</w:t>
            </w:r>
          </w:p>
        </w:tc>
        <w:tc>
          <w:tcPr>
            <w:tcW w:w="1235" w:type="dxa"/>
            <w:noWrap/>
            <w:hideMark/>
          </w:tcPr>
          <w:p w14:paraId="694D4010" w14:textId="77777777" w:rsidR="005A25A0" w:rsidRPr="00335297" w:rsidRDefault="005A25A0" w:rsidP="0006589F">
            <w:pPr>
              <w:spacing w:after="0"/>
              <w:jc w:val="center"/>
              <w:rPr>
                <w:rFonts w:eastAsia="Times New Roman"/>
                <w:szCs w:val="20"/>
              </w:rPr>
            </w:pPr>
            <w:r w:rsidRPr="00335297">
              <w:rPr>
                <w:rFonts w:eastAsia="Times New Roman"/>
                <w:szCs w:val="20"/>
              </w:rPr>
              <w:t>Gamma</w:t>
            </w:r>
          </w:p>
        </w:tc>
      </w:tr>
      <w:tr w:rsidR="005A25A0" w:rsidRPr="008E05A4" w14:paraId="1B50099B" w14:textId="77777777" w:rsidTr="0006589F">
        <w:trPr>
          <w:trHeight w:val="53"/>
        </w:trPr>
        <w:tc>
          <w:tcPr>
            <w:tcW w:w="6332" w:type="dxa"/>
            <w:noWrap/>
            <w:hideMark/>
          </w:tcPr>
          <w:p w14:paraId="2E323ED1" w14:textId="77777777" w:rsidR="005A25A0" w:rsidRPr="00335297" w:rsidRDefault="005A25A0" w:rsidP="0006589F">
            <w:pPr>
              <w:spacing w:after="0"/>
              <w:rPr>
                <w:rFonts w:eastAsia="Times New Roman"/>
                <w:szCs w:val="20"/>
              </w:rPr>
            </w:pPr>
            <w:r w:rsidRPr="00335297">
              <w:rPr>
                <w:rFonts w:eastAsia="Times New Roman"/>
                <w:szCs w:val="20"/>
              </w:rPr>
              <w:t>Office visit</w:t>
            </w:r>
          </w:p>
        </w:tc>
        <w:tc>
          <w:tcPr>
            <w:tcW w:w="900" w:type="dxa"/>
            <w:noWrap/>
            <w:hideMark/>
          </w:tcPr>
          <w:p w14:paraId="58A0A6D3" w14:textId="77777777" w:rsidR="005A25A0" w:rsidRPr="00335297" w:rsidRDefault="005A25A0" w:rsidP="0006589F">
            <w:pPr>
              <w:spacing w:after="0"/>
              <w:jc w:val="center"/>
              <w:rPr>
                <w:rFonts w:eastAsia="Times New Roman"/>
                <w:szCs w:val="20"/>
              </w:rPr>
            </w:pPr>
            <w:r w:rsidRPr="00335297">
              <w:rPr>
                <w:rFonts w:eastAsia="Times New Roman"/>
                <w:szCs w:val="20"/>
              </w:rPr>
              <w:t>$46</w:t>
            </w:r>
          </w:p>
        </w:tc>
        <w:tc>
          <w:tcPr>
            <w:tcW w:w="900" w:type="dxa"/>
            <w:noWrap/>
            <w:hideMark/>
          </w:tcPr>
          <w:p w14:paraId="262CD0C2" w14:textId="77777777" w:rsidR="005A25A0" w:rsidRPr="00335297" w:rsidRDefault="005A25A0" w:rsidP="0006589F">
            <w:pPr>
              <w:spacing w:after="0"/>
              <w:jc w:val="center"/>
              <w:rPr>
                <w:rFonts w:eastAsia="Times New Roman"/>
                <w:szCs w:val="20"/>
              </w:rPr>
            </w:pPr>
            <w:r w:rsidRPr="00335297">
              <w:rPr>
                <w:rFonts w:eastAsia="Times New Roman"/>
                <w:szCs w:val="20"/>
              </w:rPr>
              <w:t>$37</w:t>
            </w:r>
          </w:p>
        </w:tc>
        <w:tc>
          <w:tcPr>
            <w:tcW w:w="990" w:type="dxa"/>
            <w:noWrap/>
            <w:hideMark/>
          </w:tcPr>
          <w:p w14:paraId="20516FBB" w14:textId="77777777" w:rsidR="005A25A0" w:rsidRPr="00335297" w:rsidRDefault="005A25A0" w:rsidP="0006589F">
            <w:pPr>
              <w:spacing w:after="0"/>
              <w:jc w:val="center"/>
              <w:rPr>
                <w:rFonts w:eastAsia="Times New Roman"/>
                <w:szCs w:val="20"/>
              </w:rPr>
            </w:pPr>
            <w:r w:rsidRPr="00335297">
              <w:rPr>
                <w:rFonts w:eastAsia="Times New Roman"/>
                <w:szCs w:val="20"/>
              </w:rPr>
              <w:t>$55</w:t>
            </w:r>
          </w:p>
        </w:tc>
        <w:tc>
          <w:tcPr>
            <w:tcW w:w="900" w:type="dxa"/>
            <w:noWrap/>
            <w:hideMark/>
          </w:tcPr>
          <w:p w14:paraId="6F3816D2" w14:textId="77777777" w:rsidR="005A25A0" w:rsidRPr="00335297" w:rsidRDefault="005A25A0" w:rsidP="0006589F">
            <w:pPr>
              <w:spacing w:after="0"/>
              <w:jc w:val="center"/>
              <w:rPr>
                <w:rFonts w:eastAsia="Times New Roman"/>
                <w:szCs w:val="20"/>
              </w:rPr>
            </w:pPr>
            <w:r w:rsidRPr="00335297">
              <w:rPr>
                <w:rFonts w:eastAsia="Times New Roman"/>
                <w:szCs w:val="20"/>
              </w:rPr>
              <w:t>$5</w:t>
            </w:r>
          </w:p>
        </w:tc>
        <w:tc>
          <w:tcPr>
            <w:tcW w:w="751" w:type="dxa"/>
            <w:noWrap/>
            <w:hideMark/>
          </w:tcPr>
          <w:p w14:paraId="55D077D7" w14:textId="77777777" w:rsidR="005A25A0" w:rsidRPr="00335297" w:rsidRDefault="005A25A0" w:rsidP="0006589F">
            <w:pPr>
              <w:spacing w:after="0"/>
              <w:jc w:val="center"/>
              <w:rPr>
                <w:rFonts w:eastAsia="Times New Roman"/>
                <w:szCs w:val="20"/>
              </w:rPr>
            </w:pPr>
            <w:r w:rsidRPr="00335297">
              <w:rPr>
                <w:rFonts w:eastAsia="Times New Roman"/>
                <w:szCs w:val="20"/>
              </w:rPr>
              <w:t>96</w:t>
            </w:r>
          </w:p>
        </w:tc>
        <w:tc>
          <w:tcPr>
            <w:tcW w:w="894" w:type="dxa"/>
            <w:gridSpan w:val="2"/>
            <w:noWrap/>
            <w:hideMark/>
          </w:tcPr>
          <w:p w14:paraId="39924F31" w14:textId="77777777" w:rsidR="005A25A0" w:rsidRPr="00335297" w:rsidRDefault="005A25A0" w:rsidP="0006589F">
            <w:pPr>
              <w:spacing w:after="0"/>
              <w:jc w:val="center"/>
              <w:rPr>
                <w:rFonts w:eastAsia="Times New Roman"/>
                <w:szCs w:val="20"/>
              </w:rPr>
            </w:pPr>
            <w:r w:rsidRPr="00335297">
              <w:rPr>
                <w:rFonts w:eastAsia="Times New Roman"/>
                <w:szCs w:val="20"/>
              </w:rPr>
              <w:t>0</w:t>
            </w:r>
          </w:p>
        </w:tc>
        <w:tc>
          <w:tcPr>
            <w:tcW w:w="1235" w:type="dxa"/>
            <w:noWrap/>
            <w:hideMark/>
          </w:tcPr>
          <w:p w14:paraId="3CF4EDB5" w14:textId="77777777" w:rsidR="005A25A0" w:rsidRPr="00335297" w:rsidRDefault="005A25A0" w:rsidP="0006589F">
            <w:pPr>
              <w:spacing w:after="0"/>
              <w:jc w:val="center"/>
              <w:rPr>
                <w:rFonts w:eastAsia="Times New Roman"/>
                <w:szCs w:val="20"/>
              </w:rPr>
            </w:pPr>
            <w:r w:rsidRPr="00335297">
              <w:rPr>
                <w:rFonts w:eastAsia="Times New Roman"/>
                <w:szCs w:val="20"/>
              </w:rPr>
              <w:t>Gamma</w:t>
            </w:r>
          </w:p>
        </w:tc>
      </w:tr>
      <w:tr w:rsidR="005A25A0" w:rsidRPr="008E05A4" w14:paraId="0BD3BB57" w14:textId="77777777" w:rsidTr="0006589F">
        <w:trPr>
          <w:trHeight w:val="53"/>
        </w:trPr>
        <w:tc>
          <w:tcPr>
            <w:tcW w:w="12902" w:type="dxa"/>
            <w:gridSpan w:val="9"/>
            <w:shd w:val="clear" w:color="auto" w:fill="F2F2F2" w:themeFill="background1" w:themeFillShade="F2"/>
            <w:noWrap/>
            <w:hideMark/>
          </w:tcPr>
          <w:p w14:paraId="688D3268" w14:textId="77777777" w:rsidR="005A25A0" w:rsidRPr="00335297" w:rsidRDefault="005A25A0" w:rsidP="0006589F">
            <w:pPr>
              <w:spacing w:after="0"/>
              <w:jc w:val="center"/>
              <w:rPr>
                <w:rFonts w:eastAsia="Times New Roman"/>
                <w:b/>
                <w:i/>
                <w:szCs w:val="20"/>
              </w:rPr>
            </w:pPr>
            <w:r w:rsidRPr="00335297">
              <w:rPr>
                <w:rFonts w:eastAsia="Times New Roman"/>
                <w:b/>
                <w:i/>
                <w:szCs w:val="20"/>
              </w:rPr>
              <w:t xml:space="preserve">Treatment </w:t>
            </w:r>
            <w:r>
              <w:rPr>
                <w:rFonts w:eastAsia="Times New Roman"/>
                <w:b/>
                <w:i/>
                <w:szCs w:val="20"/>
              </w:rPr>
              <w:t>O</w:t>
            </w:r>
            <w:r w:rsidRPr="00335297">
              <w:rPr>
                <w:rFonts w:eastAsia="Times New Roman"/>
                <w:b/>
                <w:i/>
                <w:szCs w:val="20"/>
              </w:rPr>
              <w:t>ut</w:t>
            </w:r>
            <w:r>
              <w:rPr>
                <w:rFonts w:eastAsia="Times New Roman"/>
                <w:b/>
                <w:i/>
                <w:szCs w:val="20"/>
              </w:rPr>
              <w:t>-</w:t>
            </w:r>
            <w:r w:rsidRPr="00335297">
              <w:rPr>
                <w:rFonts w:eastAsia="Times New Roman"/>
                <w:b/>
                <w:i/>
                <w:szCs w:val="20"/>
              </w:rPr>
              <w:t>of</w:t>
            </w:r>
            <w:r>
              <w:rPr>
                <w:rFonts w:eastAsia="Times New Roman"/>
                <w:b/>
                <w:i/>
                <w:szCs w:val="20"/>
              </w:rPr>
              <w:t>-</w:t>
            </w:r>
            <w:r w:rsidRPr="00335297">
              <w:rPr>
                <w:rFonts w:eastAsia="Times New Roman"/>
                <w:b/>
                <w:i/>
                <w:szCs w:val="20"/>
              </w:rPr>
              <w:t>Pocket Costs</w:t>
            </w:r>
          </w:p>
        </w:tc>
      </w:tr>
      <w:tr w:rsidR="005A25A0" w:rsidRPr="008E05A4" w14:paraId="58192D3F" w14:textId="77777777" w:rsidTr="0006589F">
        <w:trPr>
          <w:trHeight w:val="53"/>
        </w:trPr>
        <w:tc>
          <w:tcPr>
            <w:tcW w:w="6332" w:type="dxa"/>
            <w:noWrap/>
            <w:hideMark/>
          </w:tcPr>
          <w:p w14:paraId="54C6C03C" w14:textId="77777777" w:rsidR="005A25A0" w:rsidRPr="00335297" w:rsidRDefault="005A25A0" w:rsidP="0006589F">
            <w:pPr>
              <w:spacing w:after="0"/>
              <w:rPr>
                <w:rFonts w:eastAsia="Times New Roman" w:cs="Calibri"/>
                <w:color w:val="000000"/>
                <w:szCs w:val="20"/>
              </w:rPr>
            </w:pPr>
            <w:r w:rsidRPr="00335297">
              <w:rPr>
                <w:rFonts w:eastAsia="Times New Roman" w:cs="Calibri"/>
                <w:color w:val="000000"/>
                <w:szCs w:val="20"/>
              </w:rPr>
              <w:t xml:space="preserve">CS </w:t>
            </w:r>
            <w:r>
              <w:rPr>
                <w:rFonts w:eastAsia="Times New Roman" w:cs="Calibri"/>
                <w:color w:val="000000"/>
                <w:szCs w:val="20"/>
              </w:rPr>
              <w:t>t</w:t>
            </w:r>
            <w:r w:rsidRPr="00335297">
              <w:rPr>
                <w:rFonts w:eastAsia="Times New Roman" w:cs="Calibri"/>
                <w:color w:val="000000"/>
                <w:szCs w:val="20"/>
              </w:rPr>
              <w:t>reatment, per patient per year</w:t>
            </w:r>
          </w:p>
        </w:tc>
        <w:tc>
          <w:tcPr>
            <w:tcW w:w="900" w:type="dxa"/>
            <w:noWrap/>
            <w:hideMark/>
          </w:tcPr>
          <w:p w14:paraId="67C9B083"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$22</w:t>
            </w:r>
          </w:p>
        </w:tc>
        <w:tc>
          <w:tcPr>
            <w:tcW w:w="900" w:type="dxa"/>
            <w:noWrap/>
            <w:hideMark/>
          </w:tcPr>
          <w:p w14:paraId="3F856EF3"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$18</w:t>
            </w:r>
          </w:p>
        </w:tc>
        <w:tc>
          <w:tcPr>
            <w:tcW w:w="990" w:type="dxa"/>
            <w:noWrap/>
            <w:hideMark/>
          </w:tcPr>
          <w:p w14:paraId="7CFE468D"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$510</w:t>
            </w:r>
          </w:p>
        </w:tc>
        <w:tc>
          <w:tcPr>
            <w:tcW w:w="900" w:type="dxa"/>
            <w:noWrap/>
            <w:hideMark/>
          </w:tcPr>
          <w:p w14:paraId="41E58D1A"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$2</w:t>
            </w:r>
          </w:p>
        </w:tc>
        <w:tc>
          <w:tcPr>
            <w:tcW w:w="751" w:type="dxa"/>
            <w:noWrap/>
            <w:hideMark/>
          </w:tcPr>
          <w:p w14:paraId="1E62FE48"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96.0</w:t>
            </w:r>
          </w:p>
        </w:tc>
        <w:tc>
          <w:tcPr>
            <w:tcW w:w="894" w:type="dxa"/>
            <w:gridSpan w:val="2"/>
            <w:noWrap/>
            <w:hideMark/>
          </w:tcPr>
          <w:p w14:paraId="56C1CFD8"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0.2</w:t>
            </w:r>
          </w:p>
        </w:tc>
        <w:tc>
          <w:tcPr>
            <w:tcW w:w="1235" w:type="dxa"/>
            <w:noWrap/>
            <w:hideMark/>
          </w:tcPr>
          <w:p w14:paraId="644F7A71"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Gamma</w:t>
            </w:r>
          </w:p>
        </w:tc>
      </w:tr>
      <w:tr w:rsidR="005A25A0" w:rsidRPr="008E05A4" w14:paraId="027E867C" w14:textId="77777777" w:rsidTr="0006589F">
        <w:trPr>
          <w:trHeight w:val="53"/>
        </w:trPr>
        <w:tc>
          <w:tcPr>
            <w:tcW w:w="6332" w:type="dxa"/>
            <w:noWrap/>
            <w:hideMark/>
          </w:tcPr>
          <w:p w14:paraId="58E9AED0" w14:textId="77777777" w:rsidR="005A25A0" w:rsidRPr="00335297" w:rsidRDefault="005A25A0" w:rsidP="0006589F">
            <w:pPr>
              <w:spacing w:after="0"/>
              <w:rPr>
                <w:rFonts w:eastAsia="Times New Roman" w:cs="Calibri"/>
                <w:color w:val="000000"/>
                <w:szCs w:val="20"/>
              </w:rPr>
            </w:pPr>
            <w:r>
              <w:rPr>
                <w:rFonts w:eastAsia="Times New Roman" w:cs="Calibri"/>
                <w:color w:val="000000"/>
                <w:szCs w:val="20"/>
              </w:rPr>
              <w:t>A</w:t>
            </w:r>
            <w:r w:rsidRPr="00335297">
              <w:rPr>
                <w:rFonts w:eastAsia="Times New Roman" w:cs="Calibri"/>
                <w:color w:val="000000"/>
                <w:szCs w:val="20"/>
              </w:rPr>
              <w:t xml:space="preserve">nti-TNF </w:t>
            </w:r>
            <w:r>
              <w:rPr>
                <w:rFonts w:eastAsia="Times New Roman" w:cs="Calibri"/>
                <w:color w:val="000000"/>
                <w:szCs w:val="20"/>
              </w:rPr>
              <w:t>t</w:t>
            </w:r>
            <w:r w:rsidRPr="00335297">
              <w:rPr>
                <w:rFonts w:eastAsia="Times New Roman" w:cs="Calibri"/>
                <w:color w:val="000000"/>
                <w:szCs w:val="20"/>
              </w:rPr>
              <w:t>reatment, per patient per year</w:t>
            </w:r>
          </w:p>
        </w:tc>
        <w:tc>
          <w:tcPr>
            <w:tcW w:w="900" w:type="dxa"/>
            <w:noWrap/>
            <w:hideMark/>
          </w:tcPr>
          <w:p w14:paraId="17E4551B"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$111</w:t>
            </w:r>
          </w:p>
        </w:tc>
        <w:tc>
          <w:tcPr>
            <w:tcW w:w="900" w:type="dxa"/>
            <w:noWrap/>
            <w:hideMark/>
          </w:tcPr>
          <w:p w14:paraId="2DA1A3BC"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$89</w:t>
            </w:r>
          </w:p>
        </w:tc>
        <w:tc>
          <w:tcPr>
            <w:tcW w:w="990" w:type="dxa"/>
            <w:noWrap/>
            <w:hideMark/>
          </w:tcPr>
          <w:p w14:paraId="2D131C3E"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$263</w:t>
            </w:r>
          </w:p>
        </w:tc>
        <w:tc>
          <w:tcPr>
            <w:tcW w:w="900" w:type="dxa"/>
            <w:noWrap/>
            <w:hideMark/>
          </w:tcPr>
          <w:p w14:paraId="512F5229"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$11</w:t>
            </w:r>
          </w:p>
        </w:tc>
        <w:tc>
          <w:tcPr>
            <w:tcW w:w="751" w:type="dxa"/>
            <w:noWrap/>
            <w:hideMark/>
          </w:tcPr>
          <w:p w14:paraId="1F6FCE5B"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96.0</w:t>
            </w:r>
          </w:p>
        </w:tc>
        <w:tc>
          <w:tcPr>
            <w:tcW w:w="894" w:type="dxa"/>
            <w:gridSpan w:val="2"/>
            <w:noWrap/>
            <w:hideMark/>
          </w:tcPr>
          <w:p w14:paraId="1F4C3C46"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1.2</w:t>
            </w:r>
          </w:p>
        </w:tc>
        <w:tc>
          <w:tcPr>
            <w:tcW w:w="1235" w:type="dxa"/>
            <w:noWrap/>
            <w:hideMark/>
          </w:tcPr>
          <w:p w14:paraId="4AB0FA48"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Gamma</w:t>
            </w:r>
          </w:p>
        </w:tc>
      </w:tr>
      <w:tr w:rsidR="005A25A0" w:rsidRPr="008E05A4" w14:paraId="75952EFE" w14:textId="77777777" w:rsidTr="0006589F">
        <w:trPr>
          <w:trHeight w:val="53"/>
        </w:trPr>
        <w:tc>
          <w:tcPr>
            <w:tcW w:w="6332" w:type="dxa"/>
            <w:noWrap/>
            <w:hideMark/>
          </w:tcPr>
          <w:p w14:paraId="4AF9ECDB" w14:textId="77777777" w:rsidR="005A25A0" w:rsidRPr="00335297" w:rsidRDefault="005A25A0" w:rsidP="0006589F">
            <w:pPr>
              <w:spacing w:after="0"/>
              <w:rPr>
                <w:rFonts w:eastAsia="Times New Roman" w:cs="Calibri"/>
                <w:color w:val="000000"/>
                <w:szCs w:val="20"/>
              </w:rPr>
            </w:pPr>
            <w:r w:rsidRPr="00335297">
              <w:rPr>
                <w:rFonts w:eastAsia="Times New Roman" w:cs="Calibri"/>
                <w:color w:val="000000"/>
                <w:szCs w:val="20"/>
              </w:rPr>
              <w:t>CS visits, per patient per year</w:t>
            </w:r>
          </w:p>
        </w:tc>
        <w:tc>
          <w:tcPr>
            <w:tcW w:w="900" w:type="dxa"/>
            <w:noWrap/>
            <w:hideMark/>
          </w:tcPr>
          <w:p w14:paraId="71007509"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4</w:t>
            </w:r>
          </w:p>
        </w:tc>
        <w:tc>
          <w:tcPr>
            <w:tcW w:w="900" w:type="dxa"/>
            <w:noWrap/>
            <w:hideMark/>
          </w:tcPr>
          <w:p w14:paraId="3996C531"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3.00</w:t>
            </w:r>
          </w:p>
        </w:tc>
        <w:tc>
          <w:tcPr>
            <w:tcW w:w="990" w:type="dxa"/>
            <w:noWrap/>
            <w:hideMark/>
          </w:tcPr>
          <w:p w14:paraId="6817CA6E"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6.00</w:t>
            </w:r>
          </w:p>
        </w:tc>
        <w:tc>
          <w:tcPr>
            <w:tcW w:w="900" w:type="dxa"/>
            <w:noWrap/>
            <w:hideMark/>
          </w:tcPr>
          <w:p w14:paraId="73BDD1CC"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0.408163</w:t>
            </w:r>
          </w:p>
        </w:tc>
        <w:tc>
          <w:tcPr>
            <w:tcW w:w="751" w:type="dxa"/>
            <w:noWrap/>
            <w:hideMark/>
          </w:tcPr>
          <w:p w14:paraId="54267844"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894" w:type="dxa"/>
            <w:gridSpan w:val="2"/>
            <w:noWrap/>
            <w:hideMark/>
          </w:tcPr>
          <w:p w14:paraId="62E0BDF7"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1235" w:type="dxa"/>
            <w:noWrap/>
            <w:hideMark/>
          </w:tcPr>
          <w:p w14:paraId="62E490D5"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Normal</w:t>
            </w:r>
          </w:p>
        </w:tc>
      </w:tr>
      <w:tr w:rsidR="005A25A0" w:rsidRPr="008E05A4" w14:paraId="2879CE90" w14:textId="77777777" w:rsidTr="0006589F">
        <w:trPr>
          <w:trHeight w:val="53"/>
        </w:trPr>
        <w:tc>
          <w:tcPr>
            <w:tcW w:w="6332" w:type="dxa"/>
            <w:noWrap/>
            <w:hideMark/>
          </w:tcPr>
          <w:p w14:paraId="7738AA86" w14:textId="77777777" w:rsidR="005A25A0" w:rsidRPr="00335297" w:rsidRDefault="005A25A0" w:rsidP="0006589F">
            <w:pPr>
              <w:spacing w:after="0"/>
              <w:rPr>
                <w:rFonts w:eastAsia="Times New Roman" w:cs="Calibri"/>
                <w:color w:val="000000"/>
                <w:szCs w:val="20"/>
              </w:rPr>
            </w:pPr>
            <w:r>
              <w:rPr>
                <w:rFonts w:eastAsia="Times New Roman" w:cs="Calibri"/>
                <w:color w:val="000000"/>
                <w:szCs w:val="20"/>
              </w:rPr>
              <w:t>A</w:t>
            </w:r>
            <w:r w:rsidRPr="00335297">
              <w:rPr>
                <w:rFonts w:eastAsia="Times New Roman" w:cs="Calibri"/>
                <w:color w:val="000000"/>
                <w:szCs w:val="20"/>
              </w:rPr>
              <w:t>nti-TNF visits, per patient per year</w:t>
            </w:r>
          </w:p>
        </w:tc>
        <w:tc>
          <w:tcPr>
            <w:tcW w:w="900" w:type="dxa"/>
            <w:noWrap/>
            <w:hideMark/>
          </w:tcPr>
          <w:p w14:paraId="53F2D861"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2</w:t>
            </w:r>
          </w:p>
        </w:tc>
        <w:tc>
          <w:tcPr>
            <w:tcW w:w="900" w:type="dxa"/>
            <w:noWrap/>
            <w:hideMark/>
          </w:tcPr>
          <w:p w14:paraId="2663EB44"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1.00</w:t>
            </w:r>
          </w:p>
        </w:tc>
        <w:tc>
          <w:tcPr>
            <w:tcW w:w="990" w:type="dxa"/>
            <w:noWrap/>
            <w:hideMark/>
          </w:tcPr>
          <w:p w14:paraId="62454400"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4.00</w:t>
            </w:r>
          </w:p>
        </w:tc>
        <w:tc>
          <w:tcPr>
            <w:tcW w:w="900" w:type="dxa"/>
            <w:noWrap/>
            <w:hideMark/>
          </w:tcPr>
          <w:p w14:paraId="164EABF7"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0.204082</w:t>
            </w:r>
          </w:p>
        </w:tc>
        <w:tc>
          <w:tcPr>
            <w:tcW w:w="751" w:type="dxa"/>
            <w:noWrap/>
            <w:hideMark/>
          </w:tcPr>
          <w:p w14:paraId="6327CEC9"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894" w:type="dxa"/>
            <w:gridSpan w:val="2"/>
            <w:noWrap/>
            <w:hideMark/>
          </w:tcPr>
          <w:p w14:paraId="0934EDBC"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1235" w:type="dxa"/>
            <w:noWrap/>
            <w:hideMark/>
          </w:tcPr>
          <w:p w14:paraId="4E90EA50"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Normal</w:t>
            </w:r>
          </w:p>
        </w:tc>
      </w:tr>
      <w:tr w:rsidR="005A25A0" w:rsidRPr="008E05A4" w14:paraId="74E3B1AC" w14:textId="77777777" w:rsidTr="0006589F">
        <w:trPr>
          <w:trHeight w:val="53"/>
        </w:trPr>
        <w:tc>
          <w:tcPr>
            <w:tcW w:w="6332" w:type="dxa"/>
            <w:noWrap/>
            <w:hideMark/>
          </w:tcPr>
          <w:p w14:paraId="63F6396F" w14:textId="77777777" w:rsidR="005A25A0" w:rsidRPr="00335297" w:rsidRDefault="005A25A0" w:rsidP="0006589F">
            <w:pPr>
              <w:spacing w:after="0"/>
              <w:rPr>
                <w:rFonts w:eastAsia="Times New Roman" w:cs="Calibri"/>
                <w:color w:val="000000"/>
                <w:szCs w:val="20"/>
              </w:rPr>
            </w:pPr>
            <w:r w:rsidRPr="00335297">
              <w:rPr>
                <w:rFonts w:eastAsia="Times New Roman" w:cs="Calibri"/>
                <w:color w:val="000000"/>
                <w:szCs w:val="20"/>
              </w:rPr>
              <w:t>Travel per office visit</w:t>
            </w:r>
          </w:p>
        </w:tc>
        <w:tc>
          <w:tcPr>
            <w:tcW w:w="900" w:type="dxa"/>
            <w:noWrap/>
            <w:hideMark/>
          </w:tcPr>
          <w:p w14:paraId="78065055"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$15.67</w:t>
            </w:r>
          </w:p>
        </w:tc>
        <w:tc>
          <w:tcPr>
            <w:tcW w:w="900" w:type="dxa"/>
            <w:noWrap/>
            <w:hideMark/>
          </w:tcPr>
          <w:p w14:paraId="2544B422"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$12.54</w:t>
            </w:r>
          </w:p>
        </w:tc>
        <w:tc>
          <w:tcPr>
            <w:tcW w:w="990" w:type="dxa"/>
            <w:noWrap/>
            <w:hideMark/>
          </w:tcPr>
          <w:p w14:paraId="57BF3B84"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$18.80</w:t>
            </w:r>
          </w:p>
        </w:tc>
        <w:tc>
          <w:tcPr>
            <w:tcW w:w="900" w:type="dxa"/>
            <w:noWrap/>
            <w:hideMark/>
          </w:tcPr>
          <w:p w14:paraId="5E5B1583"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$1.60</w:t>
            </w:r>
          </w:p>
        </w:tc>
        <w:tc>
          <w:tcPr>
            <w:tcW w:w="751" w:type="dxa"/>
            <w:noWrap/>
            <w:hideMark/>
          </w:tcPr>
          <w:p w14:paraId="67552545"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96.0</w:t>
            </w:r>
          </w:p>
        </w:tc>
        <w:tc>
          <w:tcPr>
            <w:tcW w:w="894" w:type="dxa"/>
            <w:gridSpan w:val="2"/>
            <w:noWrap/>
            <w:hideMark/>
          </w:tcPr>
          <w:p w14:paraId="4883AA5F"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0.2</w:t>
            </w:r>
          </w:p>
        </w:tc>
        <w:tc>
          <w:tcPr>
            <w:tcW w:w="1235" w:type="dxa"/>
            <w:noWrap/>
            <w:hideMark/>
          </w:tcPr>
          <w:p w14:paraId="7E2BE456"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Gamma</w:t>
            </w:r>
          </w:p>
        </w:tc>
      </w:tr>
      <w:tr w:rsidR="005A25A0" w:rsidRPr="008E05A4" w14:paraId="27F4A59E" w14:textId="77777777" w:rsidTr="0006589F">
        <w:trPr>
          <w:trHeight w:val="161"/>
        </w:trPr>
        <w:tc>
          <w:tcPr>
            <w:tcW w:w="12902" w:type="dxa"/>
            <w:gridSpan w:val="9"/>
            <w:shd w:val="clear" w:color="auto" w:fill="D9D9D9" w:themeFill="background1" w:themeFillShade="D9"/>
            <w:noWrap/>
            <w:hideMark/>
          </w:tcPr>
          <w:p w14:paraId="5E240C31" w14:textId="77777777" w:rsidR="005A25A0" w:rsidRPr="00335297" w:rsidRDefault="005A25A0" w:rsidP="0006589F">
            <w:pPr>
              <w:keepNext/>
              <w:keepLines/>
              <w:spacing w:after="0"/>
              <w:jc w:val="center"/>
              <w:rPr>
                <w:rFonts w:eastAsia="Times New Roman" w:cs="Calibri"/>
                <w:b/>
                <w:color w:val="FFFFFF"/>
                <w:szCs w:val="20"/>
              </w:rPr>
            </w:pPr>
            <w:r w:rsidRPr="008E05A4">
              <w:rPr>
                <w:rFonts w:eastAsia="Times New Roman" w:cs="Calibri"/>
                <w:b/>
                <w:szCs w:val="20"/>
              </w:rPr>
              <w:t>Indirect Costs</w:t>
            </w:r>
          </w:p>
        </w:tc>
      </w:tr>
      <w:tr w:rsidR="005A25A0" w:rsidRPr="008E05A4" w14:paraId="7ACA33A6" w14:textId="77777777" w:rsidTr="0006589F">
        <w:trPr>
          <w:trHeight w:val="80"/>
        </w:trPr>
        <w:tc>
          <w:tcPr>
            <w:tcW w:w="12902" w:type="dxa"/>
            <w:gridSpan w:val="9"/>
            <w:shd w:val="clear" w:color="auto" w:fill="F2F2F2" w:themeFill="background1" w:themeFillShade="F2"/>
            <w:noWrap/>
            <w:hideMark/>
          </w:tcPr>
          <w:p w14:paraId="6F8274DD" w14:textId="77777777" w:rsidR="005A25A0" w:rsidRPr="00335297" w:rsidRDefault="005A25A0" w:rsidP="0006589F">
            <w:pPr>
              <w:keepNext/>
              <w:keepLines/>
              <w:spacing w:after="0"/>
              <w:jc w:val="center"/>
              <w:rPr>
                <w:rFonts w:ascii="Times New Roman" w:eastAsia="Times New Roman" w:hAnsi="Times New Roman"/>
                <w:i/>
                <w:szCs w:val="20"/>
              </w:rPr>
            </w:pPr>
            <w:r w:rsidRPr="00335297">
              <w:rPr>
                <w:rFonts w:eastAsia="Times New Roman" w:cs="Calibri"/>
                <w:b/>
                <w:bCs/>
                <w:i/>
                <w:color w:val="000000"/>
                <w:szCs w:val="20"/>
              </w:rPr>
              <w:t xml:space="preserve">Time </w:t>
            </w:r>
            <w:r>
              <w:rPr>
                <w:rFonts w:eastAsia="Times New Roman" w:cs="Calibri"/>
                <w:b/>
                <w:bCs/>
                <w:i/>
                <w:color w:val="000000"/>
                <w:szCs w:val="20"/>
              </w:rPr>
              <w:t>L</w:t>
            </w:r>
            <w:r w:rsidRPr="00335297">
              <w:rPr>
                <w:rFonts w:eastAsia="Times New Roman" w:cs="Calibri"/>
                <w:b/>
                <w:bCs/>
                <w:i/>
                <w:color w:val="000000"/>
                <w:szCs w:val="20"/>
              </w:rPr>
              <w:t xml:space="preserve">ost to </w:t>
            </w:r>
            <w:r>
              <w:rPr>
                <w:rFonts w:eastAsia="Times New Roman" w:cs="Calibri"/>
                <w:b/>
                <w:bCs/>
                <w:i/>
                <w:color w:val="000000"/>
                <w:szCs w:val="20"/>
              </w:rPr>
              <w:t>A</w:t>
            </w:r>
            <w:r w:rsidRPr="00335297">
              <w:rPr>
                <w:rFonts w:eastAsia="Times New Roman" w:cs="Calibri"/>
                <w:b/>
                <w:bCs/>
                <w:i/>
                <w:color w:val="000000"/>
                <w:szCs w:val="20"/>
              </w:rPr>
              <w:t xml:space="preserve">dverse </w:t>
            </w:r>
            <w:r>
              <w:rPr>
                <w:rFonts w:eastAsia="Times New Roman" w:cs="Calibri"/>
                <w:b/>
                <w:bCs/>
                <w:i/>
                <w:color w:val="000000"/>
                <w:szCs w:val="20"/>
              </w:rPr>
              <w:t>E</w:t>
            </w:r>
            <w:r w:rsidRPr="00335297">
              <w:rPr>
                <w:rFonts w:eastAsia="Times New Roman" w:cs="Calibri"/>
                <w:b/>
                <w:bCs/>
                <w:i/>
                <w:color w:val="000000"/>
                <w:szCs w:val="20"/>
              </w:rPr>
              <w:t>vents (</w:t>
            </w:r>
            <w:r>
              <w:rPr>
                <w:rFonts w:eastAsia="Times New Roman" w:cs="Calibri"/>
                <w:b/>
                <w:bCs/>
                <w:i/>
                <w:color w:val="000000"/>
                <w:szCs w:val="20"/>
              </w:rPr>
              <w:t>D</w:t>
            </w:r>
            <w:r w:rsidRPr="00335297">
              <w:rPr>
                <w:rFonts w:eastAsia="Times New Roman" w:cs="Calibri"/>
                <w:b/>
                <w:bCs/>
                <w:i/>
                <w:color w:val="000000"/>
                <w:szCs w:val="20"/>
              </w:rPr>
              <w:t>ays)</w:t>
            </w:r>
          </w:p>
        </w:tc>
      </w:tr>
      <w:tr w:rsidR="005A25A0" w:rsidRPr="008E05A4" w14:paraId="6FE6704C" w14:textId="77777777" w:rsidTr="0006589F">
        <w:trPr>
          <w:trHeight w:val="53"/>
        </w:trPr>
        <w:tc>
          <w:tcPr>
            <w:tcW w:w="6332" w:type="dxa"/>
            <w:noWrap/>
            <w:hideMark/>
          </w:tcPr>
          <w:p w14:paraId="3A2C60C4" w14:textId="77777777" w:rsidR="005A25A0" w:rsidRPr="00335297" w:rsidRDefault="005A25A0" w:rsidP="0006589F">
            <w:pPr>
              <w:spacing w:after="0"/>
              <w:rPr>
                <w:rFonts w:eastAsia="Times New Roman" w:cs="Calibri"/>
                <w:szCs w:val="20"/>
              </w:rPr>
            </w:pPr>
            <w:r w:rsidRPr="00335297">
              <w:rPr>
                <w:rFonts w:eastAsia="Times New Roman" w:cs="Calibri"/>
                <w:szCs w:val="20"/>
              </w:rPr>
              <w:t>Hip fracture, per event</w:t>
            </w:r>
          </w:p>
        </w:tc>
        <w:tc>
          <w:tcPr>
            <w:tcW w:w="900" w:type="dxa"/>
            <w:noWrap/>
            <w:hideMark/>
          </w:tcPr>
          <w:p w14:paraId="5389039D"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12.4</w:t>
            </w:r>
          </w:p>
        </w:tc>
        <w:tc>
          <w:tcPr>
            <w:tcW w:w="900" w:type="dxa"/>
            <w:noWrap/>
            <w:hideMark/>
          </w:tcPr>
          <w:p w14:paraId="4A5C71A8"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9.92</w:t>
            </w:r>
          </w:p>
        </w:tc>
        <w:tc>
          <w:tcPr>
            <w:tcW w:w="990" w:type="dxa"/>
            <w:noWrap/>
            <w:hideMark/>
          </w:tcPr>
          <w:p w14:paraId="578108C8"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14.88</w:t>
            </w:r>
          </w:p>
        </w:tc>
        <w:tc>
          <w:tcPr>
            <w:tcW w:w="900" w:type="dxa"/>
            <w:noWrap/>
            <w:hideMark/>
          </w:tcPr>
          <w:p w14:paraId="0C3AB6D4"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1.265</w:t>
            </w:r>
          </w:p>
        </w:tc>
        <w:tc>
          <w:tcPr>
            <w:tcW w:w="751" w:type="dxa"/>
            <w:noWrap/>
            <w:hideMark/>
          </w:tcPr>
          <w:p w14:paraId="43849225"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894" w:type="dxa"/>
            <w:gridSpan w:val="2"/>
            <w:noWrap/>
            <w:hideMark/>
          </w:tcPr>
          <w:p w14:paraId="4FE778F2"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1235" w:type="dxa"/>
            <w:noWrap/>
            <w:hideMark/>
          </w:tcPr>
          <w:p w14:paraId="7E17BE24"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Normal</w:t>
            </w:r>
          </w:p>
        </w:tc>
      </w:tr>
      <w:tr w:rsidR="005A25A0" w:rsidRPr="008E05A4" w14:paraId="14D0335C" w14:textId="77777777" w:rsidTr="0006589F">
        <w:trPr>
          <w:trHeight w:val="53"/>
        </w:trPr>
        <w:tc>
          <w:tcPr>
            <w:tcW w:w="6332" w:type="dxa"/>
            <w:noWrap/>
            <w:hideMark/>
          </w:tcPr>
          <w:p w14:paraId="766F124F" w14:textId="77777777" w:rsidR="005A25A0" w:rsidRPr="00335297" w:rsidRDefault="005A25A0" w:rsidP="0006589F">
            <w:pPr>
              <w:spacing w:after="0"/>
              <w:rPr>
                <w:rFonts w:eastAsia="Times New Roman" w:cs="Calibri"/>
                <w:szCs w:val="20"/>
              </w:rPr>
            </w:pPr>
            <w:r>
              <w:rPr>
                <w:rFonts w:eastAsia="Times New Roman" w:cs="Calibri"/>
                <w:szCs w:val="20"/>
              </w:rPr>
              <w:t>MACE</w:t>
            </w:r>
            <w:r w:rsidRPr="00335297">
              <w:rPr>
                <w:rFonts w:eastAsia="Times New Roman" w:cs="Calibri"/>
                <w:szCs w:val="20"/>
              </w:rPr>
              <w:t>, per event</w:t>
            </w:r>
          </w:p>
        </w:tc>
        <w:tc>
          <w:tcPr>
            <w:tcW w:w="900" w:type="dxa"/>
            <w:noWrap/>
            <w:hideMark/>
          </w:tcPr>
          <w:p w14:paraId="1E1E66E6"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17.3</w:t>
            </w:r>
          </w:p>
        </w:tc>
        <w:tc>
          <w:tcPr>
            <w:tcW w:w="900" w:type="dxa"/>
            <w:noWrap/>
            <w:hideMark/>
          </w:tcPr>
          <w:p w14:paraId="0F5E4552"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13.84</w:t>
            </w:r>
          </w:p>
        </w:tc>
        <w:tc>
          <w:tcPr>
            <w:tcW w:w="990" w:type="dxa"/>
            <w:noWrap/>
            <w:hideMark/>
          </w:tcPr>
          <w:p w14:paraId="2E96245F"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20.76</w:t>
            </w:r>
          </w:p>
        </w:tc>
        <w:tc>
          <w:tcPr>
            <w:tcW w:w="900" w:type="dxa"/>
            <w:noWrap/>
            <w:hideMark/>
          </w:tcPr>
          <w:p w14:paraId="50FE1239"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1.765</w:t>
            </w:r>
          </w:p>
        </w:tc>
        <w:tc>
          <w:tcPr>
            <w:tcW w:w="751" w:type="dxa"/>
            <w:noWrap/>
            <w:hideMark/>
          </w:tcPr>
          <w:p w14:paraId="3E0DFA03"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894" w:type="dxa"/>
            <w:gridSpan w:val="2"/>
            <w:noWrap/>
            <w:hideMark/>
          </w:tcPr>
          <w:p w14:paraId="393D0EBF"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1235" w:type="dxa"/>
            <w:noWrap/>
            <w:hideMark/>
          </w:tcPr>
          <w:p w14:paraId="766B7E10"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Normal</w:t>
            </w:r>
          </w:p>
        </w:tc>
      </w:tr>
      <w:tr w:rsidR="005A25A0" w:rsidRPr="008E05A4" w14:paraId="57F9A1EC" w14:textId="77777777" w:rsidTr="0006589F">
        <w:trPr>
          <w:trHeight w:val="53"/>
        </w:trPr>
        <w:tc>
          <w:tcPr>
            <w:tcW w:w="6332" w:type="dxa"/>
            <w:noWrap/>
            <w:hideMark/>
          </w:tcPr>
          <w:p w14:paraId="124F1A87" w14:textId="77777777" w:rsidR="005A25A0" w:rsidRPr="00335297" w:rsidRDefault="005A25A0" w:rsidP="0006589F">
            <w:pPr>
              <w:spacing w:after="0"/>
              <w:rPr>
                <w:rFonts w:eastAsia="Times New Roman" w:cs="Calibri"/>
                <w:szCs w:val="20"/>
              </w:rPr>
            </w:pPr>
            <w:r w:rsidRPr="00335297">
              <w:rPr>
                <w:rFonts w:eastAsia="Times New Roman" w:cs="Calibri"/>
                <w:szCs w:val="20"/>
              </w:rPr>
              <w:t>IBD-related hospitalization, per event</w:t>
            </w:r>
          </w:p>
        </w:tc>
        <w:tc>
          <w:tcPr>
            <w:tcW w:w="900" w:type="dxa"/>
            <w:noWrap/>
            <w:hideMark/>
          </w:tcPr>
          <w:p w14:paraId="7FB9792B"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8.7</w:t>
            </w:r>
          </w:p>
        </w:tc>
        <w:tc>
          <w:tcPr>
            <w:tcW w:w="900" w:type="dxa"/>
            <w:noWrap/>
            <w:hideMark/>
          </w:tcPr>
          <w:p w14:paraId="096A5572"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6.96</w:t>
            </w:r>
          </w:p>
        </w:tc>
        <w:tc>
          <w:tcPr>
            <w:tcW w:w="990" w:type="dxa"/>
            <w:noWrap/>
            <w:hideMark/>
          </w:tcPr>
          <w:p w14:paraId="4F5C9C67"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10.44</w:t>
            </w:r>
          </w:p>
        </w:tc>
        <w:tc>
          <w:tcPr>
            <w:tcW w:w="900" w:type="dxa"/>
            <w:noWrap/>
            <w:hideMark/>
          </w:tcPr>
          <w:p w14:paraId="2EE8F8C8"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0.888</w:t>
            </w:r>
          </w:p>
        </w:tc>
        <w:tc>
          <w:tcPr>
            <w:tcW w:w="751" w:type="dxa"/>
            <w:noWrap/>
            <w:hideMark/>
          </w:tcPr>
          <w:p w14:paraId="3A9CD092"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894" w:type="dxa"/>
            <w:gridSpan w:val="2"/>
            <w:noWrap/>
            <w:hideMark/>
          </w:tcPr>
          <w:p w14:paraId="2CFA488F"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1235" w:type="dxa"/>
            <w:noWrap/>
            <w:hideMark/>
          </w:tcPr>
          <w:p w14:paraId="18BE4F6C"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Normal</w:t>
            </w:r>
          </w:p>
        </w:tc>
      </w:tr>
      <w:tr w:rsidR="005A25A0" w:rsidRPr="008E05A4" w14:paraId="23F1E2F4" w14:textId="77777777" w:rsidTr="0006589F">
        <w:trPr>
          <w:trHeight w:val="53"/>
        </w:trPr>
        <w:tc>
          <w:tcPr>
            <w:tcW w:w="12902" w:type="dxa"/>
            <w:gridSpan w:val="9"/>
            <w:shd w:val="clear" w:color="auto" w:fill="F2F2F2" w:themeFill="background1" w:themeFillShade="F2"/>
            <w:noWrap/>
            <w:hideMark/>
          </w:tcPr>
          <w:p w14:paraId="1EC5C3B6" w14:textId="77777777" w:rsidR="005A25A0" w:rsidRPr="00335297" w:rsidRDefault="005A25A0" w:rsidP="0006589F">
            <w:pPr>
              <w:spacing w:after="0"/>
              <w:jc w:val="center"/>
              <w:rPr>
                <w:rFonts w:ascii="Times New Roman" w:eastAsia="Times New Roman" w:hAnsi="Times New Roman"/>
                <w:i/>
                <w:szCs w:val="20"/>
              </w:rPr>
            </w:pPr>
            <w:r w:rsidRPr="00335297">
              <w:rPr>
                <w:rFonts w:eastAsia="Times New Roman" w:cs="Calibri"/>
                <w:b/>
                <w:bCs/>
                <w:i/>
                <w:color w:val="000000"/>
                <w:szCs w:val="20"/>
              </w:rPr>
              <w:t>Lost Patient Time (</w:t>
            </w:r>
            <w:r>
              <w:rPr>
                <w:rFonts w:eastAsia="Times New Roman" w:cs="Calibri"/>
                <w:b/>
                <w:bCs/>
                <w:i/>
                <w:color w:val="000000"/>
                <w:szCs w:val="20"/>
              </w:rPr>
              <w:t>H</w:t>
            </w:r>
            <w:r w:rsidRPr="00335297">
              <w:rPr>
                <w:rFonts w:eastAsia="Times New Roman" w:cs="Calibri"/>
                <w:b/>
                <w:bCs/>
                <w:i/>
                <w:color w:val="000000"/>
                <w:szCs w:val="20"/>
              </w:rPr>
              <w:t>ours)</w:t>
            </w:r>
          </w:p>
        </w:tc>
      </w:tr>
      <w:tr w:rsidR="005A25A0" w:rsidRPr="008E05A4" w14:paraId="60F0FF3D" w14:textId="77777777" w:rsidTr="0006589F">
        <w:trPr>
          <w:trHeight w:val="53"/>
        </w:trPr>
        <w:tc>
          <w:tcPr>
            <w:tcW w:w="6332" w:type="dxa"/>
            <w:noWrap/>
            <w:hideMark/>
          </w:tcPr>
          <w:p w14:paraId="119C6935" w14:textId="77777777" w:rsidR="005A25A0" w:rsidRPr="00335297" w:rsidRDefault="005A25A0" w:rsidP="0006589F">
            <w:pPr>
              <w:spacing w:after="0"/>
              <w:rPr>
                <w:rFonts w:eastAsia="Times New Roman" w:cs="Calibri"/>
                <w:color w:val="000000"/>
                <w:szCs w:val="20"/>
              </w:rPr>
            </w:pPr>
            <w:r w:rsidRPr="00335297">
              <w:rPr>
                <w:rFonts w:eastAsia="Times New Roman" w:cs="Calibri"/>
                <w:color w:val="000000"/>
                <w:szCs w:val="20"/>
              </w:rPr>
              <w:t>Patient hours spent in treatment/monitoring per year, CS</w:t>
            </w:r>
          </w:p>
        </w:tc>
        <w:tc>
          <w:tcPr>
            <w:tcW w:w="900" w:type="dxa"/>
            <w:noWrap/>
            <w:hideMark/>
          </w:tcPr>
          <w:p w14:paraId="387CE36E"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2.00</w:t>
            </w:r>
          </w:p>
        </w:tc>
        <w:tc>
          <w:tcPr>
            <w:tcW w:w="900" w:type="dxa"/>
            <w:noWrap/>
            <w:hideMark/>
          </w:tcPr>
          <w:p w14:paraId="2A2DD040"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1.00</w:t>
            </w:r>
          </w:p>
        </w:tc>
        <w:tc>
          <w:tcPr>
            <w:tcW w:w="990" w:type="dxa"/>
            <w:noWrap/>
            <w:hideMark/>
          </w:tcPr>
          <w:p w14:paraId="3A9AE032"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4.00</w:t>
            </w:r>
          </w:p>
        </w:tc>
        <w:tc>
          <w:tcPr>
            <w:tcW w:w="900" w:type="dxa"/>
            <w:noWrap/>
            <w:hideMark/>
          </w:tcPr>
          <w:p w14:paraId="6297B9CD"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0.204082</w:t>
            </w:r>
          </w:p>
        </w:tc>
        <w:tc>
          <w:tcPr>
            <w:tcW w:w="751" w:type="dxa"/>
            <w:noWrap/>
            <w:hideMark/>
          </w:tcPr>
          <w:p w14:paraId="71BFCCEE"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894" w:type="dxa"/>
            <w:gridSpan w:val="2"/>
            <w:noWrap/>
            <w:hideMark/>
          </w:tcPr>
          <w:p w14:paraId="6625B008"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1235" w:type="dxa"/>
            <w:noWrap/>
            <w:hideMark/>
          </w:tcPr>
          <w:p w14:paraId="4EDF208F"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Normal</w:t>
            </w:r>
          </w:p>
        </w:tc>
      </w:tr>
      <w:tr w:rsidR="005A25A0" w:rsidRPr="008E05A4" w14:paraId="2C4A731D" w14:textId="77777777" w:rsidTr="0006589F">
        <w:trPr>
          <w:trHeight w:val="53"/>
        </w:trPr>
        <w:tc>
          <w:tcPr>
            <w:tcW w:w="6332" w:type="dxa"/>
            <w:noWrap/>
            <w:hideMark/>
          </w:tcPr>
          <w:p w14:paraId="187CB994" w14:textId="77777777" w:rsidR="005A25A0" w:rsidRPr="00335297" w:rsidRDefault="005A25A0" w:rsidP="0006589F">
            <w:pPr>
              <w:spacing w:after="0"/>
              <w:rPr>
                <w:rFonts w:eastAsia="Times New Roman" w:cs="Calibri"/>
                <w:color w:val="000000"/>
                <w:szCs w:val="20"/>
              </w:rPr>
            </w:pPr>
            <w:r w:rsidRPr="00335297">
              <w:rPr>
                <w:rFonts w:eastAsia="Times New Roman" w:cs="Calibri"/>
                <w:color w:val="000000"/>
                <w:szCs w:val="20"/>
              </w:rPr>
              <w:t>Patient hours spent in treatment/monitoring per year, anti-TNF</w:t>
            </w:r>
          </w:p>
        </w:tc>
        <w:tc>
          <w:tcPr>
            <w:tcW w:w="900" w:type="dxa"/>
            <w:noWrap/>
            <w:hideMark/>
          </w:tcPr>
          <w:p w14:paraId="03E82442"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13.2</w:t>
            </w:r>
          </w:p>
        </w:tc>
        <w:tc>
          <w:tcPr>
            <w:tcW w:w="900" w:type="dxa"/>
            <w:noWrap/>
            <w:hideMark/>
          </w:tcPr>
          <w:p w14:paraId="7BC3A202"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10.00</w:t>
            </w:r>
          </w:p>
        </w:tc>
        <w:tc>
          <w:tcPr>
            <w:tcW w:w="990" w:type="dxa"/>
            <w:noWrap/>
            <w:hideMark/>
          </w:tcPr>
          <w:p w14:paraId="1B2B231C"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16.00</w:t>
            </w:r>
          </w:p>
        </w:tc>
        <w:tc>
          <w:tcPr>
            <w:tcW w:w="900" w:type="dxa"/>
            <w:noWrap/>
            <w:hideMark/>
          </w:tcPr>
          <w:p w14:paraId="60EEB0BA"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1.346890</w:t>
            </w:r>
          </w:p>
        </w:tc>
        <w:tc>
          <w:tcPr>
            <w:tcW w:w="751" w:type="dxa"/>
            <w:noWrap/>
            <w:hideMark/>
          </w:tcPr>
          <w:p w14:paraId="3FFEBB51"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894" w:type="dxa"/>
            <w:gridSpan w:val="2"/>
            <w:noWrap/>
            <w:hideMark/>
          </w:tcPr>
          <w:p w14:paraId="2A64F3E9"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1235" w:type="dxa"/>
            <w:noWrap/>
            <w:hideMark/>
          </w:tcPr>
          <w:p w14:paraId="7DEDF12E"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Normal</w:t>
            </w:r>
          </w:p>
        </w:tc>
      </w:tr>
      <w:tr w:rsidR="005A25A0" w:rsidRPr="008E05A4" w14:paraId="06613DBA" w14:textId="77777777" w:rsidTr="0006589F">
        <w:trPr>
          <w:trHeight w:val="53"/>
        </w:trPr>
        <w:tc>
          <w:tcPr>
            <w:tcW w:w="12902" w:type="dxa"/>
            <w:gridSpan w:val="9"/>
            <w:shd w:val="clear" w:color="auto" w:fill="F2F2F2" w:themeFill="background1" w:themeFillShade="F2"/>
            <w:noWrap/>
            <w:hideMark/>
          </w:tcPr>
          <w:p w14:paraId="3F2EEDB0" w14:textId="77777777" w:rsidR="005A25A0" w:rsidRPr="00335297" w:rsidRDefault="005A25A0" w:rsidP="0006589F">
            <w:pPr>
              <w:spacing w:after="0"/>
              <w:jc w:val="center"/>
              <w:rPr>
                <w:rFonts w:ascii="Times New Roman" w:eastAsia="Times New Roman" w:hAnsi="Times New Roman"/>
                <w:i/>
                <w:szCs w:val="20"/>
              </w:rPr>
            </w:pPr>
            <w:r w:rsidRPr="00335297">
              <w:rPr>
                <w:rFonts w:eastAsia="Times New Roman" w:cs="Calibri"/>
                <w:b/>
                <w:bCs/>
                <w:i/>
                <w:color w:val="000000"/>
                <w:szCs w:val="20"/>
              </w:rPr>
              <w:t>Value of Lost Time</w:t>
            </w:r>
          </w:p>
        </w:tc>
      </w:tr>
      <w:tr w:rsidR="005A25A0" w:rsidRPr="008E05A4" w14:paraId="389524FE" w14:textId="77777777" w:rsidTr="0006589F">
        <w:trPr>
          <w:trHeight w:val="53"/>
        </w:trPr>
        <w:tc>
          <w:tcPr>
            <w:tcW w:w="6332" w:type="dxa"/>
            <w:noWrap/>
            <w:hideMark/>
          </w:tcPr>
          <w:p w14:paraId="5B89B24E" w14:textId="77777777" w:rsidR="005A25A0" w:rsidRPr="00335297" w:rsidRDefault="005A25A0" w:rsidP="0006589F">
            <w:pPr>
              <w:spacing w:after="0"/>
              <w:rPr>
                <w:rFonts w:eastAsia="Times New Roman" w:cs="Calibri"/>
                <w:color w:val="000000"/>
                <w:szCs w:val="20"/>
              </w:rPr>
            </w:pPr>
            <w:r>
              <w:rPr>
                <w:rFonts w:eastAsia="Times New Roman" w:cs="Calibri"/>
                <w:color w:val="000000"/>
                <w:szCs w:val="20"/>
              </w:rPr>
              <w:t>H</w:t>
            </w:r>
            <w:r w:rsidRPr="00335297">
              <w:rPr>
                <w:rFonts w:eastAsia="Times New Roman" w:cs="Calibri"/>
                <w:color w:val="000000"/>
                <w:szCs w:val="20"/>
              </w:rPr>
              <w:t xml:space="preserve">ourly wage rate </w:t>
            </w:r>
            <w:r>
              <w:rPr>
                <w:rFonts w:eastAsia="Times New Roman" w:cs="Calibri"/>
                <w:color w:val="000000"/>
                <w:szCs w:val="20"/>
              </w:rPr>
              <w:t>plus</w:t>
            </w:r>
            <w:r w:rsidRPr="00335297">
              <w:rPr>
                <w:rFonts w:eastAsia="Times New Roman" w:cs="Calibri"/>
                <w:color w:val="000000"/>
                <w:szCs w:val="20"/>
              </w:rPr>
              <w:t xml:space="preserve"> fringe</w:t>
            </w:r>
          </w:p>
        </w:tc>
        <w:tc>
          <w:tcPr>
            <w:tcW w:w="900" w:type="dxa"/>
            <w:noWrap/>
            <w:hideMark/>
          </w:tcPr>
          <w:p w14:paraId="4C8A3AD8"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$29.95</w:t>
            </w:r>
          </w:p>
        </w:tc>
        <w:tc>
          <w:tcPr>
            <w:tcW w:w="900" w:type="dxa"/>
            <w:noWrap/>
            <w:hideMark/>
          </w:tcPr>
          <w:p w14:paraId="6E004882"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$23.96</w:t>
            </w:r>
          </w:p>
        </w:tc>
        <w:tc>
          <w:tcPr>
            <w:tcW w:w="990" w:type="dxa"/>
            <w:noWrap/>
            <w:hideMark/>
          </w:tcPr>
          <w:p w14:paraId="1BEA8D7A"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$35.94</w:t>
            </w:r>
          </w:p>
        </w:tc>
        <w:tc>
          <w:tcPr>
            <w:tcW w:w="900" w:type="dxa"/>
            <w:noWrap/>
            <w:hideMark/>
          </w:tcPr>
          <w:p w14:paraId="10424AAE"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3.056</w:t>
            </w:r>
          </w:p>
        </w:tc>
        <w:tc>
          <w:tcPr>
            <w:tcW w:w="751" w:type="dxa"/>
            <w:noWrap/>
            <w:hideMark/>
          </w:tcPr>
          <w:p w14:paraId="5A37A204"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96.0</w:t>
            </w:r>
          </w:p>
        </w:tc>
        <w:tc>
          <w:tcPr>
            <w:tcW w:w="894" w:type="dxa"/>
            <w:gridSpan w:val="2"/>
            <w:noWrap/>
            <w:hideMark/>
          </w:tcPr>
          <w:p w14:paraId="234F651F"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0.3</w:t>
            </w:r>
          </w:p>
        </w:tc>
        <w:tc>
          <w:tcPr>
            <w:tcW w:w="1235" w:type="dxa"/>
            <w:noWrap/>
            <w:hideMark/>
          </w:tcPr>
          <w:p w14:paraId="37E71ECB"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Gamma</w:t>
            </w:r>
          </w:p>
        </w:tc>
      </w:tr>
      <w:tr w:rsidR="005A25A0" w:rsidRPr="008E05A4" w14:paraId="03396316" w14:textId="77777777" w:rsidTr="0006589F">
        <w:trPr>
          <w:trHeight w:val="53"/>
        </w:trPr>
        <w:tc>
          <w:tcPr>
            <w:tcW w:w="6332" w:type="dxa"/>
            <w:noWrap/>
            <w:hideMark/>
          </w:tcPr>
          <w:p w14:paraId="4CB8F68B" w14:textId="77777777" w:rsidR="005A25A0" w:rsidRPr="00335297" w:rsidRDefault="005A25A0" w:rsidP="0006589F">
            <w:pPr>
              <w:spacing w:after="0"/>
              <w:rPr>
                <w:rFonts w:eastAsia="Times New Roman" w:cs="Calibri"/>
                <w:color w:val="000000"/>
                <w:szCs w:val="20"/>
              </w:rPr>
            </w:pPr>
            <w:r w:rsidRPr="00335297">
              <w:rPr>
                <w:rFonts w:eastAsia="Times New Roman" w:cs="Calibri"/>
                <w:color w:val="000000"/>
                <w:szCs w:val="20"/>
              </w:rPr>
              <w:t xml:space="preserve">Caregiver hourly wage rate </w:t>
            </w:r>
            <w:r>
              <w:rPr>
                <w:rFonts w:eastAsia="Times New Roman" w:cs="Calibri"/>
                <w:color w:val="000000"/>
                <w:szCs w:val="20"/>
              </w:rPr>
              <w:t>plus</w:t>
            </w:r>
            <w:r w:rsidRPr="00335297">
              <w:rPr>
                <w:rFonts w:eastAsia="Times New Roman" w:cs="Calibri"/>
                <w:color w:val="000000"/>
                <w:szCs w:val="20"/>
              </w:rPr>
              <w:t xml:space="preserve"> fringe</w:t>
            </w:r>
          </w:p>
        </w:tc>
        <w:tc>
          <w:tcPr>
            <w:tcW w:w="900" w:type="dxa"/>
            <w:noWrap/>
            <w:hideMark/>
          </w:tcPr>
          <w:p w14:paraId="6ED71D44"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$16.90</w:t>
            </w:r>
          </w:p>
        </w:tc>
        <w:tc>
          <w:tcPr>
            <w:tcW w:w="900" w:type="dxa"/>
            <w:noWrap/>
            <w:hideMark/>
          </w:tcPr>
          <w:p w14:paraId="4D8AB3B0"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$13.52</w:t>
            </w:r>
          </w:p>
        </w:tc>
        <w:tc>
          <w:tcPr>
            <w:tcW w:w="990" w:type="dxa"/>
            <w:noWrap/>
            <w:hideMark/>
          </w:tcPr>
          <w:p w14:paraId="5D1C35B0"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$20.28</w:t>
            </w:r>
          </w:p>
        </w:tc>
        <w:tc>
          <w:tcPr>
            <w:tcW w:w="900" w:type="dxa"/>
            <w:noWrap/>
            <w:hideMark/>
          </w:tcPr>
          <w:p w14:paraId="1E44771B"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1.724</w:t>
            </w:r>
          </w:p>
        </w:tc>
        <w:tc>
          <w:tcPr>
            <w:tcW w:w="751" w:type="dxa"/>
            <w:noWrap/>
            <w:hideMark/>
          </w:tcPr>
          <w:p w14:paraId="439A1C4D"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96.0</w:t>
            </w:r>
          </w:p>
        </w:tc>
        <w:tc>
          <w:tcPr>
            <w:tcW w:w="894" w:type="dxa"/>
            <w:gridSpan w:val="2"/>
            <w:noWrap/>
            <w:hideMark/>
          </w:tcPr>
          <w:p w14:paraId="0A3C997B"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0.2</w:t>
            </w:r>
          </w:p>
        </w:tc>
        <w:tc>
          <w:tcPr>
            <w:tcW w:w="1235" w:type="dxa"/>
            <w:noWrap/>
            <w:hideMark/>
          </w:tcPr>
          <w:p w14:paraId="51D8BF8D"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Gamma</w:t>
            </w:r>
          </w:p>
        </w:tc>
      </w:tr>
      <w:tr w:rsidR="005A25A0" w:rsidRPr="008E05A4" w14:paraId="12AEEE1E" w14:textId="77777777" w:rsidTr="0006589F">
        <w:trPr>
          <w:trHeight w:val="53"/>
        </w:trPr>
        <w:tc>
          <w:tcPr>
            <w:tcW w:w="12902" w:type="dxa"/>
            <w:gridSpan w:val="9"/>
            <w:shd w:val="clear" w:color="auto" w:fill="F2F2F2" w:themeFill="background1" w:themeFillShade="F2"/>
            <w:noWrap/>
            <w:hideMark/>
          </w:tcPr>
          <w:p w14:paraId="4B9AF4D2" w14:textId="77777777" w:rsidR="005A25A0" w:rsidRPr="00335297" w:rsidRDefault="005A25A0" w:rsidP="0006589F">
            <w:pPr>
              <w:spacing w:after="0"/>
              <w:jc w:val="center"/>
              <w:rPr>
                <w:rFonts w:ascii="Times New Roman" w:eastAsia="Times New Roman" w:hAnsi="Times New Roman"/>
                <w:i/>
                <w:szCs w:val="20"/>
              </w:rPr>
            </w:pPr>
            <w:r w:rsidRPr="00335297">
              <w:rPr>
                <w:rFonts w:eastAsia="Times New Roman" w:cs="Calibri"/>
                <w:b/>
                <w:bCs/>
                <w:i/>
                <w:color w:val="000000"/>
                <w:szCs w:val="20"/>
              </w:rPr>
              <w:t xml:space="preserve">Additional </w:t>
            </w:r>
            <w:r>
              <w:rPr>
                <w:rFonts w:eastAsia="Times New Roman" w:cs="Calibri"/>
                <w:b/>
                <w:bCs/>
                <w:i/>
                <w:color w:val="000000"/>
                <w:szCs w:val="20"/>
              </w:rPr>
              <w:t>P</w:t>
            </w:r>
            <w:r w:rsidRPr="00335297">
              <w:rPr>
                <w:rFonts w:eastAsia="Times New Roman" w:cs="Calibri"/>
                <w:b/>
                <w:bCs/>
                <w:i/>
                <w:color w:val="000000"/>
                <w:szCs w:val="20"/>
              </w:rPr>
              <w:t xml:space="preserve">roductivity </w:t>
            </w:r>
            <w:r>
              <w:rPr>
                <w:rFonts w:eastAsia="Times New Roman" w:cs="Calibri"/>
                <w:b/>
                <w:bCs/>
                <w:i/>
                <w:color w:val="000000"/>
                <w:szCs w:val="20"/>
              </w:rPr>
              <w:t>L</w:t>
            </w:r>
            <w:r w:rsidRPr="00335297">
              <w:rPr>
                <w:rFonts w:eastAsia="Times New Roman" w:cs="Calibri"/>
                <w:b/>
                <w:bCs/>
                <w:i/>
                <w:color w:val="000000"/>
                <w:szCs w:val="20"/>
              </w:rPr>
              <w:t xml:space="preserve">oss </w:t>
            </w:r>
            <w:r>
              <w:rPr>
                <w:rFonts w:eastAsia="Times New Roman" w:cs="Calibri"/>
                <w:b/>
                <w:bCs/>
                <w:i/>
                <w:color w:val="000000"/>
                <w:szCs w:val="20"/>
              </w:rPr>
              <w:t>P</w:t>
            </w:r>
            <w:r w:rsidRPr="00335297">
              <w:rPr>
                <w:rFonts w:eastAsia="Times New Roman" w:cs="Calibri"/>
                <w:b/>
                <w:bCs/>
                <w:i/>
                <w:color w:val="000000"/>
                <w:szCs w:val="20"/>
              </w:rPr>
              <w:t>arameters</w:t>
            </w:r>
          </w:p>
        </w:tc>
      </w:tr>
      <w:tr w:rsidR="005A25A0" w:rsidRPr="008E05A4" w14:paraId="711D741D" w14:textId="77777777" w:rsidTr="0006589F">
        <w:trPr>
          <w:trHeight w:val="53"/>
        </w:trPr>
        <w:tc>
          <w:tcPr>
            <w:tcW w:w="6332" w:type="dxa"/>
            <w:noWrap/>
            <w:hideMark/>
          </w:tcPr>
          <w:p w14:paraId="5BF1A680" w14:textId="77777777" w:rsidR="005A25A0" w:rsidRPr="00335297" w:rsidRDefault="005A25A0" w:rsidP="0006589F">
            <w:pPr>
              <w:spacing w:after="0"/>
              <w:rPr>
                <w:rFonts w:eastAsia="Times New Roman" w:cs="Calibri"/>
                <w:color w:val="000000"/>
                <w:szCs w:val="20"/>
              </w:rPr>
            </w:pPr>
            <w:r w:rsidRPr="00335297">
              <w:rPr>
                <w:rFonts w:eastAsia="Times New Roman" w:cs="Calibri"/>
                <w:color w:val="000000"/>
                <w:szCs w:val="20"/>
              </w:rPr>
              <w:t>Productivity loss multiplier for employer</w:t>
            </w:r>
          </w:p>
        </w:tc>
        <w:tc>
          <w:tcPr>
            <w:tcW w:w="900" w:type="dxa"/>
            <w:noWrap/>
            <w:hideMark/>
          </w:tcPr>
          <w:p w14:paraId="608D5FC7"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1.00</w:t>
            </w:r>
          </w:p>
        </w:tc>
        <w:tc>
          <w:tcPr>
            <w:tcW w:w="900" w:type="dxa"/>
            <w:noWrap/>
            <w:hideMark/>
          </w:tcPr>
          <w:p w14:paraId="2AA048FC"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0.80</w:t>
            </w:r>
          </w:p>
        </w:tc>
        <w:tc>
          <w:tcPr>
            <w:tcW w:w="990" w:type="dxa"/>
            <w:noWrap/>
            <w:hideMark/>
          </w:tcPr>
          <w:p w14:paraId="621CB067"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1.20</w:t>
            </w:r>
          </w:p>
        </w:tc>
        <w:tc>
          <w:tcPr>
            <w:tcW w:w="900" w:type="dxa"/>
            <w:noWrap/>
            <w:hideMark/>
          </w:tcPr>
          <w:p w14:paraId="01A85CDA"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0.102</w:t>
            </w:r>
          </w:p>
        </w:tc>
        <w:tc>
          <w:tcPr>
            <w:tcW w:w="751" w:type="dxa"/>
            <w:noWrap/>
            <w:hideMark/>
          </w:tcPr>
          <w:p w14:paraId="32FECD38"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894" w:type="dxa"/>
            <w:gridSpan w:val="2"/>
            <w:noWrap/>
            <w:hideMark/>
          </w:tcPr>
          <w:p w14:paraId="7413B5C2"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w:t>
            </w:r>
          </w:p>
        </w:tc>
        <w:tc>
          <w:tcPr>
            <w:tcW w:w="1235" w:type="dxa"/>
            <w:noWrap/>
            <w:hideMark/>
          </w:tcPr>
          <w:p w14:paraId="3330C5B5"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Lognormal</w:t>
            </w:r>
          </w:p>
        </w:tc>
      </w:tr>
      <w:tr w:rsidR="005A25A0" w:rsidRPr="008E05A4" w14:paraId="42E8FC31" w14:textId="77777777" w:rsidTr="0006589F">
        <w:trPr>
          <w:trHeight w:val="53"/>
        </w:trPr>
        <w:tc>
          <w:tcPr>
            <w:tcW w:w="6332" w:type="dxa"/>
            <w:noWrap/>
            <w:hideMark/>
          </w:tcPr>
          <w:p w14:paraId="11FC61B1" w14:textId="77777777" w:rsidR="005A25A0" w:rsidRPr="00335297" w:rsidRDefault="005A25A0" w:rsidP="0006589F">
            <w:pPr>
              <w:spacing w:after="0"/>
              <w:rPr>
                <w:rFonts w:eastAsia="Times New Roman" w:cs="Calibri"/>
                <w:color w:val="000000"/>
                <w:szCs w:val="20"/>
              </w:rPr>
            </w:pPr>
            <w:r w:rsidRPr="00335297">
              <w:rPr>
                <w:rFonts w:eastAsia="Times New Roman" w:cs="Calibri"/>
                <w:color w:val="000000"/>
                <w:szCs w:val="20"/>
              </w:rPr>
              <w:t>Proportion of visits with family accompanying patient</w:t>
            </w:r>
          </w:p>
        </w:tc>
        <w:tc>
          <w:tcPr>
            <w:tcW w:w="900" w:type="dxa"/>
            <w:noWrap/>
            <w:hideMark/>
          </w:tcPr>
          <w:p w14:paraId="1A3C7F2C"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0.38</w:t>
            </w:r>
          </w:p>
        </w:tc>
        <w:tc>
          <w:tcPr>
            <w:tcW w:w="900" w:type="dxa"/>
            <w:noWrap/>
            <w:hideMark/>
          </w:tcPr>
          <w:p w14:paraId="1DE7737C"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0.301</w:t>
            </w:r>
          </w:p>
        </w:tc>
        <w:tc>
          <w:tcPr>
            <w:tcW w:w="990" w:type="dxa"/>
            <w:noWrap/>
            <w:hideMark/>
          </w:tcPr>
          <w:p w14:paraId="53460DE0"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0.451</w:t>
            </w:r>
          </w:p>
        </w:tc>
        <w:tc>
          <w:tcPr>
            <w:tcW w:w="900" w:type="dxa"/>
            <w:noWrap/>
            <w:hideMark/>
          </w:tcPr>
          <w:p w14:paraId="418F1C32"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0.038</w:t>
            </w:r>
          </w:p>
        </w:tc>
        <w:tc>
          <w:tcPr>
            <w:tcW w:w="751" w:type="dxa"/>
            <w:noWrap/>
            <w:hideMark/>
          </w:tcPr>
          <w:p w14:paraId="2A39917E"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60</w:t>
            </w:r>
          </w:p>
        </w:tc>
        <w:tc>
          <w:tcPr>
            <w:tcW w:w="894" w:type="dxa"/>
            <w:gridSpan w:val="2"/>
            <w:noWrap/>
            <w:hideMark/>
          </w:tcPr>
          <w:p w14:paraId="7D8F54C1"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99</w:t>
            </w:r>
          </w:p>
        </w:tc>
        <w:tc>
          <w:tcPr>
            <w:tcW w:w="1235" w:type="dxa"/>
            <w:noWrap/>
            <w:hideMark/>
          </w:tcPr>
          <w:p w14:paraId="7EB362FA"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Beta</w:t>
            </w:r>
          </w:p>
        </w:tc>
      </w:tr>
      <w:tr w:rsidR="005A25A0" w:rsidRPr="008E05A4" w14:paraId="0AD70E39" w14:textId="77777777" w:rsidTr="0006589F">
        <w:trPr>
          <w:trHeight w:val="53"/>
        </w:trPr>
        <w:tc>
          <w:tcPr>
            <w:tcW w:w="6332" w:type="dxa"/>
            <w:noWrap/>
            <w:hideMark/>
          </w:tcPr>
          <w:p w14:paraId="7F1FC8E0" w14:textId="77777777" w:rsidR="005A25A0" w:rsidRPr="00335297" w:rsidRDefault="005A25A0" w:rsidP="0006589F">
            <w:pPr>
              <w:spacing w:after="0"/>
              <w:rPr>
                <w:rFonts w:eastAsia="Times New Roman" w:cs="Calibri"/>
                <w:color w:val="000000"/>
                <w:szCs w:val="20"/>
              </w:rPr>
            </w:pPr>
            <w:r w:rsidRPr="00335297">
              <w:rPr>
                <w:rFonts w:eastAsia="Times New Roman" w:cs="Calibri"/>
                <w:color w:val="000000"/>
                <w:szCs w:val="20"/>
              </w:rPr>
              <w:t xml:space="preserve">Hours lost per missed day </w:t>
            </w:r>
            <w:r>
              <w:rPr>
                <w:rFonts w:eastAsia="Times New Roman" w:cs="Calibri"/>
                <w:color w:val="000000"/>
                <w:szCs w:val="20"/>
              </w:rPr>
              <w:t>because of</w:t>
            </w:r>
            <w:r w:rsidRPr="00335297">
              <w:rPr>
                <w:rFonts w:eastAsia="Times New Roman" w:cs="Calibri"/>
                <w:color w:val="000000"/>
                <w:szCs w:val="20"/>
              </w:rPr>
              <w:t xml:space="preserve"> illness, recovery</w:t>
            </w:r>
          </w:p>
        </w:tc>
        <w:tc>
          <w:tcPr>
            <w:tcW w:w="3690" w:type="dxa"/>
            <w:gridSpan w:val="4"/>
            <w:noWrap/>
            <w:hideMark/>
          </w:tcPr>
          <w:p w14:paraId="016A3ADB"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16.00</w:t>
            </w:r>
          </w:p>
        </w:tc>
        <w:tc>
          <w:tcPr>
            <w:tcW w:w="2880" w:type="dxa"/>
            <w:gridSpan w:val="4"/>
            <w:noWrap/>
            <w:hideMark/>
          </w:tcPr>
          <w:p w14:paraId="6360923D" w14:textId="77777777" w:rsidR="005A25A0" w:rsidRPr="00335297" w:rsidRDefault="005A25A0" w:rsidP="0006589F">
            <w:pPr>
              <w:spacing w:after="0"/>
              <w:jc w:val="center"/>
              <w:rPr>
                <w:rFonts w:ascii="Times New Roman" w:eastAsia="Times New Roman" w:hAnsi="Times New Roman"/>
                <w:szCs w:val="20"/>
              </w:rPr>
            </w:pPr>
            <w:r>
              <w:rPr>
                <w:rFonts w:eastAsia="Times New Roman"/>
                <w:szCs w:val="20"/>
              </w:rPr>
              <w:t>Not varied in PSA</w:t>
            </w:r>
          </w:p>
        </w:tc>
      </w:tr>
      <w:tr w:rsidR="005A25A0" w:rsidRPr="008E05A4" w14:paraId="1CDE7939" w14:textId="77777777" w:rsidTr="0006589F">
        <w:trPr>
          <w:trHeight w:val="53"/>
        </w:trPr>
        <w:tc>
          <w:tcPr>
            <w:tcW w:w="6332" w:type="dxa"/>
            <w:noWrap/>
            <w:hideMark/>
          </w:tcPr>
          <w:p w14:paraId="77495A66" w14:textId="77777777" w:rsidR="005A25A0" w:rsidRPr="00335297" w:rsidRDefault="005A25A0" w:rsidP="0006589F">
            <w:pPr>
              <w:spacing w:after="0"/>
              <w:rPr>
                <w:rFonts w:eastAsia="Times New Roman" w:cs="Calibri"/>
                <w:color w:val="000000"/>
                <w:szCs w:val="20"/>
              </w:rPr>
            </w:pPr>
            <w:r w:rsidRPr="00335297">
              <w:rPr>
                <w:rFonts w:eastAsia="Times New Roman" w:cs="Calibri"/>
                <w:color w:val="000000"/>
                <w:szCs w:val="20"/>
              </w:rPr>
              <w:t>Hours missed from work per day</w:t>
            </w:r>
          </w:p>
        </w:tc>
        <w:tc>
          <w:tcPr>
            <w:tcW w:w="3690" w:type="dxa"/>
            <w:gridSpan w:val="4"/>
            <w:noWrap/>
            <w:hideMark/>
          </w:tcPr>
          <w:p w14:paraId="541DF603"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8.00</w:t>
            </w:r>
          </w:p>
        </w:tc>
        <w:tc>
          <w:tcPr>
            <w:tcW w:w="2880" w:type="dxa"/>
            <w:gridSpan w:val="4"/>
            <w:noWrap/>
            <w:hideMark/>
          </w:tcPr>
          <w:p w14:paraId="1C73ADC7" w14:textId="77777777" w:rsidR="005A25A0" w:rsidRPr="00335297" w:rsidRDefault="005A25A0" w:rsidP="0006589F">
            <w:pPr>
              <w:spacing w:after="0"/>
              <w:jc w:val="center"/>
              <w:rPr>
                <w:rFonts w:ascii="Times New Roman" w:eastAsia="Times New Roman" w:hAnsi="Times New Roman"/>
                <w:szCs w:val="20"/>
              </w:rPr>
            </w:pPr>
            <w:r>
              <w:rPr>
                <w:rFonts w:eastAsia="Times New Roman"/>
                <w:szCs w:val="20"/>
              </w:rPr>
              <w:t>Not varied in PSA</w:t>
            </w:r>
          </w:p>
        </w:tc>
      </w:tr>
      <w:tr w:rsidR="005A25A0" w:rsidRPr="008E05A4" w14:paraId="637C04DD" w14:textId="77777777" w:rsidTr="0006589F">
        <w:trPr>
          <w:trHeight w:val="53"/>
        </w:trPr>
        <w:tc>
          <w:tcPr>
            <w:tcW w:w="6332" w:type="dxa"/>
            <w:noWrap/>
            <w:hideMark/>
          </w:tcPr>
          <w:p w14:paraId="1DDD2F97" w14:textId="77777777" w:rsidR="005A25A0" w:rsidRPr="00335297" w:rsidRDefault="005A25A0" w:rsidP="0006589F">
            <w:pPr>
              <w:spacing w:after="0"/>
              <w:rPr>
                <w:rFonts w:eastAsia="Times New Roman" w:cs="Calibri"/>
                <w:color w:val="000000"/>
                <w:szCs w:val="20"/>
              </w:rPr>
            </w:pPr>
            <w:r w:rsidRPr="00335297">
              <w:rPr>
                <w:rFonts w:eastAsia="Times New Roman" w:cs="Calibri"/>
                <w:color w:val="000000"/>
                <w:szCs w:val="20"/>
              </w:rPr>
              <w:t>Labor force participation rate among adults 16</w:t>
            </w:r>
            <w:r>
              <w:rPr>
                <w:rFonts w:eastAsia="Times New Roman" w:cs="Calibri"/>
                <w:color w:val="000000"/>
                <w:szCs w:val="20"/>
              </w:rPr>
              <w:t xml:space="preserve"> or older</w:t>
            </w:r>
          </w:p>
        </w:tc>
        <w:tc>
          <w:tcPr>
            <w:tcW w:w="900" w:type="dxa"/>
            <w:noWrap/>
            <w:hideMark/>
          </w:tcPr>
          <w:p w14:paraId="497769F4"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0.63</w:t>
            </w:r>
          </w:p>
        </w:tc>
        <w:tc>
          <w:tcPr>
            <w:tcW w:w="900" w:type="dxa"/>
            <w:noWrap/>
            <w:hideMark/>
          </w:tcPr>
          <w:p w14:paraId="05289507"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0.50</w:t>
            </w:r>
          </w:p>
        </w:tc>
        <w:tc>
          <w:tcPr>
            <w:tcW w:w="990" w:type="dxa"/>
            <w:noWrap/>
            <w:hideMark/>
          </w:tcPr>
          <w:p w14:paraId="00E9E9CA" w14:textId="77777777" w:rsidR="005A25A0" w:rsidRPr="00335297" w:rsidRDefault="005A25A0" w:rsidP="0006589F">
            <w:pPr>
              <w:spacing w:after="0"/>
              <w:jc w:val="center"/>
              <w:rPr>
                <w:rFonts w:eastAsia="Times New Roman" w:cs="Calibri"/>
                <w:szCs w:val="20"/>
              </w:rPr>
            </w:pPr>
            <w:r w:rsidRPr="00335297">
              <w:rPr>
                <w:rFonts w:eastAsia="Times New Roman" w:cs="Calibri"/>
                <w:szCs w:val="20"/>
              </w:rPr>
              <w:t>0.76</w:t>
            </w:r>
          </w:p>
        </w:tc>
        <w:tc>
          <w:tcPr>
            <w:tcW w:w="900" w:type="dxa"/>
            <w:noWrap/>
            <w:hideMark/>
          </w:tcPr>
          <w:p w14:paraId="28BA9F5C"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0.064</w:t>
            </w:r>
          </w:p>
        </w:tc>
        <w:tc>
          <w:tcPr>
            <w:tcW w:w="751" w:type="dxa"/>
            <w:noWrap/>
            <w:hideMark/>
          </w:tcPr>
          <w:p w14:paraId="1A805003"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35</w:t>
            </w:r>
          </w:p>
        </w:tc>
        <w:tc>
          <w:tcPr>
            <w:tcW w:w="894" w:type="dxa"/>
            <w:gridSpan w:val="2"/>
            <w:noWrap/>
            <w:hideMark/>
          </w:tcPr>
          <w:p w14:paraId="478A3BEC"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20</w:t>
            </w:r>
          </w:p>
        </w:tc>
        <w:tc>
          <w:tcPr>
            <w:tcW w:w="1235" w:type="dxa"/>
            <w:noWrap/>
            <w:hideMark/>
          </w:tcPr>
          <w:p w14:paraId="1D29B11A" w14:textId="77777777" w:rsidR="005A25A0" w:rsidRPr="00335297" w:rsidRDefault="005A25A0" w:rsidP="0006589F">
            <w:pPr>
              <w:spacing w:after="0"/>
              <w:jc w:val="center"/>
              <w:rPr>
                <w:rFonts w:eastAsia="Times New Roman" w:cs="Calibri"/>
                <w:color w:val="000000"/>
                <w:szCs w:val="20"/>
              </w:rPr>
            </w:pPr>
            <w:r w:rsidRPr="00335297">
              <w:rPr>
                <w:rFonts w:eastAsia="Times New Roman" w:cs="Calibri"/>
                <w:color w:val="000000"/>
                <w:szCs w:val="20"/>
              </w:rPr>
              <w:t>Beta</w:t>
            </w:r>
          </w:p>
        </w:tc>
      </w:tr>
    </w:tbl>
    <w:p w14:paraId="269C36B4" w14:textId="77777777" w:rsidR="00F97778" w:rsidRDefault="00F97778"/>
    <w:sectPr w:rsidR="00F97778" w:rsidSect="002E0305">
      <w:footerReference w:type="default" r:id="rId6"/>
      <w:pgSz w:w="15840" w:h="12240" w:orient="landscape"/>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2000503000000000000"/>
    <w:charset w:val="00"/>
    <w:family w:val="auto"/>
    <w:pitch w:val="variable"/>
    <w:sig w:usb0="8000008B" w:usb1="000060E8"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OTf011d51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81711305"/>
      <w:docPartObj>
        <w:docPartGallery w:val="Page Numbers (Bottom of Page)"/>
        <w:docPartUnique/>
      </w:docPartObj>
    </w:sdtPr>
    <w:sdtEndPr>
      <w:rPr>
        <w:noProof/>
      </w:rPr>
    </w:sdtEndPr>
    <w:sdtContent>
      <w:p w14:paraId="79882403" w14:textId="77777777" w:rsidR="00DE46FD" w:rsidRPr="000B260F" w:rsidRDefault="005A25A0" w:rsidP="00F732EB">
        <w:pPr>
          <w:pBdr>
            <w:top w:val="single" w:sz="8" w:space="1" w:color="B12732"/>
          </w:pBdr>
          <w:tabs>
            <w:tab w:val="right" w:pos="12960"/>
          </w:tabs>
          <w:spacing w:after="0"/>
          <w:jc w:val="right"/>
          <w:rPr>
            <w:sz w:val="20"/>
            <w:szCs w:val="20"/>
          </w:rPr>
        </w:pPr>
        <w:sdt>
          <w:sdtPr>
            <w:rPr>
              <w:sz w:val="20"/>
              <w:szCs w:val="20"/>
            </w:rPr>
            <w:id w:val="561760970"/>
            <w:docPartObj>
              <w:docPartGallery w:val="Page Numbers (Bottom of Page)"/>
              <w:docPartUnique/>
            </w:docPartObj>
          </w:sdtPr>
          <w:sdtEndPr/>
          <w:sdtContent>
            <w:r>
              <w:rPr>
                <w:sz w:val="20"/>
                <w:szCs w:val="20"/>
              </w:rPr>
              <w:t xml:space="preserve">                                                                                                                                      </w:t>
            </w:r>
            <w:r w:rsidRPr="00DC39D8">
              <w:rPr>
                <w:rStyle w:val="FooterTitle-IPRChar"/>
                <w:szCs w:val="20"/>
              </w:rPr>
              <w:t>Economic Impact of Expanding anti-TNF Therapy for Crohn’s Disease</w:t>
            </w:r>
            <w:r>
              <w:rPr>
                <w:rStyle w:val="FooterTitle-IPRChar"/>
                <w:szCs w:val="20"/>
              </w:rPr>
              <w:t xml:space="preserve"> Treatment</w:t>
            </w:r>
            <w:r w:rsidRPr="000B260F">
              <w:rPr>
                <w:rStyle w:val="FooterTitle-IPRChar"/>
                <w:szCs w:val="20"/>
              </w:rPr>
              <w:tab/>
            </w:r>
            <w:r>
              <w:rPr>
                <w:rStyle w:val="FooterTitle-IPRChar"/>
                <w:szCs w:val="20"/>
              </w:rPr>
              <w:t>| A-</w:t>
            </w:r>
            <w:r w:rsidRPr="000B260F">
              <w:rPr>
                <w:rStyle w:val="FooterTitle-IPRChar"/>
                <w:szCs w:val="20"/>
              </w:rPr>
              <w:fldChar w:fldCharType="begin"/>
            </w:r>
            <w:r w:rsidRPr="000B260F">
              <w:rPr>
                <w:rStyle w:val="FooterTitle-IPRChar"/>
                <w:szCs w:val="20"/>
              </w:rPr>
              <w:instrText xml:space="preserve"> PAGE   \* MERGEFORMAT </w:instrText>
            </w:r>
            <w:r w:rsidRPr="000B260F">
              <w:rPr>
                <w:rStyle w:val="FooterTitle-IPRChar"/>
                <w:szCs w:val="20"/>
              </w:rPr>
              <w:fldChar w:fldCharType="separate"/>
            </w:r>
            <w:r>
              <w:rPr>
                <w:rStyle w:val="FooterTitle-IPRChar"/>
                <w:noProof/>
                <w:szCs w:val="20"/>
              </w:rPr>
              <w:t>5</w:t>
            </w:r>
            <w:r w:rsidRPr="000B260F">
              <w:rPr>
                <w:rStyle w:val="FooterTitle-IPRChar"/>
                <w:szCs w:val="20"/>
              </w:rPr>
              <w:fldChar w:fldCharType="end"/>
            </w:r>
          </w:sdtContent>
        </w:sdt>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94F2A9BA"/>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F6DE30B6"/>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0DB75108"/>
    <w:multiLevelType w:val="hybridMultilevel"/>
    <w:tmpl w:val="BF28E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34C58"/>
    <w:multiLevelType w:val="hybridMultilevel"/>
    <w:tmpl w:val="9334D5E4"/>
    <w:lvl w:ilvl="0" w:tplc="A85A2F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6B6B"/>
    <w:multiLevelType w:val="hybridMultilevel"/>
    <w:tmpl w:val="A7F04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A6DD9"/>
    <w:multiLevelType w:val="hybridMultilevel"/>
    <w:tmpl w:val="88F47986"/>
    <w:lvl w:ilvl="0" w:tplc="5F688D7E">
      <w:start w:val="45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A950BAA"/>
    <w:multiLevelType w:val="hybridMultilevel"/>
    <w:tmpl w:val="CF403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01F39"/>
    <w:multiLevelType w:val="hybridMultilevel"/>
    <w:tmpl w:val="DAAA5F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34D58"/>
    <w:multiLevelType w:val="multilevel"/>
    <w:tmpl w:val="94F2A9BA"/>
    <w:numStyleLink w:val="BulletListStyleRed-IPR"/>
  </w:abstractNum>
  <w:abstractNum w:abstractNumId="15" w15:restartNumberingAfterBreak="0">
    <w:nsid w:val="23B9317B"/>
    <w:multiLevelType w:val="hybridMultilevel"/>
    <w:tmpl w:val="0EDEB1F0"/>
    <w:lvl w:ilvl="0" w:tplc="A85A2F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27FA3"/>
    <w:multiLevelType w:val="hybridMultilevel"/>
    <w:tmpl w:val="DAAA5F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B470E29"/>
    <w:multiLevelType w:val="hybridMultilevel"/>
    <w:tmpl w:val="D110D2F4"/>
    <w:lvl w:ilvl="0" w:tplc="054EF488">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9" w15:restartNumberingAfterBreak="0">
    <w:nsid w:val="33AB6C94"/>
    <w:multiLevelType w:val="hybridMultilevel"/>
    <w:tmpl w:val="91284DB8"/>
    <w:lvl w:ilvl="0" w:tplc="714E2042">
      <w:start w:val="1"/>
      <w:numFmt w:val="bullet"/>
      <w:lvlText w:val=""/>
      <w:lvlJc w:val="left"/>
      <w:pPr>
        <w:ind w:left="720" w:hanging="360"/>
      </w:pPr>
      <w:rPr>
        <w:rFonts w:ascii="Wingdings" w:hAnsi="Wingdings" w:hint="default"/>
        <w:color w:val="B127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871C0"/>
    <w:multiLevelType w:val="hybridMultilevel"/>
    <w:tmpl w:val="2440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01BD2"/>
    <w:multiLevelType w:val="hybridMultilevel"/>
    <w:tmpl w:val="DAAA5F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A9646AE"/>
    <w:multiLevelType w:val="hybridMultilevel"/>
    <w:tmpl w:val="7E6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80524"/>
    <w:multiLevelType w:val="hybridMultilevel"/>
    <w:tmpl w:val="F31AB0E4"/>
    <w:lvl w:ilvl="0" w:tplc="1774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E74C7"/>
    <w:multiLevelType w:val="hybridMultilevel"/>
    <w:tmpl w:val="A570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8074E"/>
    <w:multiLevelType w:val="hybridMultilevel"/>
    <w:tmpl w:val="4E14D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F7367"/>
    <w:multiLevelType w:val="hybridMultilevel"/>
    <w:tmpl w:val="F2B84728"/>
    <w:lvl w:ilvl="0" w:tplc="714E2042">
      <w:start w:val="1"/>
      <w:numFmt w:val="bullet"/>
      <w:lvlText w:val=""/>
      <w:lvlJc w:val="left"/>
      <w:pPr>
        <w:ind w:left="720" w:hanging="360"/>
      </w:pPr>
      <w:rPr>
        <w:rFonts w:ascii="Wingdings" w:hAnsi="Wingdings" w:hint="default"/>
        <w:color w:val="B127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C6EB8"/>
    <w:multiLevelType w:val="multilevel"/>
    <w:tmpl w:val="B84CE8A6"/>
    <w:numStyleLink w:val="TableRedNumbersList-IPR"/>
  </w:abstractNum>
  <w:abstractNum w:abstractNumId="29" w15:restartNumberingAfterBreak="0">
    <w:nsid w:val="5519577C"/>
    <w:multiLevelType w:val="hybridMultilevel"/>
    <w:tmpl w:val="62F25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20B0D"/>
    <w:multiLevelType w:val="hybridMultilevel"/>
    <w:tmpl w:val="C31E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F32D4"/>
    <w:multiLevelType w:val="hybridMultilevel"/>
    <w:tmpl w:val="F31AB0E4"/>
    <w:lvl w:ilvl="0" w:tplc="1774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A4D49"/>
    <w:multiLevelType w:val="multilevel"/>
    <w:tmpl w:val="E0FE1110"/>
    <w:numStyleLink w:val="TableRedBulletsList-IPR"/>
  </w:abstractNum>
  <w:abstractNum w:abstractNumId="33" w15:restartNumberingAfterBreak="0">
    <w:nsid w:val="708A3092"/>
    <w:multiLevelType w:val="hybridMultilevel"/>
    <w:tmpl w:val="3B7C8638"/>
    <w:lvl w:ilvl="0" w:tplc="714E2042">
      <w:start w:val="1"/>
      <w:numFmt w:val="bullet"/>
      <w:lvlText w:val=""/>
      <w:lvlJc w:val="left"/>
      <w:pPr>
        <w:ind w:left="720" w:hanging="360"/>
      </w:pPr>
      <w:rPr>
        <w:rFonts w:ascii="Wingdings" w:hAnsi="Wingdings"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54344"/>
    <w:multiLevelType w:val="hybridMultilevel"/>
    <w:tmpl w:val="D7DA7EDE"/>
    <w:lvl w:ilvl="0" w:tplc="F4BEA1B2">
      <w:start w:val="7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30479"/>
    <w:multiLevelType w:val="hybridMultilevel"/>
    <w:tmpl w:val="96EE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0"/>
  </w:num>
  <w:num w:numId="4">
    <w:abstractNumId w:val="18"/>
  </w:num>
  <w:num w:numId="5">
    <w:abstractNumId w:val="5"/>
  </w:num>
  <w:num w:numId="6">
    <w:abstractNumId w:val="10"/>
  </w:num>
  <w:num w:numId="7">
    <w:abstractNumId w:val="32"/>
    <w:lvlOverride w:ilvl="0">
      <w:lvl w:ilvl="0">
        <w:start w:val="1"/>
        <w:numFmt w:val="bullet"/>
        <w:pStyle w:val="TableRedBullets-IPR"/>
        <w:lvlText w:val="●"/>
        <w:lvlJc w:val="left"/>
        <w:pPr>
          <w:ind w:left="360" w:hanging="360"/>
        </w:pPr>
        <w:rPr>
          <w:rFonts w:ascii="Calibri" w:hAnsi="Calibri" w:hint="default"/>
          <w:b w:val="0"/>
          <w:i w:val="0"/>
          <w:color w:val="B12732"/>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28"/>
    <w:lvlOverride w:ilvl="0">
      <w:lvl w:ilvl="0">
        <w:start w:val="1"/>
        <w:numFmt w:val="decimal"/>
        <w:pStyle w:val="TableRedNumbers-IPR"/>
        <w:lvlText w:val="%1."/>
        <w:lvlJc w:val="left"/>
        <w:pPr>
          <w:ind w:left="360" w:hanging="360"/>
        </w:pPr>
        <w:rPr>
          <w:rFonts w:ascii="Calibri" w:hAnsi="Calibri" w:hint="default"/>
          <w:b w:val="0"/>
          <w:i w:val="0"/>
          <w:color w:val="B1273B"/>
          <w:sz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13"/>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B12732"/>
        </w:rPr>
      </w:lvl>
    </w:lvlOverride>
  </w:num>
  <w:num w:numId="14">
    <w:abstractNumId w:val="1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5">
    <w:abstractNumId w:val="1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6">
    <w:abstractNumId w:val="33"/>
  </w:num>
  <w:num w:numId="17">
    <w:abstractNumId w:val="27"/>
  </w:num>
  <w:num w:numId="18">
    <w:abstractNumId w:val="19"/>
  </w:num>
  <w:num w:numId="19">
    <w:abstractNumId w:val="23"/>
  </w:num>
  <w:num w:numId="20">
    <w:abstractNumId w:val="31"/>
  </w:num>
  <w:num w:numId="21">
    <w:abstractNumId w:val="20"/>
  </w:num>
  <w:num w:numId="22">
    <w:abstractNumId w:val="8"/>
  </w:num>
  <w:num w:numId="23">
    <w:abstractNumId w:val="34"/>
  </w:num>
  <w:num w:numId="24">
    <w:abstractNumId w:val="24"/>
  </w:num>
  <w:num w:numId="25">
    <w:abstractNumId w:val="36"/>
  </w:num>
  <w:num w:numId="26">
    <w:abstractNumId w:val="30"/>
  </w:num>
  <w:num w:numId="27">
    <w:abstractNumId w:val="22"/>
  </w:num>
  <w:num w:numId="28">
    <w:abstractNumId w:val="17"/>
  </w:num>
  <w:num w:numId="29">
    <w:abstractNumId w:val="11"/>
  </w:num>
  <w:num w:numId="30">
    <w:abstractNumId w:val="26"/>
  </w:num>
  <w:num w:numId="31">
    <w:abstractNumId w:val="9"/>
  </w:num>
  <w:num w:numId="32">
    <w:abstractNumId w:val="29"/>
  </w:num>
  <w:num w:numId="33">
    <w:abstractNumId w:val="7"/>
  </w:num>
  <w:num w:numId="34">
    <w:abstractNumId w:val="15"/>
  </w:num>
  <w:num w:numId="35">
    <w:abstractNumId w:val="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A0"/>
    <w:rsid w:val="001B3FA1"/>
    <w:rsid w:val="005A25A0"/>
    <w:rsid w:val="006D0A74"/>
    <w:rsid w:val="00F9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92C2"/>
  <w15:chartTrackingRefBased/>
  <w15:docId w15:val="{8A85D022-C3F8-479A-839C-5981FBCA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25A0"/>
    <w:pPr>
      <w:spacing w:after="240" w:line="240" w:lineRule="auto"/>
    </w:pPr>
    <w:rPr>
      <w:lang w:val="en-US"/>
    </w:rPr>
  </w:style>
  <w:style w:type="paragraph" w:styleId="Heading1">
    <w:name w:val="heading 1"/>
    <w:basedOn w:val="Normal"/>
    <w:next w:val="Normal"/>
    <w:link w:val="Heading1Char"/>
    <w:uiPriority w:val="9"/>
    <w:qFormat/>
    <w:rsid w:val="005A25A0"/>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qFormat/>
    <w:rsid w:val="005A25A0"/>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5A25A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A25A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5A0"/>
    <w:rPr>
      <w:rFonts w:ascii="Candara" w:eastAsiaTheme="majorEastAsia" w:hAnsi="Candara" w:cstheme="majorBidi"/>
      <w:b/>
      <w:bCs/>
      <w:color w:val="DD2230"/>
      <w:sz w:val="36"/>
      <w:szCs w:val="36"/>
      <w:lang w:val="en-US"/>
    </w:rPr>
  </w:style>
  <w:style w:type="character" w:customStyle="1" w:styleId="Heading2Char">
    <w:name w:val="Heading 2 Char"/>
    <w:basedOn w:val="DefaultParagraphFont"/>
    <w:link w:val="Heading2"/>
    <w:uiPriority w:val="9"/>
    <w:rsid w:val="005A25A0"/>
    <w:rPr>
      <w:rFonts w:ascii="Candara" w:eastAsiaTheme="majorEastAsia" w:hAnsi="Candara" w:cstheme="majorBidi"/>
      <w:b/>
      <w:bCs/>
      <w:color w:val="DD2230"/>
      <w:sz w:val="28"/>
      <w:szCs w:val="26"/>
      <w:lang w:val="en-US"/>
    </w:rPr>
  </w:style>
  <w:style w:type="character" w:customStyle="1" w:styleId="Heading3Char">
    <w:name w:val="Heading 3 Char"/>
    <w:basedOn w:val="DefaultParagraphFont"/>
    <w:link w:val="Heading3"/>
    <w:uiPriority w:val="9"/>
    <w:semiHidden/>
    <w:rsid w:val="005A25A0"/>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semiHidden/>
    <w:rsid w:val="005A25A0"/>
    <w:rPr>
      <w:rFonts w:asciiTheme="majorHAnsi" w:eastAsiaTheme="majorEastAsia" w:hAnsiTheme="majorHAnsi" w:cstheme="majorBidi"/>
      <w:b/>
      <w:bCs/>
      <w:i/>
      <w:iCs/>
      <w:color w:val="4472C4" w:themeColor="accent1"/>
      <w:lang w:val="en-US"/>
    </w:rPr>
  </w:style>
  <w:style w:type="numbering" w:customStyle="1" w:styleId="TableBlackNumbersList-IPR">
    <w:name w:val="TableBlackNumbersList-IPR"/>
    <w:uiPriority w:val="99"/>
    <w:rsid w:val="005A25A0"/>
    <w:pPr>
      <w:numPr>
        <w:numId w:val="5"/>
      </w:numPr>
    </w:pPr>
  </w:style>
  <w:style w:type="numbering" w:customStyle="1" w:styleId="NumbersListStyleRed-IPR">
    <w:name w:val="NumbersListStyleRed-IPR"/>
    <w:uiPriority w:val="99"/>
    <w:rsid w:val="005A25A0"/>
    <w:pPr>
      <w:numPr>
        <w:numId w:val="12"/>
      </w:numPr>
    </w:pPr>
  </w:style>
  <w:style w:type="paragraph" w:styleId="BalloonText">
    <w:name w:val="Balloon Text"/>
    <w:basedOn w:val="Normal"/>
    <w:link w:val="BalloonTextChar"/>
    <w:uiPriority w:val="99"/>
    <w:semiHidden/>
    <w:unhideWhenUsed/>
    <w:rsid w:val="005A25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A0"/>
    <w:rPr>
      <w:rFonts w:ascii="Tahoma" w:hAnsi="Tahoma" w:cs="Tahoma"/>
      <w:sz w:val="16"/>
      <w:szCs w:val="16"/>
      <w:lang w:val="en-US"/>
    </w:rPr>
  </w:style>
  <w:style w:type="paragraph" w:customStyle="1" w:styleId="DocDate-IPR">
    <w:name w:val="DocDate-IPR"/>
    <w:link w:val="DocDate-IPRChar"/>
    <w:rsid w:val="005A25A0"/>
    <w:pPr>
      <w:spacing w:before="1320" w:after="480" w:line="240" w:lineRule="auto"/>
      <w:jc w:val="center"/>
    </w:pPr>
    <w:rPr>
      <w:rFonts w:ascii="Calibri" w:eastAsia="Times New Roman" w:hAnsi="Calibri" w:cs="Lucida Sans Unicode"/>
      <w:sz w:val="24"/>
      <w:lang w:val="en-US"/>
    </w:rPr>
  </w:style>
  <w:style w:type="character" w:customStyle="1" w:styleId="DocDate-IPRChar">
    <w:name w:val="DocDate-IPR Char"/>
    <w:basedOn w:val="DefaultParagraphFont"/>
    <w:link w:val="DocDate-IPR"/>
    <w:rsid w:val="005A25A0"/>
    <w:rPr>
      <w:rFonts w:ascii="Calibri" w:eastAsia="Times New Roman" w:hAnsi="Calibri" w:cs="Lucida Sans Unicode"/>
      <w:sz w:val="24"/>
      <w:lang w:val="en-US"/>
    </w:rPr>
  </w:style>
  <w:style w:type="paragraph" w:customStyle="1" w:styleId="DocSubmitLine-IPR">
    <w:name w:val="DocSubmitLine-IPR"/>
    <w:link w:val="DocSubmitLine-IPRChar"/>
    <w:rsid w:val="005A25A0"/>
    <w:pPr>
      <w:spacing w:after="120" w:line="240" w:lineRule="auto"/>
      <w:ind w:left="720"/>
    </w:pPr>
    <w:rPr>
      <w:rFonts w:ascii="Calibri" w:eastAsiaTheme="minorEastAsia" w:hAnsi="Calibri" w:cs="Times New Roman"/>
      <w:b/>
      <w:color w:val="B12732"/>
      <w:sz w:val="24"/>
      <w:szCs w:val="20"/>
      <w:lang w:val="en-US"/>
    </w:rPr>
  </w:style>
  <w:style w:type="paragraph" w:customStyle="1" w:styleId="DocProjectLine-IPR">
    <w:name w:val="DocProjectLine-IPR"/>
    <w:link w:val="DocProjectLine-IPRChar"/>
    <w:rsid w:val="005A25A0"/>
    <w:pPr>
      <w:spacing w:before="240" w:after="120" w:line="240" w:lineRule="auto"/>
      <w:ind w:left="720"/>
    </w:pPr>
    <w:rPr>
      <w:rFonts w:ascii="Calibri" w:eastAsiaTheme="minorEastAsia" w:hAnsi="Calibri" w:cs="Times New Roman"/>
      <w:b/>
      <w:sz w:val="24"/>
      <w:szCs w:val="20"/>
      <w:lang w:val="en-US"/>
    </w:rPr>
  </w:style>
  <w:style w:type="character" w:customStyle="1" w:styleId="DocSubmitLine-IPRChar">
    <w:name w:val="DocSubmitLine-IPR Char"/>
    <w:basedOn w:val="DefaultParagraphFont"/>
    <w:link w:val="DocSubmitLine-IPR"/>
    <w:rsid w:val="005A25A0"/>
    <w:rPr>
      <w:rFonts w:ascii="Calibri" w:eastAsiaTheme="minorEastAsia" w:hAnsi="Calibri" w:cs="Times New Roman"/>
      <w:b/>
      <w:color w:val="B12732"/>
      <w:sz w:val="24"/>
      <w:szCs w:val="20"/>
      <w:lang w:val="en-US"/>
    </w:rPr>
  </w:style>
  <w:style w:type="paragraph" w:customStyle="1" w:styleId="SuggestedCitationText-IPR">
    <w:name w:val="SuggestedCitationText-IPR"/>
    <w:link w:val="SuggestedCitationText-IPRChar"/>
    <w:rsid w:val="005A25A0"/>
    <w:pPr>
      <w:spacing w:after="240" w:line="240" w:lineRule="auto"/>
      <w:ind w:left="360" w:hanging="360"/>
    </w:pPr>
    <w:rPr>
      <w:rFonts w:ascii="Calibri" w:eastAsiaTheme="minorEastAsia" w:hAnsi="Calibri" w:cs="Times New Roman"/>
      <w:szCs w:val="20"/>
      <w:lang w:val="en-US"/>
    </w:rPr>
  </w:style>
  <w:style w:type="character" w:customStyle="1" w:styleId="DocProjectLine-IPRChar">
    <w:name w:val="DocProjectLine-IPR Char"/>
    <w:basedOn w:val="DefaultParagraphFont"/>
    <w:link w:val="DocProjectLine-IPR"/>
    <w:rsid w:val="005A25A0"/>
    <w:rPr>
      <w:rFonts w:ascii="Calibri" w:eastAsiaTheme="minorEastAsia" w:hAnsi="Calibri" w:cs="Times New Roman"/>
      <w:b/>
      <w:sz w:val="24"/>
      <w:szCs w:val="20"/>
      <w:lang w:val="en-US"/>
    </w:rPr>
  </w:style>
  <w:style w:type="character" w:customStyle="1" w:styleId="SuggestedCitationText-IPRChar">
    <w:name w:val="SuggestedCitationText-IPR Char"/>
    <w:basedOn w:val="DefaultParagraphFont"/>
    <w:link w:val="SuggestedCitationText-IPR"/>
    <w:rsid w:val="005A25A0"/>
    <w:rPr>
      <w:rFonts w:ascii="Calibri" w:eastAsiaTheme="minorEastAsia" w:hAnsi="Calibri" w:cs="Times New Roman"/>
      <w:szCs w:val="20"/>
      <w:lang w:val="en-US"/>
    </w:rPr>
  </w:style>
  <w:style w:type="paragraph" w:customStyle="1" w:styleId="DocAddressNameIndent-IPR">
    <w:name w:val="DocAddress/NameIndent-IPR"/>
    <w:link w:val="DocAddressNameIndent-IPRChar"/>
    <w:qFormat/>
    <w:rsid w:val="005A25A0"/>
    <w:pPr>
      <w:spacing w:after="0" w:line="240" w:lineRule="auto"/>
      <w:ind w:left="720"/>
    </w:pPr>
    <w:rPr>
      <w:rFonts w:ascii="Calibri" w:eastAsia="Times New Roman" w:hAnsi="Calibri" w:cs="Times New Roman"/>
      <w:szCs w:val="24"/>
      <w:lang w:val="en-US"/>
    </w:rPr>
  </w:style>
  <w:style w:type="character" w:customStyle="1" w:styleId="DocAddressNameIndent-IPRChar">
    <w:name w:val="DocAddress/NameIndent-IPR Char"/>
    <w:basedOn w:val="DefaultParagraphFont"/>
    <w:link w:val="DocAddressNameIndent-IPR"/>
    <w:rsid w:val="005A25A0"/>
    <w:rPr>
      <w:rFonts w:ascii="Calibri" w:eastAsia="Times New Roman" w:hAnsi="Calibri" w:cs="Times New Roman"/>
      <w:szCs w:val="24"/>
      <w:lang w:val="en-US"/>
    </w:rPr>
  </w:style>
  <w:style w:type="paragraph" w:customStyle="1" w:styleId="AuthorNames-IPR">
    <w:name w:val="AuthorNames-IPR"/>
    <w:link w:val="AuthorNames-IPRChar"/>
    <w:rsid w:val="005A25A0"/>
    <w:pPr>
      <w:spacing w:after="0" w:line="240" w:lineRule="auto"/>
      <w:jc w:val="center"/>
    </w:pPr>
    <w:rPr>
      <w:rFonts w:ascii="Calibri" w:eastAsia="Times New Roman" w:hAnsi="Calibri" w:cs="Lucida Sans Unicode"/>
      <w:sz w:val="24"/>
      <w:szCs w:val="20"/>
      <w:lang w:val="en-US"/>
    </w:rPr>
  </w:style>
  <w:style w:type="paragraph" w:customStyle="1" w:styleId="AuthorLabel-IPR">
    <w:name w:val="AuthorLabel-IPR"/>
    <w:link w:val="AuthorLabel-IPRChar"/>
    <w:rsid w:val="005A25A0"/>
    <w:pPr>
      <w:spacing w:after="120" w:line="240" w:lineRule="auto"/>
      <w:jc w:val="center"/>
    </w:pPr>
    <w:rPr>
      <w:rFonts w:ascii="Calibri" w:eastAsia="Times New Roman" w:hAnsi="Calibri" w:cs="Lucida Sans Unicode"/>
      <w:b/>
      <w:sz w:val="24"/>
      <w:szCs w:val="20"/>
      <w:lang w:val="en-US"/>
    </w:rPr>
  </w:style>
  <w:style w:type="character" w:customStyle="1" w:styleId="AuthorNames-IPRChar">
    <w:name w:val="AuthorNames-IPR Char"/>
    <w:basedOn w:val="DocDate-IPRChar"/>
    <w:link w:val="AuthorNames-IPR"/>
    <w:rsid w:val="005A25A0"/>
    <w:rPr>
      <w:rFonts w:ascii="Calibri" w:eastAsia="Times New Roman" w:hAnsi="Calibri" w:cs="Lucida Sans Unicode"/>
      <w:sz w:val="24"/>
      <w:szCs w:val="20"/>
      <w:lang w:val="en-US"/>
    </w:rPr>
  </w:style>
  <w:style w:type="character" w:customStyle="1" w:styleId="AuthorLabel-IPRChar">
    <w:name w:val="AuthorLabel-IPR Char"/>
    <w:basedOn w:val="DocDate-IPRChar"/>
    <w:link w:val="AuthorLabel-IPR"/>
    <w:rsid w:val="005A25A0"/>
    <w:rPr>
      <w:rFonts w:ascii="Calibri" w:eastAsia="Times New Roman" w:hAnsi="Calibri" w:cs="Lucida Sans Unicode"/>
      <w:b/>
      <w:sz w:val="24"/>
      <w:szCs w:val="20"/>
      <w:lang w:val="en-US"/>
    </w:rPr>
  </w:style>
  <w:style w:type="paragraph" w:customStyle="1" w:styleId="SuggestedCitationLabel-IPR">
    <w:name w:val="SuggestedCitationLabel-IPR"/>
    <w:link w:val="SuggestedCitationLabel-IPRChar"/>
    <w:rsid w:val="005A25A0"/>
    <w:pPr>
      <w:keepNext/>
      <w:spacing w:after="240" w:line="240" w:lineRule="auto"/>
    </w:pPr>
    <w:rPr>
      <w:rFonts w:ascii="Calibri" w:eastAsia="Calibri" w:hAnsi="Calibri" w:cs="Arial"/>
      <w:b/>
      <w:bCs/>
      <w:szCs w:val="24"/>
      <w:lang w:val="en-US"/>
    </w:rPr>
  </w:style>
  <w:style w:type="character" w:customStyle="1" w:styleId="SuggestedCitationLabel-IPRChar">
    <w:name w:val="SuggestedCitationLabel-IPR Char"/>
    <w:basedOn w:val="DefaultParagraphFont"/>
    <w:link w:val="SuggestedCitationLabel-IPR"/>
    <w:rsid w:val="005A25A0"/>
    <w:rPr>
      <w:rFonts w:ascii="Calibri" w:eastAsia="Calibri" w:hAnsi="Calibri" w:cs="Arial"/>
      <w:b/>
      <w:bCs/>
      <w:szCs w:val="24"/>
      <w:lang w:val="en-US"/>
    </w:rPr>
  </w:style>
  <w:style w:type="paragraph" w:customStyle="1" w:styleId="FooterRedInsight-IPR">
    <w:name w:val="FooterRedInsight-IPR"/>
    <w:basedOn w:val="Normal"/>
    <w:link w:val="FooterRedInsight-IPRChar"/>
    <w:rsid w:val="005A25A0"/>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5A25A0"/>
    <w:pPr>
      <w:keepNext/>
      <w:spacing w:after="240" w:line="240" w:lineRule="auto"/>
    </w:pPr>
    <w:rPr>
      <w:rFonts w:ascii="Candara" w:hAnsi="Candara"/>
      <w:b/>
      <w:i/>
      <w:color w:val="B12732"/>
      <w:lang w:val="en-US"/>
    </w:rPr>
  </w:style>
  <w:style w:type="character" w:customStyle="1" w:styleId="FooterRedInsight-IPRChar">
    <w:name w:val="FooterRedInsight-IPR Char"/>
    <w:basedOn w:val="DefaultParagraphFont"/>
    <w:link w:val="FooterRedInsight-IPR"/>
    <w:rsid w:val="005A25A0"/>
    <w:rPr>
      <w:i/>
      <w:color w:val="B12732"/>
      <w:sz w:val="20"/>
      <w:lang w:val="en-US"/>
    </w:rPr>
  </w:style>
  <w:style w:type="paragraph" w:customStyle="1" w:styleId="BulletsRed-IPR">
    <w:name w:val="BulletsRed-IPR"/>
    <w:link w:val="BulletsRed-IPRChar"/>
    <w:qFormat/>
    <w:rsid w:val="005A25A0"/>
    <w:pPr>
      <w:numPr>
        <w:numId w:val="14"/>
      </w:numPr>
      <w:spacing w:after="120" w:line="240" w:lineRule="auto"/>
    </w:pPr>
    <w:rPr>
      <w:rFonts w:ascii="Calibri" w:hAnsi="Calibri" w:cs="Times New Roman"/>
      <w:szCs w:val="24"/>
      <w:lang w:val="en-US"/>
    </w:rPr>
  </w:style>
  <w:style w:type="paragraph" w:styleId="Footer">
    <w:name w:val="footer"/>
    <w:basedOn w:val="Normal"/>
    <w:link w:val="FooterChar"/>
    <w:uiPriority w:val="99"/>
    <w:unhideWhenUsed/>
    <w:rsid w:val="005A25A0"/>
    <w:pPr>
      <w:tabs>
        <w:tab w:val="center" w:pos="4680"/>
        <w:tab w:val="right" w:pos="9360"/>
      </w:tabs>
      <w:spacing w:after="0"/>
    </w:pPr>
  </w:style>
  <w:style w:type="character" w:customStyle="1" w:styleId="FooterChar">
    <w:name w:val="Footer Char"/>
    <w:basedOn w:val="DefaultParagraphFont"/>
    <w:link w:val="Footer"/>
    <w:uiPriority w:val="99"/>
    <w:rsid w:val="005A25A0"/>
    <w:rPr>
      <w:lang w:val="en-US"/>
    </w:rPr>
  </w:style>
  <w:style w:type="paragraph" w:customStyle="1" w:styleId="NumbersRed-IPR">
    <w:name w:val="NumbersRed-IPR"/>
    <w:link w:val="NumbersRed-IPRChar"/>
    <w:qFormat/>
    <w:rsid w:val="005A25A0"/>
    <w:pPr>
      <w:numPr>
        <w:numId w:val="13"/>
      </w:numPr>
      <w:spacing w:after="120" w:line="240" w:lineRule="auto"/>
    </w:pPr>
    <w:rPr>
      <w:rFonts w:ascii="Calibri" w:hAnsi="Calibri"/>
      <w:lang w:val="en-US"/>
    </w:rPr>
  </w:style>
  <w:style w:type="paragraph" w:customStyle="1" w:styleId="FooterTitle-IPR">
    <w:name w:val="FooterTitle-IPR"/>
    <w:basedOn w:val="Normal"/>
    <w:link w:val="FooterTitle-IPRChar"/>
    <w:rsid w:val="005A25A0"/>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5A25A0"/>
    <w:rPr>
      <w:i/>
      <w:sz w:val="20"/>
      <w:lang w:val="en-US"/>
    </w:rPr>
  </w:style>
  <w:style w:type="character" w:customStyle="1" w:styleId="BulletsRed-IPRChar">
    <w:name w:val="BulletsRed-IPR Char"/>
    <w:basedOn w:val="DefaultParagraphFont"/>
    <w:link w:val="BulletsRed-IPR"/>
    <w:rsid w:val="005A25A0"/>
    <w:rPr>
      <w:rFonts w:ascii="Calibri" w:hAnsi="Calibri" w:cs="Times New Roman"/>
      <w:szCs w:val="24"/>
      <w:lang w:val="en-US"/>
    </w:rPr>
  </w:style>
  <w:style w:type="character" w:customStyle="1" w:styleId="NumbersRed-IPRChar">
    <w:name w:val="NumbersRed-IPR Char"/>
    <w:basedOn w:val="DefaultParagraphFont"/>
    <w:link w:val="NumbersRed-IPR"/>
    <w:rsid w:val="005A25A0"/>
    <w:rPr>
      <w:rFonts w:ascii="Calibri" w:hAnsi="Calibri"/>
      <w:lang w:val="en-US"/>
    </w:rPr>
  </w:style>
  <w:style w:type="paragraph" w:customStyle="1" w:styleId="TableText-IPR">
    <w:name w:val="TableText-IPR"/>
    <w:link w:val="TableText-IPRChar"/>
    <w:qFormat/>
    <w:rsid w:val="005A25A0"/>
    <w:pPr>
      <w:spacing w:after="0" w:line="240" w:lineRule="auto"/>
    </w:pPr>
    <w:rPr>
      <w:rFonts w:ascii="Calibri" w:eastAsiaTheme="minorEastAsia" w:hAnsi="Calibri" w:cs="Times New Roman"/>
      <w:sz w:val="20"/>
      <w:szCs w:val="20"/>
      <w:lang w:val="en-US"/>
    </w:rPr>
  </w:style>
  <w:style w:type="table" w:styleId="TableGrid">
    <w:name w:val="Table Grid"/>
    <w:basedOn w:val="TableNormal"/>
    <w:uiPriority w:val="39"/>
    <w:rsid w:val="005A25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5A25A0"/>
    <w:pPr>
      <w:keepNext/>
      <w:numPr>
        <w:numId w:val="10"/>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lang w:val="en-US"/>
    </w:rPr>
  </w:style>
  <w:style w:type="paragraph" w:customStyle="1" w:styleId="TextBox2RedBold-IPR">
    <w:name w:val="TextBox2RedBold-IPR"/>
    <w:link w:val="TextBox2RedBold-IPRChar"/>
    <w:rsid w:val="005A25A0"/>
    <w:pPr>
      <w:pBdr>
        <w:bottom w:val="single" w:sz="18" w:space="1" w:color="6A6C67"/>
      </w:pBdr>
      <w:spacing w:after="0" w:line="240" w:lineRule="auto"/>
      <w:jc w:val="right"/>
    </w:pPr>
    <w:rPr>
      <w:rFonts w:ascii="Century Gothic" w:eastAsiaTheme="minorEastAsia" w:hAnsi="Century Gothic" w:cs="Times New Roman"/>
      <w:color w:val="B12732"/>
      <w:sz w:val="20"/>
      <w:szCs w:val="20"/>
      <w:lang w:val="en-US"/>
    </w:rPr>
  </w:style>
  <w:style w:type="paragraph" w:customStyle="1" w:styleId="DropCap-IPR">
    <w:name w:val="DropCap-IPR"/>
    <w:link w:val="DropCap-IPRChar"/>
    <w:qFormat/>
    <w:rsid w:val="005A25A0"/>
    <w:pPr>
      <w:keepNext/>
      <w:framePr w:wrap="around" w:vAnchor="text" w:hAnchor="text"/>
      <w:spacing w:after="0" w:line="537" w:lineRule="exact"/>
    </w:pPr>
    <w:rPr>
      <w:rFonts w:ascii="Candara" w:eastAsia="Times New Roman" w:hAnsi="Candara" w:cs="Times New Roman"/>
      <w:color w:val="B12732"/>
      <w:position w:val="-5"/>
      <w:sz w:val="68"/>
      <w:szCs w:val="24"/>
      <w:lang w:val="en-US"/>
    </w:rPr>
  </w:style>
  <w:style w:type="character" w:customStyle="1" w:styleId="DropCap-IPRChar">
    <w:name w:val="DropCap-IPR Char"/>
    <w:basedOn w:val="DefaultParagraphFont"/>
    <w:link w:val="DropCap-IPR"/>
    <w:rsid w:val="005A25A0"/>
    <w:rPr>
      <w:rFonts w:ascii="Candara" w:eastAsia="Times New Roman" w:hAnsi="Candara" w:cs="Times New Roman"/>
      <w:color w:val="B12732"/>
      <w:position w:val="-5"/>
      <w:sz w:val="68"/>
      <w:szCs w:val="24"/>
      <w:lang w:val="en-US"/>
    </w:rPr>
  </w:style>
  <w:style w:type="character" w:customStyle="1" w:styleId="TextBox2RedBold-IPRChar">
    <w:name w:val="TextBox2RedBold-IPR Char"/>
    <w:basedOn w:val="DefaultParagraphFont"/>
    <w:link w:val="TextBox2RedBold-IPR"/>
    <w:rsid w:val="005A25A0"/>
    <w:rPr>
      <w:rFonts w:ascii="Century Gothic" w:eastAsiaTheme="minorEastAsia" w:hAnsi="Century Gothic" w:cs="Times New Roman"/>
      <w:color w:val="B12732"/>
      <w:sz w:val="20"/>
      <w:szCs w:val="20"/>
      <w:lang w:val="en-US"/>
    </w:rPr>
  </w:style>
  <w:style w:type="character" w:customStyle="1" w:styleId="TableText-IPRChar">
    <w:name w:val="TableText-IPR Char"/>
    <w:basedOn w:val="DefaultParagraphFont"/>
    <w:link w:val="TableText-IPR"/>
    <w:rsid w:val="005A25A0"/>
    <w:rPr>
      <w:rFonts w:ascii="Calibri" w:eastAsiaTheme="minorEastAsia" w:hAnsi="Calibri" w:cs="Times New Roman"/>
      <w:sz w:val="20"/>
      <w:szCs w:val="20"/>
      <w:lang w:val="en-US"/>
    </w:rPr>
  </w:style>
  <w:style w:type="table" w:customStyle="1" w:styleId="InsightTable">
    <w:name w:val="Insight Table"/>
    <w:basedOn w:val="TableNormal"/>
    <w:uiPriority w:val="99"/>
    <w:rsid w:val="005A25A0"/>
    <w:pPr>
      <w:spacing w:after="0" w:line="240" w:lineRule="auto"/>
    </w:pPr>
    <w:rPr>
      <w:rFonts w:ascii="Calibri" w:hAnsi="Calibri" w:cs="Times New Roman"/>
      <w:sz w:val="20"/>
      <w:lang w:val="en-US"/>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Bahnschrift SemiLight SemiConde" w:hAnsi="Bahnschrift SemiLight SemiCon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5A25A0"/>
    <w:pPr>
      <w:spacing w:after="0" w:line="240" w:lineRule="auto"/>
      <w:jc w:val="center"/>
    </w:pPr>
    <w:rPr>
      <w:rFonts w:ascii="Lucida Sans" w:eastAsia="Times New Roman" w:hAnsi="Lucida Sans" w:cs="Lucida Sans Unicode"/>
      <w:b/>
      <w:sz w:val="18"/>
      <w:szCs w:val="24"/>
      <w:lang w:val="en-US"/>
    </w:rPr>
  </w:style>
  <w:style w:type="character" w:customStyle="1" w:styleId="TableHeaderRow-IPRChar">
    <w:name w:val="TableHeaderRow-IPR Char"/>
    <w:basedOn w:val="DefaultParagraphFont"/>
    <w:link w:val="TableHeaderRow-IPR"/>
    <w:rsid w:val="005A25A0"/>
    <w:rPr>
      <w:rFonts w:ascii="Lucida Sans" w:eastAsia="Times New Roman" w:hAnsi="Lucida Sans" w:cs="Lucida Sans Unicode"/>
      <w:b/>
      <w:sz w:val="18"/>
      <w:szCs w:val="24"/>
      <w:lang w:val="en-US"/>
    </w:rPr>
  </w:style>
  <w:style w:type="paragraph" w:customStyle="1" w:styleId="FtnteTable-IPR">
    <w:name w:val="FtnteTable-IPR"/>
    <w:link w:val="FtnteTable-IPRChar"/>
    <w:rsid w:val="005A25A0"/>
    <w:pPr>
      <w:spacing w:before="60" w:after="0" w:line="240" w:lineRule="auto"/>
      <w:contextualSpacing/>
    </w:pPr>
    <w:rPr>
      <w:rFonts w:ascii="Calibri" w:eastAsia="Calibri" w:hAnsi="Calibri" w:cs="Calibri"/>
      <w:sz w:val="18"/>
      <w:szCs w:val="20"/>
      <w:lang w:val="en-US"/>
    </w:rPr>
  </w:style>
  <w:style w:type="paragraph" w:customStyle="1" w:styleId="FigureTitle-IPR">
    <w:name w:val="FigureTitle-IPR"/>
    <w:link w:val="FigureTitle-IPRChar"/>
    <w:qFormat/>
    <w:rsid w:val="005A25A0"/>
    <w:pPr>
      <w:keepNext/>
      <w:spacing w:after="120" w:line="240" w:lineRule="auto"/>
    </w:pPr>
    <w:rPr>
      <w:rFonts w:ascii="Calibri" w:eastAsia="Times New Roman" w:hAnsi="Calibri" w:cs="Times New Roman"/>
      <w:b/>
      <w:i/>
      <w:szCs w:val="24"/>
      <w:lang w:val="en-US"/>
    </w:rPr>
  </w:style>
  <w:style w:type="character" w:customStyle="1" w:styleId="FtnteTable-IPRChar">
    <w:name w:val="FtnteTable-IPR Char"/>
    <w:basedOn w:val="DefaultParagraphFont"/>
    <w:link w:val="FtnteTable-IPR"/>
    <w:rsid w:val="005A25A0"/>
    <w:rPr>
      <w:rFonts w:ascii="Calibri" w:eastAsia="Calibri" w:hAnsi="Calibri" w:cs="Calibri"/>
      <w:sz w:val="18"/>
      <w:szCs w:val="20"/>
      <w:lang w:val="en-US"/>
    </w:rPr>
  </w:style>
  <w:style w:type="character" w:customStyle="1" w:styleId="FigureTitle-IPRChar">
    <w:name w:val="FigureTitle-IPR Char"/>
    <w:basedOn w:val="DefaultParagraphFont"/>
    <w:link w:val="FigureTitle-IPR"/>
    <w:rsid w:val="005A25A0"/>
    <w:rPr>
      <w:rFonts w:ascii="Calibri" w:eastAsia="Times New Roman" w:hAnsi="Calibri" w:cs="Times New Roman"/>
      <w:b/>
      <w:i/>
      <w:szCs w:val="24"/>
      <w:lang w:val="en-US"/>
    </w:rPr>
  </w:style>
  <w:style w:type="paragraph" w:customStyle="1" w:styleId="Heading3-IPR">
    <w:name w:val="Heading3-IPR"/>
    <w:link w:val="Heading3-IPRChar"/>
    <w:qFormat/>
    <w:rsid w:val="005A25A0"/>
    <w:pPr>
      <w:keepNext/>
      <w:numPr>
        <w:numId w:val="1"/>
      </w:numPr>
      <w:spacing w:after="240" w:line="240" w:lineRule="auto"/>
      <w:outlineLvl w:val="2"/>
    </w:pPr>
    <w:rPr>
      <w:rFonts w:ascii="Candara" w:eastAsia="Calibri" w:hAnsi="Candara" w:cs="Arial"/>
      <w:b/>
      <w:bCs/>
      <w:color w:val="B12732"/>
      <w:sz w:val="24"/>
      <w:szCs w:val="24"/>
      <w:lang w:val="en-US"/>
    </w:rPr>
  </w:style>
  <w:style w:type="character" w:customStyle="1" w:styleId="Heading3-IPRChar">
    <w:name w:val="Heading3-IPR Char"/>
    <w:basedOn w:val="DefaultParagraphFont"/>
    <w:link w:val="Heading3-IPR"/>
    <w:rsid w:val="005A25A0"/>
    <w:rPr>
      <w:rFonts w:ascii="Candara" w:eastAsia="Calibri" w:hAnsi="Candara" w:cs="Arial"/>
      <w:b/>
      <w:bCs/>
      <w:color w:val="B12732"/>
      <w:sz w:val="24"/>
      <w:szCs w:val="24"/>
      <w:lang w:val="en-US"/>
    </w:rPr>
  </w:style>
  <w:style w:type="paragraph" w:customStyle="1" w:styleId="Heading4-IPR">
    <w:name w:val="Heading4-IPR"/>
    <w:link w:val="Heading4-IPRChar"/>
    <w:qFormat/>
    <w:rsid w:val="005A25A0"/>
    <w:pPr>
      <w:keepNext/>
      <w:numPr>
        <w:numId w:val="2"/>
      </w:numPr>
      <w:spacing w:after="240" w:line="240" w:lineRule="auto"/>
      <w:outlineLvl w:val="3"/>
    </w:pPr>
    <w:rPr>
      <w:rFonts w:ascii="Candara" w:eastAsia="Times New Roman" w:hAnsi="Candara" w:cs="Tahoma"/>
      <w:b/>
      <w:i/>
      <w:color w:val="B12732"/>
      <w:szCs w:val="26"/>
      <w:lang w:val="en-US"/>
    </w:rPr>
  </w:style>
  <w:style w:type="character" w:customStyle="1" w:styleId="Heading4-IPRChar">
    <w:name w:val="Heading4-IPR Char"/>
    <w:basedOn w:val="DefaultParagraphFont"/>
    <w:link w:val="Heading4-IPR"/>
    <w:rsid w:val="005A25A0"/>
    <w:rPr>
      <w:rFonts w:ascii="Candara" w:eastAsia="Times New Roman" w:hAnsi="Candara" w:cs="Tahoma"/>
      <w:b/>
      <w:i/>
      <w:color w:val="B12732"/>
      <w:szCs w:val="26"/>
      <w:lang w:val="en-US"/>
    </w:rPr>
  </w:style>
  <w:style w:type="character" w:customStyle="1" w:styleId="Heading2-IPRChar">
    <w:name w:val="Heading2-IPR Char"/>
    <w:basedOn w:val="Heading2Char"/>
    <w:link w:val="Heading2-IPR"/>
    <w:rsid w:val="005A25A0"/>
    <w:rPr>
      <w:rFonts w:ascii="Candara" w:eastAsiaTheme="majorEastAsia" w:hAnsi="Candara" w:cstheme="majorBidi"/>
      <w:b/>
      <w:bCs/>
      <w:color w:val="B12732"/>
      <w:sz w:val="28"/>
      <w:szCs w:val="26"/>
      <w:lang w:val="en-US"/>
    </w:rPr>
  </w:style>
  <w:style w:type="paragraph" w:styleId="Header">
    <w:name w:val="header"/>
    <w:basedOn w:val="Normal"/>
    <w:link w:val="HeaderChar"/>
    <w:uiPriority w:val="99"/>
    <w:unhideWhenUsed/>
    <w:rsid w:val="005A25A0"/>
    <w:pPr>
      <w:tabs>
        <w:tab w:val="center" w:pos="4680"/>
        <w:tab w:val="right" w:pos="9360"/>
      </w:tabs>
      <w:spacing w:after="0"/>
    </w:pPr>
  </w:style>
  <w:style w:type="character" w:customStyle="1" w:styleId="HeaderChar">
    <w:name w:val="Header Char"/>
    <w:basedOn w:val="DefaultParagraphFont"/>
    <w:link w:val="Header"/>
    <w:uiPriority w:val="99"/>
    <w:rsid w:val="005A25A0"/>
    <w:rPr>
      <w:lang w:val="en-US"/>
    </w:rPr>
  </w:style>
  <w:style w:type="paragraph" w:customStyle="1" w:styleId="BodyText-IPR">
    <w:name w:val="BodyText-IPR"/>
    <w:link w:val="BodyText-IPRChar"/>
    <w:qFormat/>
    <w:rsid w:val="005A25A0"/>
    <w:pPr>
      <w:spacing w:after="240" w:line="240" w:lineRule="auto"/>
    </w:pPr>
    <w:rPr>
      <w:rFonts w:ascii="Calibri" w:hAnsi="Calibri"/>
      <w:lang w:val="en-US"/>
    </w:rPr>
  </w:style>
  <w:style w:type="paragraph" w:styleId="TOC3">
    <w:name w:val="toc 3"/>
    <w:basedOn w:val="Normal"/>
    <w:next w:val="Normal"/>
    <w:autoRedefine/>
    <w:uiPriority w:val="39"/>
    <w:unhideWhenUsed/>
    <w:rsid w:val="005A25A0"/>
    <w:pPr>
      <w:spacing w:after="100"/>
      <w:ind w:left="440"/>
    </w:pPr>
  </w:style>
  <w:style w:type="paragraph" w:customStyle="1" w:styleId="BodyCentered-IPR">
    <w:name w:val="BodyCentered-IPR"/>
    <w:link w:val="BodyCentered-IPRChar"/>
    <w:rsid w:val="005A25A0"/>
    <w:pPr>
      <w:spacing w:after="0" w:line="240" w:lineRule="auto"/>
      <w:jc w:val="center"/>
    </w:pPr>
    <w:rPr>
      <w:rFonts w:ascii="Calibri" w:eastAsia="Times New Roman" w:hAnsi="Calibri" w:cs="Lucida Sans Unicode"/>
      <w:lang w:val="en-US"/>
    </w:rPr>
  </w:style>
  <w:style w:type="paragraph" w:styleId="TOC4">
    <w:name w:val="toc 4"/>
    <w:basedOn w:val="Normal"/>
    <w:next w:val="Normal"/>
    <w:autoRedefine/>
    <w:uiPriority w:val="39"/>
    <w:unhideWhenUsed/>
    <w:rsid w:val="005A25A0"/>
    <w:pPr>
      <w:spacing w:after="100"/>
      <w:ind w:left="660"/>
    </w:pPr>
  </w:style>
  <w:style w:type="character" w:styleId="Hyperlink">
    <w:name w:val="Hyperlink"/>
    <w:basedOn w:val="DefaultParagraphFont"/>
    <w:uiPriority w:val="99"/>
    <w:unhideWhenUsed/>
    <w:rsid w:val="005A25A0"/>
    <w:rPr>
      <w:color w:val="0563C1" w:themeColor="hyperlink"/>
      <w:u w:val="single"/>
    </w:rPr>
  </w:style>
  <w:style w:type="character" w:styleId="CommentReference">
    <w:name w:val="annotation reference"/>
    <w:basedOn w:val="DefaultParagraphFont"/>
    <w:uiPriority w:val="99"/>
    <w:semiHidden/>
    <w:unhideWhenUsed/>
    <w:rsid w:val="005A25A0"/>
    <w:rPr>
      <w:sz w:val="16"/>
      <w:szCs w:val="16"/>
    </w:rPr>
  </w:style>
  <w:style w:type="paragraph" w:styleId="CommentText">
    <w:name w:val="annotation text"/>
    <w:basedOn w:val="Normal"/>
    <w:link w:val="CommentTextChar"/>
    <w:uiPriority w:val="99"/>
    <w:unhideWhenUsed/>
    <w:rsid w:val="005A25A0"/>
    <w:rPr>
      <w:sz w:val="20"/>
      <w:szCs w:val="20"/>
    </w:rPr>
  </w:style>
  <w:style w:type="character" w:customStyle="1" w:styleId="CommentTextChar">
    <w:name w:val="Comment Text Char"/>
    <w:basedOn w:val="DefaultParagraphFont"/>
    <w:link w:val="CommentText"/>
    <w:uiPriority w:val="99"/>
    <w:rsid w:val="005A25A0"/>
    <w:rPr>
      <w:sz w:val="20"/>
      <w:szCs w:val="20"/>
      <w:lang w:val="en-US"/>
    </w:rPr>
  </w:style>
  <w:style w:type="paragraph" w:styleId="CommentSubject">
    <w:name w:val="annotation subject"/>
    <w:basedOn w:val="CommentText"/>
    <w:next w:val="CommentText"/>
    <w:link w:val="CommentSubjectChar"/>
    <w:uiPriority w:val="99"/>
    <w:semiHidden/>
    <w:unhideWhenUsed/>
    <w:rsid w:val="005A25A0"/>
    <w:rPr>
      <w:b/>
      <w:bCs/>
    </w:rPr>
  </w:style>
  <w:style w:type="character" w:customStyle="1" w:styleId="CommentSubjectChar">
    <w:name w:val="Comment Subject Char"/>
    <w:basedOn w:val="CommentTextChar"/>
    <w:link w:val="CommentSubject"/>
    <w:uiPriority w:val="99"/>
    <w:semiHidden/>
    <w:rsid w:val="005A25A0"/>
    <w:rPr>
      <w:b/>
      <w:bCs/>
      <w:sz w:val="20"/>
      <w:szCs w:val="20"/>
      <w:lang w:val="en-US"/>
    </w:rPr>
  </w:style>
  <w:style w:type="paragraph" w:customStyle="1" w:styleId="TextBox2Title-IPR">
    <w:name w:val="TextBox2Title-IPR"/>
    <w:link w:val="TextBox2Title-IPRChar"/>
    <w:rsid w:val="005A25A0"/>
    <w:pPr>
      <w:pBdr>
        <w:top w:val="single" w:sz="8" w:space="1" w:color="B12732"/>
      </w:pBdr>
      <w:spacing w:after="120" w:line="240" w:lineRule="auto"/>
      <w:jc w:val="center"/>
    </w:pPr>
    <w:rPr>
      <w:rFonts w:ascii="Century Gothic" w:eastAsiaTheme="minorEastAsia" w:hAnsi="Century Gothic" w:cs="Times New Roman"/>
      <w:b/>
      <w:color w:val="6A6C67"/>
      <w:sz w:val="20"/>
      <w:szCs w:val="4"/>
      <w:lang w:val="en-US"/>
    </w:rPr>
  </w:style>
  <w:style w:type="character" w:customStyle="1" w:styleId="TextBox2Title-IPRChar">
    <w:name w:val="TextBox2Title-IPR Char"/>
    <w:basedOn w:val="DefaultParagraphFont"/>
    <w:link w:val="TextBox2Title-IPR"/>
    <w:rsid w:val="005A25A0"/>
    <w:rPr>
      <w:rFonts w:ascii="Century Gothic" w:eastAsiaTheme="minorEastAsia" w:hAnsi="Century Gothic" w:cs="Times New Roman"/>
      <w:b/>
      <w:color w:val="6A6C67"/>
      <w:sz w:val="20"/>
      <w:szCs w:val="4"/>
      <w:lang w:val="en-US"/>
    </w:rPr>
  </w:style>
  <w:style w:type="paragraph" w:styleId="TOC1">
    <w:name w:val="toc 1"/>
    <w:basedOn w:val="Normal"/>
    <w:next w:val="Normal"/>
    <w:autoRedefine/>
    <w:uiPriority w:val="39"/>
    <w:unhideWhenUsed/>
    <w:rsid w:val="005A25A0"/>
    <w:pPr>
      <w:tabs>
        <w:tab w:val="right" w:leader="dot" w:pos="9350"/>
      </w:tabs>
      <w:spacing w:after="120"/>
    </w:pPr>
  </w:style>
  <w:style w:type="paragraph" w:styleId="TOC2">
    <w:name w:val="toc 2"/>
    <w:basedOn w:val="Normal"/>
    <w:next w:val="Normal"/>
    <w:autoRedefine/>
    <w:uiPriority w:val="39"/>
    <w:unhideWhenUsed/>
    <w:rsid w:val="005A25A0"/>
    <w:pPr>
      <w:tabs>
        <w:tab w:val="left" w:pos="720"/>
        <w:tab w:val="left" w:pos="880"/>
        <w:tab w:val="right" w:leader="dot" w:pos="9350"/>
      </w:tabs>
      <w:spacing w:after="120"/>
      <w:ind w:left="432"/>
    </w:pPr>
  </w:style>
  <w:style w:type="paragraph" w:customStyle="1" w:styleId="TableTitle-IPR">
    <w:name w:val="TableTitle-IPR"/>
    <w:link w:val="TableTitle-IPRChar"/>
    <w:qFormat/>
    <w:rsid w:val="005A25A0"/>
    <w:pPr>
      <w:keepNext/>
      <w:spacing w:after="120" w:line="240" w:lineRule="auto"/>
    </w:pPr>
    <w:rPr>
      <w:rFonts w:ascii="Calibri" w:eastAsia="Times New Roman" w:hAnsi="Calibri" w:cs="Times New Roman"/>
      <w:b/>
      <w:i/>
      <w:szCs w:val="24"/>
      <w:lang w:val="en-US"/>
    </w:rPr>
  </w:style>
  <w:style w:type="paragraph" w:customStyle="1" w:styleId="Heading1-IPR">
    <w:name w:val="Heading1-IPR"/>
    <w:link w:val="Heading1-IPRChar"/>
    <w:qFormat/>
    <w:rsid w:val="005A25A0"/>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lang w:val="en-US"/>
    </w:rPr>
  </w:style>
  <w:style w:type="character" w:customStyle="1" w:styleId="TableTitle-IPRChar">
    <w:name w:val="TableTitle-IPR Char"/>
    <w:basedOn w:val="FigureTitle-IPRChar"/>
    <w:link w:val="TableTitle-IPR"/>
    <w:rsid w:val="005A25A0"/>
    <w:rPr>
      <w:rFonts w:ascii="Calibri" w:eastAsia="Times New Roman" w:hAnsi="Calibri" w:cs="Times New Roman"/>
      <w:b/>
      <w:i/>
      <w:szCs w:val="24"/>
      <w:lang w:val="en-US"/>
    </w:rPr>
  </w:style>
  <w:style w:type="paragraph" w:customStyle="1" w:styleId="FrontMatterHeading-IPR">
    <w:name w:val="FrontMatterHeading-IPR"/>
    <w:link w:val="FrontMatterHeading-IPRChar"/>
    <w:rsid w:val="005A25A0"/>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lang w:val="en-US"/>
    </w:rPr>
  </w:style>
  <w:style w:type="character" w:customStyle="1" w:styleId="Heading1-IPRChar">
    <w:name w:val="Heading1-IPR Char"/>
    <w:basedOn w:val="Heading1Char"/>
    <w:link w:val="Heading1-IPR"/>
    <w:rsid w:val="005A25A0"/>
    <w:rPr>
      <w:rFonts w:ascii="Candara" w:eastAsiaTheme="majorEastAsia" w:hAnsi="Candara" w:cstheme="majorBidi"/>
      <w:b/>
      <w:bCs/>
      <w:color w:val="B12732"/>
      <w:sz w:val="36"/>
      <w:szCs w:val="36"/>
      <w:lang w:val="en-US"/>
    </w:rPr>
  </w:style>
  <w:style w:type="character" w:customStyle="1" w:styleId="BodyText-IPRChar">
    <w:name w:val="BodyText-IPR Char"/>
    <w:basedOn w:val="DefaultParagraphFont"/>
    <w:link w:val="BodyText-IPR"/>
    <w:rsid w:val="005A25A0"/>
    <w:rPr>
      <w:rFonts w:ascii="Calibri" w:hAnsi="Calibri"/>
      <w:lang w:val="en-US"/>
    </w:rPr>
  </w:style>
  <w:style w:type="character" w:customStyle="1" w:styleId="FrontMatterHeading-IPRChar">
    <w:name w:val="FrontMatterHeading-IPR Char"/>
    <w:basedOn w:val="DefaultParagraphFont"/>
    <w:link w:val="FrontMatterHeading-IPR"/>
    <w:rsid w:val="005A25A0"/>
    <w:rPr>
      <w:rFonts w:ascii="Candara" w:eastAsiaTheme="majorEastAsia" w:hAnsi="Candara" w:cstheme="majorBidi"/>
      <w:b/>
      <w:bCs/>
      <w:color w:val="B12732"/>
      <w:sz w:val="36"/>
      <w:szCs w:val="36"/>
      <w:lang w:val="en-US"/>
    </w:rPr>
  </w:style>
  <w:style w:type="paragraph" w:styleId="TableofFigures">
    <w:name w:val="table of figures"/>
    <w:basedOn w:val="Normal"/>
    <w:next w:val="Normal"/>
    <w:uiPriority w:val="99"/>
    <w:unhideWhenUsed/>
    <w:rsid w:val="005A25A0"/>
    <w:pPr>
      <w:spacing w:after="0"/>
    </w:pPr>
  </w:style>
  <w:style w:type="character" w:customStyle="1" w:styleId="BodyCentered-IPRChar">
    <w:name w:val="BodyCentered-IPR Char"/>
    <w:basedOn w:val="DefaultParagraphFont"/>
    <w:link w:val="BodyCentered-IPR"/>
    <w:rsid w:val="005A25A0"/>
    <w:rPr>
      <w:rFonts w:ascii="Calibri" w:eastAsia="Times New Roman" w:hAnsi="Calibri" w:cs="Lucida Sans Unicode"/>
      <w:lang w:val="en-US"/>
    </w:rPr>
  </w:style>
  <w:style w:type="paragraph" w:styleId="FootnoteText">
    <w:name w:val="footnote text"/>
    <w:basedOn w:val="Normal"/>
    <w:link w:val="FootnoteTextChar"/>
    <w:uiPriority w:val="99"/>
    <w:unhideWhenUsed/>
    <w:rsid w:val="005A25A0"/>
    <w:pPr>
      <w:spacing w:after="0"/>
    </w:pPr>
    <w:rPr>
      <w:sz w:val="20"/>
      <w:szCs w:val="20"/>
    </w:rPr>
  </w:style>
  <w:style w:type="character" w:customStyle="1" w:styleId="FootnoteTextChar">
    <w:name w:val="Footnote Text Char"/>
    <w:basedOn w:val="DefaultParagraphFont"/>
    <w:link w:val="FootnoteText"/>
    <w:uiPriority w:val="99"/>
    <w:rsid w:val="005A25A0"/>
    <w:rPr>
      <w:sz w:val="20"/>
      <w:szCs w:val="20"/>
      <w:lang w:val="en-US"/>
    </w:rPr>
  </w:style>
  <w:style w:type="character" w:styleId="FootnoteReference">
    <w:name w:val="footnote reference"/>
    <w:basedOn w:val="DefaultParagraphFont"/>
    <w:uiPriority w:val="99"/>
    <w:unhideWhenUsed/>
    <w:rsid w:val="005A25A0"/>
    <w:rPr>
      <w:vertAlign w:val="superscript"/>
    </w:rPr>
  </w:style>
  <w:style w:type="paragraph" w:customStyle="1" w:styleId="FtnteBody-IPR">
    <w:name w:val="FtnteBody-IPR"/>
    <w:link w:val="FtnteBody-IPRChar"/>
    <w:qFormat/>
    <w:rsid w:val="005A25A0"/>
    <w:pPr>
      <w:spacing w:after="0" w:line="240" w:lineRule="auto"/>
    </w:pPr>
    <w:rPr>
      <w:rFonts w:ascii="Calibri" w:hAnsi="Calibri"/>
      <w:sz w:val="18"/>
      <w:szCs w:val="20"/>
      <w:lang w:val="en-US"/>
    </w:rPr>
  </w:style>
  <w:style w:type="paragraph" w:customStyle="1" w:styleId="References-IPR">
    <w:name w:val="References-IPR"/>
    <w:link w:val="References-IPRChar"/>
    <w:qFormat/>
    <w:rsid w:val="005A25A0"/>
    <w:pPr>
      <w:spacing w:after="240" w:line="240" w:lineRule="auto"/>
      <w:ind w:left="288" w:hanging="288"/>
    </w:pPr>
    <w:rPr>
      <w:rFonts w:ascii="Calibri" w:eastAsia="Times New Roman" w:hAnsi="Calibri" w:cs="Times New Roman"/>
      <w:lang w:val="en-US"/>
    </w:rPr>
  </w:style>
  <w:style w:type="character" w:customStyle="1" w:styleId="FtnteBody-IPRChar">
    <w:name w:val="FtnteBody-IPR Char"/>
    <w:basedOn w:val="FootnoteTextChar"/>
    <w:link w:val="FtnteBody-IPR"/>
    <w:rsid w:val="005A25A0"/>
    <w:rPr>
      <w:rFonts w:ascii="Calibri" w:hAnsi="Calibri"/>
      <w:sz w:val="18"/>
      <w:szCs w:val="20"/>
      <w:lang w:val="en-US"/>
    </w:rPr>
  </w:style>
  <w:style w:type="character" w:customStyle="1" w:styleId="References-IPRChar">
    <w:name w:val="References-IPR Char"/>
    <w:basedOn w:val="DefaultParagraphFont"/>
    <w:link w:val="References-IPR"/>
    <w:rsid w:val="005A25A0"/>
    <w:rPr>
      <w:rFonts w:ascii="Calibri" w:eastAsia="Times New Roman" w:hAnsi="Calibri" w:cs="Times New Roman"/>
      <w:lang w:val="en-US"/>
    </w:rPr>
  </w:style>
  <w:style w:type="paragraph" w:customStyle="1" w:styleId="TextBoxBody-IPR">
    <w:name w:val="TextBoxBody-IPR"/>
    <w:link w:val="TextBoxBody-IPRChar"/>
    <w:rsid w:val="005A25A0"/>
    <w:pPr>
      <w:spacing w:after="0" w:line="276" w:lineRule="auto"/>
    </w:pPr>
    <w:rPr>
      <w:rFonts w:ascii="Calibri" w:hAnsi="Calibri"/>
      <w:sz w:val="20"/>
      <w:lang w:val="en-US"/>
    </w:rPr>
  </w:style>
  <w:style w:type="numbering" w:customStyle="1" w:styleId="Numbers12ptCalibriList">
    <w:name w:val="Numbers12ptCalibriList"/>
    <w:uiPriority w:val="99"/>
    <w:rsid w:val="005A25A0"/>
    <w:pPr>
      <w:numPr>
        <w:numId w:val="3"/>
      </w:numPr>
    </w:pPr>
  </w:style>
  <w:style w:type="numbering" w:customStyle="1" w:styleId="BulletListStyleRed-IPR">
    <w:name w:val="BulletListStyleRed-IPR"/>
    <w:uiPriority w:val="99"/>
    <w:rsid w:val="005A25A0"/>
    <w:pPr>
      <w:numPr>
        <w:numId w:val="11"/>
      </w:numPr>
    </w:pPr>
  </w:style>
  <w:style w:type="character" w:customStyle="1" w:styleId="Heading4NoLetter-IPRChar">
    <w:name w:val="Heading4NoLetter-IPR Char"/>
    <w:basedOn w:val="DefaultParagraphFont"/>
    <w:link w:val="Heading4NoLetter-IPR"/>
    <w:rsid w:val="005A25A0"/>
    <w:rPr>
      <w:rFonts w:ascii="Candara" w:hAnsi="Candara"/>
      <w:b/>
      <w:i/>
      <w:color w:val="B12732"/>
      <w:lang w:val="en-US"/>
    </w:rPr>
  </w:style>
  <w:style w:type="numbering" w:customStyle="1" w:styleId="TableBlackBulletsList-IPR">
    <w:name w:val="TableBlackBulletsList-IPR"/>
    <w:uiPriority w:val="99"/>
    <w:rsid w:val="005A25A0"/>
    <w:pPr>
      <w:numPr>
        <w:numId w:val="4"/>
      </w:numPr>
    </w:pPr>
  </w:style>
  <w:style w:type="paragraph" w:customStyle="1" w:styleId="TableRedBullets-IPR">
    <w:name w:val="TableRedBullets-IPR"/>
    <w:link w:val="TableRedBullets-IPRChar"/>
    <w:qFormat/>
    <w:rsid w:val="005A25A0"/>
    <w:pPr>
      <w:numPr>
        <w:numId w:val="7"/>
      </w:numPr>
      <w:spacing w:after="0" w:line="240" w:lineRule="auto"/>
    </w:pPr>
    <w:rPr>
      <w:rFonts w:ascii="Calibri" w:hAnsi="Calibri" w:cstheme="minorHAnsi"/>
      <w:sz w:val="20"/>
      <w:szCs w:val="20"/>
      <w:lang w:val="en-US"/>
    </w:rPr>
  </w:style>
  <w:style w:type="character" w:customStyle="1" w:styleId="TableRedBullets-IPRChar">
    <w:name w:val="TableRedBullets-IPR Char"/>
    <w:basedOn w:val="DefaultParagraphFont"/>
    <w:link w:val="TableRedBullets-IPR"/>
    <w:rsid w:val="005A25A0"/>
    <w:rPr>
      <w:rFonts w:ascii="Calibri" w:hAnsi="Calibri" w:cstheme="minorHAnsi"/>
      <w:sz w:val="20"/>
      <w:szCs w:val="20"/>
      <w:lang w:val="en-US"/>
    </w:rPr>
  </w:style>
  <w:style w:type="numbering" w:customStyle="1" w:styleId="TableRedBulletsList-IPR">
    <w:name w:val="TableRedBulletsList-IPR"/>
    <w:uiPriority w:val="99"/>
    <w:rsid w:val="005A25A0"/>
    <w:pPr>
      <w:numPr>
        <w:numId w:val="6"/>
      </w:numPr>
    </w:pPr>
  </w:style>
  <w:style w:type="paragraph" w:customStyle="1" w:styleId="TableRedNumbers-IPR">
    <w:name w:val="TableRedNumbers-IPR"/>
    <w:link w:val="TableRedNumbers-IPRChar"/>
    <w:qFormat/>
    <w:rsid w:val="005A25A0"/>
    <w:pPr>
      <w:numPr>
        <w:numId w:val="9"/>
      </w:numPr>
      <w:spacing w:after="0" w:line="240" w:lineRule="auto"/>
      <w:contextualSpacing/>
    </w:pPr>
    <w:rPr>
      <w:rFonts w:ascii="Calibri" w:hAnsi="Calibri" w:cstheme="minorHAnsi"/>
      <w:sz w:val="20"/>
      <w:szCs w:val="20"/>
      <w:lang w:val="en-US"/>
    </w:rPr>
  </w:style>
  <w:style w:type="character" w:customStyle="1" w:styleId="TableRedNumbers-IPRChar">
    <w:name w:val="TableRedNumbers-IPR Char"/>
    <w:basedOn w:val="DefaultParagraphFont"/>
    <w:link w:val="TableRedNumbers-IPR"/>
    <w:rsid w:val="005A25A0"/>
    <w:rPr>
      <w:rFonts w:ascii="Calibri" w:hAnsi="Calibri" w:cstheme="minorHAnsi"/>
      <w:sz w:val="20"/>
      <w:szCs w:val="20"/>
      <w:lang w:val="en-US"/>
    </w:rPr>
  </w:style>
  <w:style w:type="numbering" w:customStyle="1" w:styleId="TableRedNumbersList-IPR">
    <w:name w:val="TableRedNumbersList-IPR"/>
    <w:uiPriority w:val="99"/>
    <w:rsid w:val="005A25A0"/>
    <w:pPr>
      <w:numPr>
        <w:numId w:val="8"/>
      </w:numPr>
    </w:pPr>
  </w:style>
  <w:style w:type="character" w:customStyle="1" w:styleId="StyleCommentReference">
    <w:name w:val="Style Comment Reference +"/>
    <w:rsid w:val="005A25A0"/>
  </w:style>
  <w:style w:type="paragraph" w:customStyle="1" w:styleId="DocTitle-IPR">
    <w:name w:val="DocTitle-IPR"/>
    <w:link w:val="DocTitle-IPRChar"/>
    <w:rsid w:val="005A25A0"/>
    <w:pPr>
      <w:spacing w:before="1320" w:after="200" w:line="240" w:lineRule="auto"/>
      <w:jc w:val="center"/>
    </w:pPr>
    <w:rPr>
      <w:rFonts w:ascii="Candara" w:eastAsiaTheme="majorEastAsia" w:hAnsi="Candara" w:cstheme="majorBidi"/>
      <w:b/>
      <w:sz w:val="52"/>
      <w:szCs w:val="52"/>
      <w:lang w:val="en-US"/>
    </w:rPr>
  </w:style>
  <w:style w:type="paragraph" w:customStyle="1" w:styleId="DocSubtitle-IPR">
    <w:name w:val="DocSubtitle-IPR"/>
    <w:link w:val="DocSubtitle-IPRChar"/>
    <w:rsid w:val="005A25A0"/>
    <w:pPr>
      <w:spacing w:after="1320" w:line="240" w:lineRule="auto"/>
      <w:jc w:val="center"/>
    </w:pPr>
    <w:rPr>
      <w:rFonts w:ascii="Candara" w:eastAsiaTheme="majorEastAsia" w:hAnsi="Candara" w:cstheme="majorBidi"/>
      <w:b/>
      <w:bCs/>
      <w:sz w:val="36"/>
      <w:szCs w:val="52"/>
      <w:lang w:val="en-US"/>
    </w:rPr>
  </w:style>
  <w:style w:type="character" w:customStyle="1" w:styleId="TextBoxBody-IPRChar">
    <w:name w:val="TextBoxBody-IPR Char"/>
    <w:basedOn w:val="BodyText-IPRChar"/>
    <w:link w:val="TextBoxBody-IPR"/>
    <w:rsid w:val="005A25A0"/>
    <w:rPr>
      <w:rFonts w:ascii="Calibri" w:hAnsi="Calibri"/>
      <w:sz w:val="20"/>
      <w:lang w:val="en-US"/>
    </w:rPr>
  </w:style>
  <w:style w:type="character" w:customStyle="1" w:styleId="DocTitle-IPRChar">
    <w:name w:val="DocTitle-IPR Char"/>
    <w:basedOn w:val="DefaultParagraphFont"/>
    <w:link w:val="DocTitle-IPR"/>
    <w:rsid w:val="005A25A0"/>
    <w:rPr>
      <w:rFonts w:ascii="Candara" w:eastAsiaTheme="majorEastAsia" w:hAnsi="Candara" w:cstheme="majorBidi"/>
      <w:b/>
      <w:sz w:val="52"/>
      <w:szCs w:val="52"/>
      <w:lang w:val="en-US"/>
    </w:rPr>
  </w:style>
  <w:style w:type="character" w:customStyle="1" w:styleId="DocSubtitle-IPRChar">
    <w:name w:val="DocSubtitle-IPR Char"/>
    <w:basedOn w:val="DefaultParagraphFont"/>
    <w:link w:val="DocSubtitle-IPR"/>
    <w:rsid w:val="005A25A0"/>
    <w:rPr>
      <w:rFonts w:ascii="Candara" w:eastAsiaTheme="majorEastAsia" w:hAnsi="Candara" w:cstheme="majorBidi"/>
      <w:b/>
      <w:bCs/>
      <w:sz w:val="36"/>
      <w:szCs w:val="52"/>
      <w:lang w:val="en-US"/>
    </w:rPr>
  </w:style>
  <w:style w:type="paragraph" w:customStyle="1" w:styleId="SubbulletRedLevelTwo">
    <w:name w:val="SubbulletRedLevelTwo"/>
    <w:basedOn w:val="BulletsRed-IPR"/>
    <w:link w:val="SubbulletRedLevelTwoChar"/>
    <w:qFormat/>
    <w:rsid w:val="005A25A0"/>
    <w:pPr>
      <w:numPr>
        <w:ilvl w:val="1"/>
      </w:numPr>
    </w:pPr>
  </w:style>
  <w:style w:type="paragraph" w:customStyle="1" w:styleId="SubbulletRedLevelThree">
    <w:name w:val="SubbulletRedLevelThree"/>
    <w:basedOn w:val="SubbulletRedLevelTwo"/>
    <w:link w:val="SubbulletRedLevelThreeChar"/>
    <w:qFormat/>
    <w:rsid w:val="005A25A0"/>
    <w:pPr>
      <w:numPr>
        <w:ilvl w:val="2"/>
      </w:numPr>
    </w:pPr>
  </w:style>
  <w:style w:type="character" w:customStyle="1" w:styleId="SubbulletRedLevelTwoChar">
    <w:name w:val="SubbulletRedLevelTwo Char"/>
    <w:basedOn w:val="BulletsRed-IPRChar"/>
    <w:link w:val="SubbulletRedLevelTwo"/>
    <w:rsid w:val="005A25A0"/>
    <w:rPr>
      <w:rFonts w:ascii="Calibri" w:hAnsi="Calibri" w:cs="Times New Roman"/>
      <w:szCs w:val="24"/>
      <w:lang w:val="en-US"/>
    </w:rPr>
  </w:style>
  <w:style w:type="character" w:customStyle="1" w:styleId="SubbulletRedLevelThreeChar">
    <w:name w:val="SubbulletRedLevelThree Char"/>
    <w:basedOn w:val="SubbulletRedLevelTwoChar"/>
    <w:link w:val="SubbulletRedLevelThree"/>
    <w:rsid w:val="005A25A0"/>
    <w:rPr>
      <w:rFonts w:ascii="Calibri" w:hAnsi="Calibri" w:cs="Times New Roman"/>
      <w:szCs w:val="24"/>
      <w:lang w:val="en-US"/>
    </w:rPr>
  </w:style>
  <w:style w:type="table" w:customStyle="1" w:styleId="PlainTable11">
    <w:name w:val="Plain Table 11"/>
    <w:basedOn w:val="TableNormal"/>
    <w:uiPriority w:val="41"/>
    <w:rsid w:val="005A25A0"/>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
    <w:name w:val="EndNote Bibliography"/>
    <w:basedOn w:val="Normal"/>
    <w:link w:val="EndNoteBibliographyChar"/>
    <w:rsid w:val="005A25A0"/>
    <w:pPr>
      <w:spacing w:after="160"/>
    </w:pPr>
    <w:rPr>
      <w:rFonts w:ascii="Calibri" w:hAnsi="Calibri" w:cs="Calibri"/>
      <w:noProof/>
    </w:rPr>
  </w:style>
  <w:style w:type="character" w:customStyle="1" w:styleId="EndNoteBibliographyChar">
    <w:name w:val="EndNote Bibliography Char"/>
    <w:basedOn w:val="DefaultParagraphFont"/>
    <w:link w:val="EndNoteBibliography"/>
    <w:rsid w:val="005A25A0"/>
    <w:rPr>
      <w:rFonts w:ascii="Calibri" w:hAnsi="Calibri" w:cs="Calibri"/>
      <w:noProof/>
      <w:lang w:val="en-US"/>
    </w:rPr>
  </w:style>
  <w:style w:type="character" w:customStyle="1" w:styleId="UnresolvedMention1">
    <w:name w:val="Unresolved Mention1"/>
    <w:basedOn w:val="DefaultParagraphFont"/>
    <w:uiPriority w:val="99"/>
    <w:semiHidden/>
    <w:unhideWhenUsed/>
    <w:rsid w:val="005A25A0"/>
    <w:rPr>
      <w:color w:val="605E5C"/>
      <w:shd w:val="clear" w:color="auto" w:fill="E1DFDD"/>
    </w:rPr>
  </w:style>
  <w:style w:type="paragraph" w:customStyle="1" w:styleId="FigureTItle">
    <w:name w:val="FigureTItle"/>
    <w:basedOn w:val="BodyText-IPR"/>
    <w:link w:val="FigureTItleChar"/>
    <w:rsid w:val="005A25A0"/>
    <w:pPr>
      <w:spacing w:after="120"/>
    </w:pPr>
    <w:rPr>
      <w:b/>
      <w:i/>
    </w:rPr>
  </w:style>
  <w:style w:type="paragraph" w:styleId="Revision">
    <w:name w:val="Revision"/>
    <w:hidden/>
    <w:uiPriority w:val="99"/>
    <w:semiHidden/>
    <w:rsid w:val="005A25A0"/>
    <w:pPr>
      <w:spacing w:after="0" w:line="240" w:lineRule="auto"/>
    </w:pPr>
    <w:rPr>
      <w:lang w:val="en-US"/>
    </w:rPr>
  </w:style>
  <w:style w:type="character" w:customStyle="1" w:styleId="FigureTItleChar">
    <w:name w:val="FigureTItle Char"/>
    <w:basedOn w:val="BodyText-IPRChar"/>
    <w:link w:val="FigureTItle"/>
    <w:rsid w:val="005A25A0"/>
    <w:rPr>
      <w:rFonts w:ascii="Calibri" w:hAnsi="Calibri"/>
      <w:b/>
      <w:i/>
      <w:lang w:val="en-US"/>
    </w:rPr>
  </w:style>
  <w:style w:type="paragraph" w:customStyle="1" w:styleId="TOCH2">
    <w:name w:val="TOCH2"/>
    <w:basedOn w:val="Heading2-IPR"/>
    <w:link w:val="TOCH2Char"/>
    <w:qFormat/>
    <w:rsid w:val="005A25A0"/>
    <w:pPr>
      <w:numPr>
        <w:numId w:val="0"/>
      </w:numPr>
    </w:pPr>
  </w:style>
  <w:style w:type="character" w:customStyle="1" w:styleId="TOCH2Char">
    <w:name w:val="TOCH2 Char"/>
    <w:basedOn w:val="Heading2-IPRChar"/>
    <w:link w:val="TOCH2"/>
    <w:rsid w:val="005A25A0"/>
    <w:rPr>
      <w:rFonts w:ascii="Candara" w:eastAsiaTheme="majorEastAsia" w:hAnsi="Candara" w:cstheme="majorBidi"/>
      <w:b/>
      <w:bCs/>
      <w:color w:val="B12732"/>
      <w:sz w:val="28"/>
      <w:szCs w:val="26"/>
      <w:lang w:val="en-US"/>
    </w:rPr>
  </w:style>
  <w:style w:type="character" w:customStyle="1" w:styleId="UnresolvedMention2">
    <w:name w:val="Unresolved Mention2"/>
    <w:basedOn w:val="DefaultParagraphFont"/>
    <w:uiPriority w:val="99"/>
    <w:semiHidden/>
    <w:unhideWhenUsed/>
    <w:rsid w:val="005A25A0"/>
    <w:rPr>
      <w:color w:val="605E5C"/>
      <w:shd w:val="clear" w:color="auto" w:fill="E1DFDD"/>
    </w:rPr>
  </w:style>
  <w:style w:type="paragraph" w:styleId="HTMLPreformatted">
    <w:name w:val="HTML Preformatted"/>
    <w:basedOn w:val="Normal"/>
    <w:link w:val="HTMLPreformattedChar"/>
    <w:uiPriority w:val="99"/>
    <w:unhideWhenUsed/>
    <w:rsid w:val="005A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25A0"/>
    <w:rPr>
      <w:rFonts w:ascii="Courier New" w:eastAsia="Times New Roman" w:hAnsi="Courier New" w:cs="Courier New"/>
      <w:sz w:val="20"/>
      <w:szCs w:val="20"/>
      <w:lang w:val="en-US"/>
    </w:rPr>
  </w:style>
  <w:style w:type="paragraph" w:styleId="ListParagraph">
    <w:name w:val="List Paragraph"/>
    <w:basedOn w:val="Normal"/>
    <w:uiPriority w:val="34"/>
    <w:qFormat/>
    <w:rsid w:val="005A25A0"/>
    <w:pPr>
      <w:spacing w:after="200" w:line="276" w:lineRule="auto"/>
      <w:ind w:left="720"/>
      <w:contextualSpacing/>
    </w:pPr>
  </w:style>
  <w:style w:type="character" w:styleId="BookTitle">
    <w:name w:val="Book Title"/>
    <w:uiPriority w:val="33"/>
    <w:qFormat/>
    <w:rsid w:val="005A25A0"/>
    <w:rPr>
      <w:rFonts w:asciiTheme="minorHAnsi" w:hAnsiTheme="minorHAnsi"/>
      <w:color w:val="auto"/>
      <w:sz w:val="22"/>
      <w:szCs w:val="22"/>
    </w:rPr>
  </w:style>
  <w:style w:type="character" w:styleId="FollowedHyperlink">
    <w:name w:val="FollowedHyperlink"/>
    <w:basedOn w:val="DefaultParagraphFont"/>
    <w:uiPriority w:val="99"/>
    <w:semiHidden/>
    <w:unhideWhenUsed/>
    <w:rsid w:val="005A25A0"/>
    <w:rPr>
      <w:color w:val="954F72" w:themeColor="followedHyperlink"/>
      <w:u w:val="single"/>
    </w:rPr>
  </w:style>
  <w:style w:type="paragraph" w:styleId="EndnoteText">
    <w:name w:val="endnote text"/>
    <w:basedOn w:val="Normal"/>
    <w:link w:val="EndnoteTextChar"/>
    <w:uiPriority w:val="99"/>
    <w:semiHidden/>
    <w:unhideWhenUsed/>
    <w:rsid w:val="005A25A0"/>
    <w:pPr>
      <w:spacing w:after="0"/>
    </w:pPr>
    <w:rPr>
      <w:sz w:val="20"/>
      <w:szCs w:val="20"/>
    </w:rPr>
  </w:style>
  <w:style w:type="character" w:customStyle="1" w:styleId="EndnoteTextChar">
    <w:name w:val="Endnote Text Char"/>
    <w:basedOn w:val="DefaultParagraphFont"/>
    <w:link w:val="EndnoteText"/>
    <w:uiPriority w:val="99"/>
    <w:semiHidden/>
    <w:rsid w:val="005A25A0"/>
    <w:rPr>
      <w:sz w:val="20"/>
      <w:szCs w:val="20"/>
      <w:lang w:val="en-US"/>
    </w:rPr>
  </w:style>
  <w:style w:type="character" w:styleId="EndnoteReference">
    <w:name w:val="endnote reference"/>
    <w:basedOn w:val="DefaultParagraphFont"/>
    <w:uiPriority w:val="99"/>
    <w:semiHidden/>
    <w:unhideWhenUsed/>
    <w:rsid w:val="005A25A0"/>
    <w:rPr>
      <w:vertAlign w:val="superscript"/>
    </w:rPr>
  </w:style>
  <w:style w:type="paragraph" w:customStyle="1" w:styleId="AppTableTitle-IPR">
    <w:name w:val="AppTableTitle-IPR"/>
    <w:basedOn w:val="TableTitle-IPR"/>
    <w:link w:val="AppTableTitle-IPRChar"/>
    <w:qFormat/>
    <w:rsid w:val="005A25A0"/>
  </w:style>
  <w:style w:type="character" w:customStyle="1" w:styleId="AppTableTitle-IPRChar">
    <w:name w:val="AppTableTitle-IPR Char"/>
    <w:basedOn w:val="TableTitle-IPRChar"/>
    <w:link w:val="AppTableTitle-IPR"/>
    <w:rsid w:val="005A25A0"/>
    <w:rPr>
      <w:rFonts w:ascii="Calibri" w:eastAsia="Times New Roman" w:hAnsi="Calibri" w:cs="Times New Roman"/>
      <w:b/>
      <w:i/>
      <w:szCs w:val="24"/>
      <w:lang w:val="en-US"/>
    </w:rPr>
  </w:style>
  <w:style w:type="table" w:customStyle="1" w:styleId="InsightTable1">
    <w:name w:val="Insight Table1"/>
    <w:basedOn w:val="TableNormal"/>
    <w:uiPriority w:val="99"/>
    <w:rsid w:val="005A25A0"/>
    <w:pPr>
      <w:spacing w:after="0" w:line="240" w:lineRule="auto"/>
    </w:pPr>
    <w:rPr>
      <w:rFonts w:ascii="Calibri" w:hAnsi="Calibri" w:cs="Times New Roman"/>
      <w:sz w:val="20"/>
      <w:lang w:val="en-US"/>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Bahnschrift SemiLight SemiConde" w:hAnsi="Bahnschrift SemiLight SemiCon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
    <w:name w:val="Insight Table2"/>
    <w:basedOn w:val="TableNormal"/>
    <w:uiPriority w:val="99"/>
    <w:rsid w:val="005A25A0"/>
    <w:pPr>
      <w:spacing w:after="0" w:line="240" w:lineRule="auto"/>
    </w:pPr>
    <w:rPr>
      <w:rFonts w:ascii="Calibri" w:hAnsi="Calibri" w:cs="Times New Roman"/>
      <w:sz w:val="20"/>
      <w:lang w:val="en-US"/>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Bahnschrift SemiLight SemiConde" w:hAnsi="Bahnschrift SemiLight SemiCon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
    <w:name w:val="Insight Table3"/>
    <w:basedOn w:val="TableNormal"/>
    <w:uiPriority w:val="99"/>
    <w:rsid w:val="005A25A0"/>
    <w:pPr>
      <w:spacing w:after="0" w:line="240" w:lineRule="auto"/>
    </w:pPr>
    <w:rPr>
      <w:rFonts w:ascii="Calibri" w:hAnsi="Calibri" w:cs="Times New Roman"/>
      <w:sz w:val="20"/>
      <w:lang w:val="en-US"/>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Bahnschrift SemiLight SemiConde" w:hAnsi="Bahnschrift SemiLight SemiConde"/>
        <w:sz w:val="20"/>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citation-volume-pages">
    <w:name w:val="citation-volume-pages"/>
    <w:basedOn w:val="DefaultParagraphFont"/>
    <w:rsid w:val="005A25A0"/>
  </w:style>
  <w:style w:type="character" w:styleId="UnresolvedMention">
    <w:name w:val="Unresolved Mention"/>
    <w:basedOn w:val="DefaultParagraphFont"/>
    <w:uiPriority w:val="99"/>
    <w:semiHidden/>
    <w:unhideWhenUsed/>
    <w:rsid w:val="005A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fred.stlouisfed.org/series/DHLTRG3A086NB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18835</Words>
  <Characters>107365</Characters>
  <Application>Microsoft Office Word</Application>
  <DocSecurity>0</DocSecurity>
  <Lines>894</Lines>
  <Paragraphs>251</Paragraphs>
  <ScaleCrop>false</ScaleCrop>
  <Company/>
  <LinksUpToDate>false</LinksUpToDate>
  <CharactersWithSpaces>125949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Dormer</dc:creator>
  <cp:keywords/>
  <dc:description/>
  <cp:lastModifiedBy>Laura Dormer</cp:lastModifiedBy>
  <cp:revision>1</cp:revision>
  <dcterms:created xsi:type="dcterms:W3CDTF">2021-11-26T14:04:00Z</dcterms:created>
  <dcterms:modified xsi:type="dcterms:W3CDTF">2021-11-26T14:04:00Z</dcterms:modified>
</cp:coreProperties>
</file>