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ADB" w:rsidRDefault="00FD6ADB" w:rsidP="00FD6ADB">
      <w:pPr>
        <w:suppressLineNumbers/>
        <w:tabs>
          <w:tab w:val="left" w:pos="3330"/>
        </w:tabs>
        <w:spacing w:after="200" w:line="480" w:lineRule="auto"/>
        <w:ind w:right="-8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6ADB">
        <w:rPr>
          <w:rFonts w:ascii="Times New Roman" w:eastAsia="Times New Roman" w:hAnsi="Times New Roman" w:cs="Times New Roman"/>
          <w:b/>
          <w:bCs/>
          <w:sz w:val="28"/>
          <w:szCs w:val="28"/>
        </w:rPr>
        <w:t>Supplementary materials</w:t>
      </w:r>
    </w:p>
    <w:p w:rsidR="00FD6ADB" w:rsidRPr="00FD6ADB" w:rsidRDefault="00FD6ADB" w:rsidP="00712B7C">
      <w:pPr>
        <w:suppressLineNumbers/>
        <w:tabs>
          <w:tab w:val="left" w:pos="3330"/>
        </w:tabs>
        <w:spacing w:after="200" w:line="480" w:lineRule="auto"/>
        <w:ind w:right="-8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6ADB">
        <w:rPr>
          <w:rFonts w:ascii="Times New Roman" w:eastAsia="Times New Roman" w:hAnsi="Times New Roman" w:cs="Times New Roman"/>
          <w:b/>
          <w:bCs/>
          <w:sz w:val="28"/>
          <w:szCs w:val="28"/>
        </w:rPr>
        <w:t>Determination of favipiravir in human plasma using homogeneous liquid-liquid micro</w:t>
      </w:r>
      <w:r w:rsidR="00712B7C">
        <w:rPr>
          <w:rFonts w:ascii="Times New Roman" w:eastAsia="Times New Roman" w:hAnsi="Times New Roman" w:cs="Times New Roman"/>
          <w:b/>
          <w:bCs/>
          <w:sz w:val="28"/>
          <w:szCs w:val="28"/>
        </w:rPr>
        <w:t>extraction followed by HPLC/UV</w:t>
      </w:r>
    </w:p>
    <w:p w:rsidR="006B29B7" w:rsidRPr="006B29B7" w:rsidRDefault="006B29B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B29B7" w:rsidRDefault="006B29B7">
      <w:r w:rsidRPr="006B29B7">
        <w:rPr>
          <w:noProof/>
        </w:rPr>
        <w:drawing>
          <wp:inline distT="0" distB="0" distL="0" distR="0" wp14:anchorId="3200E93A" wp14:editId="68001349">
            <wp:extent cx="2478856" cy="1920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885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6B29B7">
        <w:rPr>
          <w:noProof/>
        </w:rPr>
        <w:drawing>
          <wp:inline distT="0" distB="0" distL="0" distR="0" wp14:anchorId="24AA1D5A" wp14:editId="23372445">
            <wp:extent cx="2478856" cy="1920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885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DB" w:rsidRPr="00FD6ADB" w:rsidRDefault="00FD6ADB" w:rsidP="006B29B7">
      <w:pPr>
        <w:rPr>
          <w:rFonts w:asciiTheme="majorBidi" w:hAnsiTheme="majorBidi" w:cstheme="majorBidi"/>
          <w:sz w:val="24"/>
          <w:szCs w:val="24"/>
        </w:rPr>
      </w:pPr>
      <w:r w:rsidRPr="00FD6ADB">
        <w:rPr>
          <w:rFonts w:asciiTheme="majorBidi" w:hAnsiTheme="majorBidi" w:cstheme="majorBidi"/>
          <w:b/>
          <w:bCs/>
          <w:sz w:val="24"/>
          <w:szCs w:val="24"/>
        </w:rPr>
        <w:t xml:space="preserve">Figure S1: </w:t>
      </w:r>
      <w:r w:rsidRPr="00FD6ADB">
        <w:rPr>
          <w:rFonts w:asciiTheme="majorBidi" w:hAnsiTheme="majorBidi" w:cstheme="majorBidi"/>
          <w:sz w:val="24"/>
          <w:szCs w:val="24"/>
        </w:rPr>
        <w:t>Light microscope images of SULLME using acetonitrile (left) and THF (right)</w:t>
      </w:r>
    </w:p>
    <w:p w:rsidR="006B29B7" w:rsidRDefault="006B29B7" w:rsidP="006B29B7">
      <w:pPr>
        <w:rPr>
          <w:rFonts w:asciiTheme="majorBidi" w:hAnsiTheme="majorBidi" w:cstheme="majorBidi"/>
          <w:b/>
          <w:bCs/>
          <w:sz w:val="20"/>
          <w:szCs w:val="20"/>
        </w:rPr>
      </w:pPr>
    </w:p>
    <w:p w:rsidR="006B29B7" w:rsidRDefault="006B29B7" w:rsidP="006B29B7">
      <w:pPr>
        <w:rPr>
          <w:rFonts w:asciiTheme="majorBidi" w:hAnsiTheme="majorBidi" w:cstheme="majorBidi"/>
          <w:b/>
          <w:bCs/>
          <w:sz w:val="20"/>
          <w:szCs w:val="20"/>
        </w:rPr>
      </w:pPr>
    </w:p>
    <w:p w:rsidR="006B29B7" w:rsidRPr="006B29B7" w:rsidRDefault="006B29B7" w:rsidP="006B29B7">
      <w:pPr>
        <w:rPr>
          <w:rFonts w:asciiTheme="majorBidi" w:hAnsiTheme="majorBidi" w:cstheme="majorBidi"/>
          <w:b/>
          <w:bCs/>
          <w:sz w:val="20"/>
          <w:szCs w:val="20"/>
        </w:rPr>
      </w:pPr>
    </w:p>
    <w:p w:rsidR="006B29B7" w:rsidRDefault="006B29B7" w:rsidP="006B29B7">
      <w:pPr>
        <w:tabs>
          <w:tab w:val="center" w:pos="4320"/>
        </w:tabs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02C2FEE8" wp14:editId="0DB9CBD9">
            <wp:extent cx="4428490" cy="2472193"/>
            <wp:effectExtent l="0" t="0" r="10160" b="4445"/>
            <wp:docPr id="3" name="Chart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270D18B-C676-4E1B-AF61-DD1F3718B7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B29B7" w:rsidRDefault="00FD6ADB" w:rsidP="00FD6ADB">
      <w:pPr>
        <w:tabs>
          <w:tab w:val="center" w:pos="432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S2: </w:t>
      </w:r>
      <w:r w:rsidRPr="00FD6ADB">
        <w:rPr>
          <w:rFonts w:asciiTheme="majorBidi" w:hAnsiTheme="majorBidi" w:cstheme="majorBidi"/>
          <w:sz w:val="24"/>
          <w:szCs w:val="24"/>
        </w:rPr>
        <w:t>Effect of sugar type on the extraction efficiency of SULLME of favipiravir</w:t>
      </w:r>
      <w:r w:rsidR="00393BCA">
        <w:rPr>
          <w:rFonts w:asciiTheme="majorBidi" w:hAnsiTheme="majorBidi" w:cstheme="majorBidi"/>
          <w:sz w:val="24"/>
          <w:szCs w:val="24"/>
        </w:rPr>
        <w:t>.</w:t>
      </w:r>
    </w:p>
    <w:p w:rsidR="00393BCA" w:rsidRDefault="00393BC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984C56" w:rsidRDefault="00984C56" w:rsidP="00984C5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800475" cy="3076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5" t="13194" r="18436" b="49421"/>
                    <a:stretch/>
                  </pic:blipFill>
                  <pic:spPr bwMode="auto">
                    <a:xfrm>
                      <a:off x="0" y="0"/>
                      <a:ext cx="38004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56" w:rsidRPr="001F0CEB" w:rsidRDefault="00984C56" w:rsidP="00984C56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S3</w:t>
      </w:r>
      <w:r w:rsidRPr="001F0CEB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>Chromatogram of blank plasma showing no interfering peaks at the retention periods</w:t>
      </w:r>
      <w:r w:rsidRPr="001F0CE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of</w:t>
      </w:r>
      <w:r w:rsidRPr="001F0CEB">
        <w:rPr>
          <w:rFonts w:asciiTheme="majorBidi" w:hAnsiTheme="majorBidi" w:cstheme="majorBidi"/>
          <w:sz w:val="24"/>
          <w:szCs w:val="24"/>
        </w:rPr>
        <w:t xml:space="preserve"> favipiravir </w:t>
      </w:r>
      <w:r>
        <w:rPr>
          <w:rFonts w:asciiTheme="majorBidi" w:hAnsiTheme="majorBidi" w:cstheme="majorBidi"/>
          <w:sz w:val="24"/>
          <w:szCs w:val="24"/>
        </w:rPr>
        <w:t xml:space="preserve">and propranolol. </w:t>
      </w:r>
      <w:r w:rsidRPr="001F0CEB">
        <w:rPr>
          <w:rFonts w:asciiTheme="majorBidi" w:hAnsiTheme="majorBidi" w:cstheme="majorBidi"/>
          <w:sz w:val="24"/>
          <w:szCs w:val="24"/>
        </w:rPr>
        <w:t xml:space="preserve">Chromatographic conditions: Column: </w:t>
      </w:r>
      <w:proofErr w:type="spellStart"/>
      <w:r w:rsidRPr="001F0CEB">
        <w:rPr>
          <w:rFonts w:asciiTheme="majorBidi" w:hAnsiTheme="majorBidi" w:cstheme="majorBidi"/>
          <w:sz w:val="24"/>
          <w:szCs w:val="24"/>
        </w:rPr>
        <w:t>Thermo</w:t>
      </w:r>
      <w:proofErr w:type="spellEnd"/>
      <w:r w:rsidRPr="001F0C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CEB">
        <w:rPr>
          <w:rFonts w:asciiTheme="majorBidi" w:hAnsiTheme="majorBidi" w:cstheme="majorBidi"/>
          <w:sz w:val="24"/>
          <w:szCs w:val="24"/>
        </w:rPr>
        <w:t>Hypersil</w:t>
      </w:r>
      <w:proofErr w:type="spellEnd"/>
      <w:r w:rsidRPr="001F0CEB">
        <w:rPr>
          <w:rFonts w:asciiTheme="majorBidi" w:hAnsiTheme="majorBidi" w:cstheme="majorBidi"/>
          <w:sz w:val="24"/>
          <w:szCs w:val="24"/>
        </w:rPr>
        <w:t xml:space="preserve"> ODS C</w:t>
      </w:r>
      <w:r w:rsidRPr="001F0CEB">
        <w:rPr>
          <w:rFonts w:asciiTheme="majorBidi" w:hAnsiTheme="majorBidi" w:cstheme="majorBidi"/>
          <w:sz w:val="24"/>
          <w:szCs w:val="24"/>
          <w:vertAlign w:val="subscript"/>
        </w:rPr>
        <w:t>18</w:t>
      </w:r>
      <w:r w:rsidRPr="001F0CEB">
        <w:rPr>
          <w:rFonts w:asciiTheme="majorBidi" w:hAnsiTheme="majorBidi" w:cstheme="majorBidi"/>
          <w:sz w:val="24"/>
          <w:szCs w:val="24"/>
        </w:rPr>
        <w:t xml:space="preserve"> (250 mm × 4.6 mm, 5 µm) at 30°C, Mobile phase: acetonitrile: phosphate buffer (50mM, pH 2.5) (40:60, v/v), Elution: Isocratic, Detection: UV at 323 nm, Flow rate: 1 mL/min, Injection volume: 5 µL.</w:t>
      </w:r>
    </w:p>
    <w:p w:rsidR="00984C56" w:rsidRDefault="00984C56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  <w:bookmarkStart w:id="0" w:name="_GoBack"/>
      <w:bookmarkEnd w:id="0"/>
    </w:p>
    <w:p w:rsidR="00393BCA" w:rsidRPr="00393BCA" w:rsidRDefault="00393BCA" w:rsidP="00393BCA">
      <w:pPr>
        <w:tabs>
          <w:tab w:val="center" w:pos="4320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393BCA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S1: </w:t>
      </w:r>
      <w:r w:rsidRPr="00393BCA">
        <w:rPr>
          <w:rFonts w:asciiTheme="majorBidi" w:hAnsiTheme="majorBidi" w:cstheme="majorBidi"/>
          <w:sz w:val="24"/>
          <w:szCs w:val="24"/>
        </w:rPr>
        <w:t>Comparison between the developed method and the reference LLE HPLC/UV method.</w:t>
      </w:r>
    </w:p>
    <w:tbl>
      <w:tblPr>
        <w:tblW w:w="5000" w:type="pct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189"/>
        <w:gridCol w:w="1301"/>
        <w:gridCol w:w="1317"/>
        <w:gridCol w:w="1294"/>
        <w:gridCol w:w="1222"/>
        <w:gridCol w:w="1287"/>
        <w:gridCol w:w="1030"/>
      </w:tblGrid>
      <w:tr w:rsidR="00393BCA" w:rsidRPr="00393BCA" w:rsidTr="00634451">
        <w:trPr>
          <w:trHeight w:hRule="exact" w:val="360"/>
        </w:trPr>
        <w:tc>
          <w:tcPr>
            <w:tcW w:w="688" w:type="pct"/>
            <w:vMerge w:val="restart"/>
            <w:tcBorders>
              <w:top w:val="single" w:sz="12" w:space="0" w:color="000000"/>
              <w:bottom w:val="single" w:sz="2" w:space="0" w:color="000000"/>
            </w:tcBorders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Parameter</w:t>
            </w:r>
          </w:p>
        </w:tc>
        <w:tc>
          <w:tcPr>
            <w:tcW w:w="4312" w:type="pct"/>
            <w:gridSpan w:val="6"/>
            <w:tcBorders>
              <w:top w:val="single" w:sz="12" w:space="0" w:color="000000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Comparison with reference method</w:t>
            </w: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vMerge/>
            <w:tcBorders>
              <w:top w:val="single" w:sz="12" w:space="0" w:color="000000"/>
              <w:bottom w:val="single" w:sz="2" w:space="0" w:color="000000"/>
            </w:tcBorders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4" w:type="pct"/>
            <w:gridSpan w:val="3"/>
            <w:tcBorders>
              <w:top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SULLME HPLC/UV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48" w:type="pct"/>
            <w:gridSpan w:val="3"/>
            <w:tcBorders>
              <w:top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Reference Method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93BCA" w:rsidRPr="00393BCA" w:rsidTr="00634451">
        <w:trPr>
          <w:trHeight w:hRule="exact" w:val="797"/>
        </w:trPr>
        <w:tc>
          <w:tcPr>
            <w:tcW w:w="688" w:type="pct"/>
            <w:vMerge/>
            <w:tcBorders>
              <w:top w:val="nil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Added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(µg/mL)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Found*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(µg/mL)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9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%Found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Added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(µg/mL)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Found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(µg/mL)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%Found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tcBorders>
              <w:top w:val="single" w:sz="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2" w:space="0" w:color="000000"/>
            </w:tcBorders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40.00</w:t>
            </w:r>
          </w:p>
        </w:tc>
        <w:tc>
          <w:tcPr>
            <w:tcW w:w="762" w:type="pct"/>
            <w:tcBorders>
              <w:top w:val="single" w:sz="2" w:space="0" w:color="000000"/>
            </w:tcBorders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42.43</w:t>
            </w:r>
          </w:p>
        </w:tc>
        <w:tc>
          <w:tcPr>
            <w:tcW w:w="749" w:type="pct"/>
            <w:tcBorders>
              <w:top w:val="single" w:sz="2" w:space="0" w:color="000000"/>
            </w:tcBorders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106.09</w:t>
            </w:r>
          </w:p>
        </w:tc>
        <w:tc>
          <w:tcPr>
            <w:tcW w:w="707" w:type="pct"/>
            <w:tcBorders>
              <w:top w:val="single" w:sz="2" w:space="0" w:color="000000"/>
            </w:tcBorders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40.00</w:t>
            </w:r>
          </w:p>
        </w:tc>
        <w:tc>
          <w:tcPr>
            <w:tcW w:w="745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43.38</w:t>
            </w:r>
          </w:p>
        </w:tc>
        <w:tc>
          <w:tcPr>
            <w:tcW w:w="596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108.46</w:t>
            </w: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53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40.00</w:t>
            </w:r>
          </w:p>
        </w:tc>
        <w:tc>
          <w:tcPr>
            <w:tcW w:w="762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41.63</w:t>
            </w:r>
          </w:p>
        </w:tc>
        <w:tc>
          <w:tcPr>
            <w:tcW w:w="749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104.07</w:t>
            </w:r>
          </w:p>
        </w:tc>
        <w:tc>
          <w:tcPr>
            <w:tcW w:w="707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40.00</w:t>
            </w:r>
          </w:p>
        </w:tc>
        <w:tc>
          <w:tcPr>
            <w:tcW w:w="745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43.34</w:t>
            </w:r>
          </w:p>
        </w:tc>
        <w:tc>
          <w:tcPr>
            <w:tcW w:w="596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108.36</w:t>
            </w: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53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40.00</w:t>
            </w:r>
          </w:p>
        </w:tc>
        <w:tc>
          <w:tcPr>
            <w:tcW w:w="762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41.91</w:t>
            </w:r>
          </w:p>
        </w:tc>
        <w:tc>
          <w:tcPr>
            <w:tcW w:w="749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104.77</w:t>
            </w:r>
          </w:p>
        </w:tc>
        <w:tc>
          <w:tcPr>
            <w:tcW w:w="707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40.00</w:t>
            </w:r>
          </w:p>
        </w:tc>
        <w:tc>
          <w:tcPr>
            <w:tcW w:w="745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41.72</w:t>
            </w:r>
          </w:p>
        </w:tc>
        <w:tc>
          <w:tcPr>
            <w:tcW w:w="596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104.31</w:t>
            </w: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Mean</w:t>
            </w:r>
          </w:p>
        </w:tc>
        <w:tc>
          <w:tcPr>
            <w:tcW w:w="753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62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9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104.98</w:t>
            </w:r>
          </w:p>
        </w:tc>
        <w:tc>
          <w:tcPr>
            <w:tcW w:w="707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5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6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107.04</w:t>
            </w: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% RSD</w:t>
            </w:r>
          </w:p>
        </w:tc>
        <w:tc>
          <w:tcPr>
            <w:tcW w:w="753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62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9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0.97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5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6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t-test**</w:t>
            </w:r>
          </w:p>
        </w:tc>
        <w:tc>
          <w:tcPr>
            <w:tcW w:w="753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62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0.27</w:t>
            </w:r>
          </w:p>
        </w:tc>
        <w:tc>
          <w:tcPr>
            <w:tcW w:w="707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5" w:type="pct"/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6" w:type="pct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93BCA" w:rsidRPr="00393BCA" w:rsidTr="00634451">
        <w:trPr>
          <w:trHeight w:hRule="exact" w:val="360"/>
        </w:trPr>
        <w:tc>
          <w:tcPr>
            <w:tcW w:w="688" w:type="pct"/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F-test**</w:t>
            </w:r>
          </w:p>
        </w:tc>
        <w:tc>
          <w:tcPr>
            <w:tcW w:w="753" w:type="pct"/>
            <w:tcBorders>
              <w:bottom w:val="single" w:sz="1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62" w:type="pct"/>
            <w:tcBorders>
              <w:bottom w:val="single" w:sz="1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9" w:type="pct"/>
            <w:tcBorders>
              <w:bottom w:val="single" w:sz="12" w:space="0" w:color="000000"/>
            </w:tcBorders>
            <w:vAlign w:val="center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93BCA">
              <w:rPr>
                <w:rFonts w:asciiTheme="majorBidi" w:hAnsiTheme="majorBidi" w:cstheme="majorBidi"/>
                <w:sz w:val="24"/>
                <w:szCs w:val="24"/>
              </w:rPr>
              <w:t>0.31</w:t>
            </w:r>
          </w:p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pct"/>
            <w:tcBorders>
              <w:bottom w:val="single" w:sz="12" w:space="0" w:color="000000"/>
            </w:tcBorders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5" w:type="pct"/>
            <w:tcBorders>
              <w:bottom w:val="single" w:sz="12" w:space="0" w:color="000000"/>
            </w:tcBorders>
            <w:vAlign w:val="bottom"/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6" w:type="pct"/>
            <w:tcBorders>
              <w:bottom w:val="single" w:sz="12" w:space="0" w:color="000000"/>
            </w:tcBorders>
          </w:tcPr>
          <w:p w:rsidR="00393BCA" w:rsidRPr="00393BCA" w:rsidRDefault="00393BCA" w:rsidP="00393BCA">
            <w:pPr>
              <w:tabs>
                <w:tab w:val="center" w:pos="432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393BCA" w:rsidRPr="00393BCA" w:rsidRDefault="00393BCA" w:rsidP="00393BCA">
      <w:pPr>
        <w:tabs>
          <w:tab w:val="center" w:pos="4320"/>
        </w:tabs>
        <w:rPr>
          <w:rFonts w:asciiTheme="majorBidi" w:hAnsiTheme="majorBidi" w:cstheme="majorBidi"/>
          <w:sz w:val="24"/>
          <w:szCs w:val="24"/>
        </w:rPr>
      </w:pPr>
      <w:r w:rsidRPr="00393BCA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393BCA">
        <w:rPr>
          <w:rFonts w:asciiTheme="majorBidi" w:hAnsiTheme="majorBidi" w:cstheme="majorBidi"/>
          <w:sz w:val="24"/>
          <w:szCs w:val="24"/>
        </w:rPr>
        <w:t>Average of triplicate determinations for each concentration</w:t>
      </w:r>
    </w:p>
    <w:p w:rsidR="00393BCA" w:rsidRPr="00393BCA" w:rsidRDefault="00393BCA" w:rsidP="00393BCA">
      <w:pPr>
        <w:tabs>
          <w:tab w:val="center" w:pos="4320"/>
        </w:tabs>
        <w:rPr>
          <w:rFonts w:asciiTheme="majorBidi" w:hAnsiTheme="majorBidi" w:cstheme="majorBidi"/>
          <w:sz w:val="24"/>
          <w:szCs w:val="24"/>
        </w:rPr>
      </w:pPr>
      <w:r w:rsidRPr="00393BCA">
        <w:rPr>
          <w:rFonts w:asciiTheme="majorBidi" w:hAnsiTheme="majorBidi" w:cstheme="majorBidi"/>
          <w:sz w:val="24"/>
          <w:szCs w:val="24"/>
        </w:rPr>
        <w:t xml:space="preserve">** </w:t>
      </w:r>
      <w:proofErr w:type="gramStart"/>
      <w:r w:rsidRPr="00393BCA">
        <w:rPr>
          <w:rFonts w:asciiTheme="majorBidi" w:hAnsiTheme="majorBidi" w:cstheme="majorBidi"/>
          <w:sz w:val="24"/>
          <w:szCs w:val="24"/>
        </w:rPr>
        <w:t>p-values</w:t>
      </w:r>
      <w:proofErr w:type="gramEnd"/>
      <w:r w:rsidRPr="00393BCA">
        <w:rPr>
          <w:rFonts w:asciiTheme="majorBidi" w:hAnsiTheme="majorBidi" w:cstheme="majorBidi"/>
          <w:sz w:val="24"/>
          <w:szCs w:val="24"/>
        </w:rPr>
        <w:t xml:space="preserve"> at 95% confidence level (α=0.05)</w:t>
      </w:r>
    </w:p>
    <w:p w:rsidR="00393BCA" w:rsidRPr="00FD6ADB" w:rsidRDefault="00393BCA" w:rsidP="00FD6ADB">
      <w:pPr>
        <w:tabs>
          <w:tab w:val="center" w:pos="4320"/>
        </w:tabs>
        <w:rPr>
          <w:rFonts w:asciiTheme="majorBidi" w:hAnsiTheme="majorBidi" w:cstheme="majorBidi"/>
          <w:sz w:val="24"/>
          <w:szCs w:val="24"/>
        </w:rPr>
      </w:pPr>
    </w:p>
    <w:sectPr w:rsidR="00393BCA" w:rsidRPr="00FD6A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9B7"/>
    <w:rsid w:val="00000E7D"/>
    <w:rsid w:val="0000135B"/>
    <w:rsid w:val="00012027"/>
    <w:rsid w:val="00012246"/>
    <w:rsid w:val="00025D7B"/>
    <w:rsid w:val="000421BC"/>
    <w:rsid w:val="000469C7"/>
    <w:rsid w:val="000516EF"/>
    <w:rsid w:val="00051D6C"/>
    <w:rsid w:val="00054663"/>
    <w:rsid w:val="000611D7"/>
    <w:rsid w:val="00062591"/>
    <w:rsid w:val="000636BE"/>
    <w:rsid w:val="00065738"/>
    <w:rsid w:val="00065C68"/>
    <w:rsid w:val="00066970"/>
    <w:rsid w:val="00070F62"/>
    <w:rsid w:val="00071635"/>
    <w:rsid w:val="00073129"/>
    <w:rsid w:val="00085510"/>
    <w:rsid w:val="000878B8"/>
    <w:rsid w:val="0009063E"/>
    <w:rsid w:val="0009096E"/>
    <w:rsid w:val="000A014A"/>
    <w:rsid w:val="000A0FE6"/>
    <w:rsid w:val="000A12C3"/>
    <w:rsid w:val="000A478E"/>
    <w:rsid w:val="000A69FF"/>
    <w:rsid w:val="000A6C4A"/>
    <w:rsid w:val="000A71C3"/>
    <w:rsid w:val="000B26CD"/>
    <w:rsid w:val="000B2F5C"/>
    <w:rsid w:val="000B3D33"/>
    <w:rsid w:val="000B529E"/>
    <w:rsid w:val="000B7F7E"/>
    <w:rsid w:val="000C0206"/>
    <w:rsid w:val="000C0B0D"/>
    <w:rsid w:val="000C1800"/>
    <w:rsid w:val="000C33EC"/>
    <w:rsid w:val="000C47D1"/>
    <w:rsid w:val="000C5757"/>
    <w:rsid w:val="000C6422"/>
    <w:rsid w:val="000D6275"/>
    <w:rsid w:val="000E379B"/>
    <w:rsid w:val="000E38B4"/>
    <w:rsid w:val="000E3C22"/>
    <w:rsid w:val="000E7E82"/>
    <w:rsid w:val="000F2DC8"/>
    <w:rsid w:val="000F69E0"/>
    <w:rsid w:val="0010099A"/>
    <w:rsid w:val="0010200E"/>
    <w:rsid w:val="001034AB"/>
    <w:rsid w:val="00105D6F"/>
    <w:rsid w:val="00110099"/>
    <w:rsid w:val="00110193"/>
    <w:rsid w:val="00113DEE"/>
    <w:rsid w:val="001147C6"/>
    <w:rsid w:val="0011583A"/>
    <w:rsid w:val="00115B02"/>
    <w:rsid w:val="00130CB0"/>
    <w:rsid w:val="001313E6"/>
    <w:rsid w:val="001322A0"/>
    <w:rsid w:val="001414F3"/>
    <w:rsid w:val="00160135"/>
    <w:rsid w:val="00160866"/>
    <w:rsid w:val="001610A1"/>
    <w:rsid w:val="00161A49"/>
    <w:rsid w:val="0016365D"/>
    <w:rsid w:val="00164E12"/>
    <w:rsid w:val="00164ED0"/>
    <w:rsid w:val="001662BE"/>
    <w:rsid w:val="00170B61"/>
    <w:rsid w:val="00172482"/>
    <w:rsid w:val="001744A2"/>
    <w:rsid w:val="00180E05"/>
    <w:rsid w:val="001834C7"/>
    <w:rsid w:val="0018356A"/>
    <w:rsid w:val="00190077"/>
    <w:rsid w:val="00193BAA"/>
    <w:rsid w:val="00194EC3"/>
    <w:rsid w:val="00195793"/>
    <w:rsid w:val="00197EE4"/>
    <w:rsid w:val="001A4A07"/>
    <w:rsid w:val="001A5CDE"/>
    <w:rsid w:val="001A7399"/>
    <w:rsid w:val="001B0F51"/>
    <w:rsid w:val="001B2343"/>
    <w:rsid w:val="001B4F6B"/>
    <w:rsid w:val="001C2E8D"/>
    <w:rsid w:val="001D1CED"/>
    <w:rsid w:val="001D4CFD"/>
    <w:rsid w:val="001F1D88"/>
    <w:rsid w:val="001F236A"/>
    <w:rsid w:val="001F493D"/>
    <w:rsid w:val="0020387D"/>
    <w:rsid w:val="002075A9"/>
    <w:rsid w:val="00210DC2"/>
    <w:rsid w:val="0021566F"/>
    <w:rsid w:val="002205A8"/>
    <w:rsid w:val="00223047"/>
    <w:rsid w:val="002233BB"/>
    <w:rsid w:val="0022344C"/>
    <w:rsid w:val="00224E48"/>
    <w:rsid w:val="002259B8"/>
    <w:rsid w:val="00227FCA"/>
    <w:rsid w:val="00231511"/>
    <w:rsid w:val="002325FA"/>
    <w:rsid w:val="00233AFA"/>
    <w:rsid w:val="002401E8"/>
    <w:rsid w:val="00242BA5"/>
    <w:rsid w:val="00243F3E"/>
    <w:rsid w:val="0025175E"/>
    <w:rsid w:val="002528C4"/>
    <w:rsid w:val="002530C8"/>
    <w:rsid w:val="00255B72"/>
    <w:rsid w:val="00257711"/>
    <w:rsid w:val="0026030F"/>
    <w:rsid w:val="00262F84"/>
    <w:rsid w:val="00264B90"/>
    <w:rsid w:val="002706E6"/>
    <w:rsid w:val="002722B8"/>
    <w:rsid w:val="0027248E"/>
    <w:rsid w:val="00272661"/>
    <w:rsid w:val="00272BCC"/>
    <w:rsid w:val="002731AF"/>
    <w:rsid w:val="002737A9"/>
    <w:rsid w:val="00273E3E"/>
    <w:rsid w:val="0027709E"/>
    <w:rsid w:val="0028103F"/>
    <w:rsid w:val="00283007"/>
    <w:rsid w:val="002845FB"/>
    <w:rsid w:val="00284FFC"/>
    <w:rsid w:val="0028570E"/>
    <w:rsid w:val="0028784F"/>
    <w:rsid w:val="00294DDF"/>
    <w:rsid w:val="00296892"/>
    <w:rsid w:val="00297EFA"/>
    <w:rsid w:val="002A6973"/>
    <w:rsid w:val="002B2330"/>
    <w:rsid w:val="002B2CD4"/>
    <w:rsid w:val="002B50D1"/>
    <w:rsid w:val="002B6265"/>
    <w:rsid w:val="002C260D"/>
    <w:rsid w:val="002C37FB"/>
    <w:rsid w:val="002C3833"/>
    <w:rsid w:val="002C4C7D"/>
    <w:rsid w:val="002C4DE1"/>
    <w:rsid w:val="002D1503"/>
    <w:rsid w:val="002D1DC7"/>
    <w:rsid w:val="002D709F"/>
    <w:rsid w:val="002E4FF3"/>
    <w:rsid w:val="002E607B"/>
    <w:rsid w:val="002F0803"/>
    <w:rsid w:val="002F0AAB"/>
    <w:rsid w:val="002F1D12"/>
    <w:rsid w:val="002F4017"/>
    <w:rsid w:val="002F633C"/>
    <w:rsid w:val="00300A17"/>
    <w:rsid w:val="003022CC"/>
    <w:rsid w:val="00304709"/>
    <w:rsid w:val="003077C2"/>
    <w:rsid w:val="00310FF8"/>
    <w:rsid w:val="003125BC"/>
    <w:rsid w:val="0031287A"/>
    <w:rsid w:val="00314CCB"/>
    <w:rsid w:val="0031649D"/>
    <w:rsid w:val="003164A2"/>
    <w:rsid w:val="00317F7A"/>
    <w:rsid w:val="00323C94"/>
    <w:rsid w:val="00327151"/>
    <w:rsid w:val="0033174F"/>
    <w:rsid w:val="00332397"/>
    <w:rsid w:val="003362A0"/>
    <w:rsid w:val="00342546"/>
    <w:rsid w:val="003456B3"/>
    <w:rsid w:val="003463F4"/>
    <w:rsid w:val="00346A68"/>
    <w:rsid w:val="00350DA6"/>
    <w:rsid w:val="0035295F"/>
    <w:rsid w:val="0036143C"/>
    <w:rsid w:val="00363D68"/>
    <w:rsid w:val="00364F50"/>
    <w:rsid w:val="003717F8"/>
    <w:rsid w:val="00372822"/>
    <w:rsid w:val="00372A4F"/>
    <w:rsid w:val="00372F40"/>
    <w:rsid w:val="0037350C"/>
    <w:rsid w:val="003742DE"/>
    <w:rsid w:val="003767E6"/>
    <w:rsid w:val="00383A66"/>
    <w:rsid w:val="00383B4F"/>
    <w:rsid w:val="0038415A"/>
    <w:rsid w:val="0038511B"/>
    <w:rsid w:val="0039232A"/>
    <w:rsid w:val="00393BCA"/>
    <w:rsid w:val="0039442E"/>
    <w:rsid w:val="00395B17"/>
    <w:rsid w:val="003B293F"/>
    <w:rsid w:val="003B6442"/>
    <w:rsid w:val="003B7672"/>
    <w:rsid w:val="003C0841"/>
    <w:rsid w:val="003C1ECB"/>
    <w:rsid w:val="003C3676"/>
    <w:rsid w:val="003C41FA"/>
    <w:rsid w:val="003C5F0C"/>
    <w:rsid w:val="003C5FED"/>
    <w:rsid w:val="003D2E2C"/>
    <w:rsid w:val="003E0F32"/>
    <w:rsid w:val="003F03E3"/>
    <w:rsid w:val="003F4044"/>
    <w:rsid w:val="003F700E"/>
    <w:rsid w:val="003F7EE2"/>
    <w:rsid w:val="004020F4"/>
    <w:rsid w:val="00402CB5"/>
    <w:rsid w:val="00403EA3"/>
    <w:rsid w:val="00403FD2"/>
    <w:rsid w:val="004047BF"/>
    <w:rsid w:val="00404BC8"/>
    <w:rsid w:val="00405796"/>
    <w:rsid w:val="00406352"/>
    <w:rsid w:val="00413033"/>
    <w:rsid w:val="00420CCD"/>
    <w:rsid w:val="00420DCC"/>
    <w:rsid w:val="00424BF3"/>
    <w:rsid w:val="00425869"/>
    <w:rsid w:val="0043098B"/>
    <w:rsid w:val="0043323B"/>
    <w:rsid w:val="00440073"/>
    <w:rsid w:val="00440C66"/>
    <w:rsid w:val="00441A68"/>
    <w:rsid w:val="00442B7C"/>
    <w:rsid w:val="00442DB8"/>
    <w:rsid w:val="0044382C"/>
    <w:rsid w:val="00444F16"/>
    <w:rsid w:val="00445B44"/>
    <w:rsid w:val="00445D9F"/>
    <w:rsid w:val="00446F92"/>
    <w:rsid w:val="0045036F"/>
    <w:rsid w:val="0045252A"/>
    <w:rsid w:val="0045482F"/>
    <w:rsid w:val="00455840"/>
    <w:rsid w:val="00455A5A"/>
    <w:rsid w:val="00465B87"/>
    <w:rsid w:val="00470AF0"/>
    <w:rsid w:val="00472A6D"/>
    <w:rsid w:val="004754F5"/>
    <w:rsid w:val="00480BC2"/>
    <w:rsid w:val="004815A0"/>
    <w:rsid w:val="0048229A"/>
    <w:rsid w:val="00484817"/>
    <w:rsid w:val="0048601F"/>
    <w:rsid w:val="00487465"/>
    <w:rsid w:val="00493EC3"/>
    <w:rsid w:val="00495D3C"/>
    <w:rsid w:val="004962E1"/>
    <w:rsid w:val="004A4CD0"/>
    <w:rsid w:val="004A581A"/>
    <w:rsid w:val="004B1627"/>
    <w:rsid w:val="004B1FD6"/>
    <w:rsid w:val="004B2799"/>
    <w:rsid w:val="004D18B8"/>
    <w:rsid w:val="004D1E37"/>
    <w:rsid w:val="004D2F72"/>
    <w:rsid w:val="004D3093"/>
    <w:rsid w:val="004D7662"/>
    <w:rsid w:val="004E1665"/>
    <w:rsid w:val="004E4063"/>
    <w:rsid w:val="004E68AB"/>
    <w:rsid w:val="004F2225"/>
    <w:rsid w:val="004F3E59"/>
    <w:rsid w:val="004F5DFC"/>
    <w:rsid w:val="00501EE6"/>
    <w:rsid w:val="00503C73"/>
    <w:rsid w:val="00504841"/>
    <w:rsid w:val="005057AC"/>
    <w:rsid w:val="00506906"/>
    <w:rsid w:val="00510EE8"/>
    <w:rsid w:val="00511ACE"/>
    <w:rsid w:val="005126E2"/>
    <w:rsid w:val="00517D38"/>
    <w:rsid w:val="00523727"/>
    <w:rsid w:val="00524E6C"/>
    <w:rsid w:val="00531BCB"/>
    <w:rsid w:val="00532336"/>
    <w:rsid w:val="00533467"/>
    <w:rsid w:val="00534DF6"/>
    <w:rsid w:val="00542594"/>
    <w:rsid w:val="00545515"/>
    <w:rsid w:val="00545A46"/>
    <w:rsid w:val="0055031A"/>
    <w:rsid w:val="0055265B"/>
    <w:rsid w:val="0055289A"/>
    <w:rsid w:val="00552E11"/>
    <w:rsid w:val="00554428"/>
    <w:rsid w:val="00556645"/>
    <w:rsid w:val="005566F5"/>
    <w:rsid w:val="00560513"/>
    <w:rsid w:val="00560958"/>
    <w:rsid w:val="00564501"/>
    <w:rsid w:val="00564CAA"/>
    <w:rsid w:val="00567D75"/>
    <w:rsid w:val="00571C68"/>
    <w:rsid w:val="00574D12"/>
    <w:rsid w:val="00575869"/>
    <w:rsid w:val="0058119F"/>
    <w:rsid w:val="005822E7"/>
    <w:rsid w:val="00583EED"/>
    <w:rsid w:val="0058780A"/>
    <w:rsid w:val="00596F3F"/>
    <w:rsid w:val="005A539B"/>
    <w:rsid w:val="005A547B"/>
    <w:rsid w:val="005A5A11"/>
    <w:rsid w:val="005B5BDE"/>
    <w:rsid w:val="005C1EE1"/>
    <w:rsid w:val="005C23D4"/>
    <w:rsid w:val="005C6917"/>
    <w:rsid w:val="005C750A"/>
    <w:rsid w:val="005D502B"/>
    <w:rsid w:val="005D66F9"/>
    <w:rsid w:val="005E322C"/>
    <w:rsid w:val="005E3D28"/>
    <w:rsid w:val="00600BAC"/>
    <w:rsid w:val="00603BD5"/>
    <w:rsid w:val="006061EE"/>
    <w:rsid w:val="00606379"/>
    <w:rsid w:val="00607A3E"/>
    <w:rsid w:val="00610163"/>
    <w:rsid w:val="00612A46"/>
    <w:rsid w:val="00613C25"/>
    <w:rsid w:val="00614665"/>
    <w:rsid w:val="00614F84"/>
    <w:rsid w:val="006157E5"/>
    <w:rsid w:val="00617A91"/>
    <w:rsid w:val="00621460"/>
    <w:rsid w:val="006233F6"/>
    <w:rsid w:val="0062497F"/>
    <w:rsid w:val="00627C88"/>
    <w:rsid w:val="00635FAB"/>
    <w:rsid w:val="006365B8"/>
    <w:rsid w:val="006369C0"/>
    <w:rsid w:val="00640267"/>
    <w:rsid w:val="006473CC"/>
    <w:rsid w:val="006546D8"/>
    <w:rsid w:val="0065593E"/>
    <w:rsid w:val="00655F77"/>
    <w:rsid w:val="00655FE0"/>
    <w:rsid w:val="0066012D"/>
    <w:rsid w:val="00662003"/>
    <w:rsid w:val="00667751"/>
    <w:rsid w:val="00670660"/>
    <w:rsid w:val="00670E77"/>
    <w:rsid w:val="00671F42"/>
    <w:rsid w:val="00681DF8"/>
    <w:rsid w:val="00683A41"/>
    <w:rsid w:val="006853F8"/>
    <w:rsid w:val="006867FA"/>
    <w:rsid w:val="006931F4"/>
    <w:rsid w:val="0069635D"/>
    <w:rsid w:val="006972A6"/>
    <w:rsid w:val="00697510"/>
    <w:rsid w:val="006A2C1B"/>
    <w:rsid w:val="006B1E1C"/>
    <w:rsid w:val="006B29B7"/>
    <w:rsid w:val="006B2DE0"/>
    <w:rsid w:val="006B3A23"/>
    <w:rsid w:val="006B5510"/>
    <w:rsid w:val="006B75A9"/>
    <w:rsid w:val="006C1664"/>
    <w:rsid w:val="006C19C9"/>
    <w:rsid w:val="006C4732"/>
    <w:rsid w:val="006C6C91"/>
    <w:rsid w:val="006C6E94"/>
    <w:rsid w:val="006D2394"/>
    <w:rsid w:val="006D6AD1"/>
    <w:rsid w:val="006E0FDB"/>
    <w:rsid w:val="006E1D68"/>
    <w:rsid w:val="006E4B85"/>
    <w:rsid w:val="006E5A5C"/>
    <w:rsid w:val="006F03EC"/>
    <w:rsid w:val="006F3580"/>
    <w:rsid w:val="006F76ED"/>
    <w:rsid w:val="006F7D9A"/>
    <w:rsid w:val="006F7E29"/>
    <w:rsid w:val="00701FA1"/>
    <w:rsid w:val="0070442C"/>
    <w:rsid w:val="00705236"/>
    <w:rsid w:val="00705D6B"/>
    <w:rsid w:val="007102B9"/>
    <w:rsid w:val="00711CC7"/>
    <w:rsid w:val="00712B7C"/>
    <w:rsid w:val="00713BF0"/>
    <w:rsid w:val="00714D64"/>
    <w:rsid w:val="00716D87"/>
    <w:rsid w:val="00720AF8"/>
    <w:rsid w:val="007279EE"/>
    <w:rsid w:val="00727C9B"/>
    <w:rsid w:val="007302E0"/>
    <w:rsid w:val="00741532"/>
    <w:rsid w:val="007439E5"/>
    <w:rsid w:val="00750EF6"/>
    <w:rsid w:val="00751D4B"/>
    <w:rsid w:val="00757305"/>
    <w:rsid w:val="00757B27"/>
    <w:rsid w:val="0076663D"/>
    <w:rsid w:val="00770290"/>
    <w:rsid w:val="0077294C"/>
    <w:rsid w:val="00781652"/>
    <w:rsid w:val="007840FE"/>
    <w:rsid w:val="00786BA0"/>
    <w:rsid w:val="0078733F"/>
    <w:rsid w:val="007876AA"/>
    <w:rsid w:val="0079045B"/>
    <w:rsid w:val="00790E75"/>
    <w:rsid w:val="0079177B"/>
    <w:rsid w:val="00792CD5"/>
    <w:rsid w:val="007949B3"/>
    <w:rsid w:val="00794F59"/>
    <w:rsid w:val="00796F8A"/>
    <w:rsid w:val="007A0119"/>
    <w:rsid w:val="007A08AC"/>
    <w:rsid w:val="007A2841"/>
    <w:rsid w:val="007C1806"/>
    <w:rsid w:val="007C3D01"/>
    <w:rsid w:val="007C58E4"/>
    <w:rsid w:val="007D1DEC"/>
    <w:rsid w:val="007D2117"/>
    <w:rsid w:val="007D6093"/>
    <w:rsid w:val="007E0F98"/>
    <w:rsid w:val="007E3173"/>
    <w:rsid w:val="007F5DA5"/>
    <w:rsid w:val="007F6002"/>
    <w:rsid w:val="007F6BAD"/>
    <w:rsid w:val="007F7C57"/>
    <w:rsid w:val="008000F4"/>
    <w:rsid w:val="00800A27"/>
    <w:rsid w:val="00800C19"/>
    <w:rsid w:val="00801C57"/>
    <w:rsid w:val="00802AE1"/>
    <w:rsid w:val="00802FC7"/>
    <w:rsid w:val="00812EC7"/>
    <w:rsid w:val="008141E7"/>
    <w:rsid w:val="0081511C"/>
    <w:rsid w:val="00815261"/>
    <w:rsid w:val="008234DC"/>
    <w:rsid w:val="00827DAE"/>
    <w:rsid w:val="008314E1"/>
    <w:rsid w:val="00833F1D"/>
    <w:rsid w:val="00834553"/>
    <w:rsid w:val="00842988"/>
    <w:rsid w:val="00844A9C"/>
    <w:rsid w:val="00845540"/>
    <w:rsid w:val="00845861"/>
    <w:rsid w:val="008514A5"/>
    <w:rsid w:val="00852C86"/>
    <w:rsid w:val="00854CAC"/>
    <w:rsid w:val="00854CB6"/>
    <w:rsid w:val="008575EB"/>
    <w:rsid w:val="00861256"/>
    <w:rsid w:val="00866766"/>
    <w:rsid w:val="008677E1"/>
    <w:rsid w:val="008714E1"/>
    <w:rsid w:val="008716B1"/>
    <w:rsid w:val="00872336"/>
    <w:rsid w:val="008725A1"/>
    <w:rsid w:val="008739E6"/>
    <w:rsid w:val="008760E6"/>
    <w:rsid w:val="0087619F"/>
    <w:rsid w:val="00877B53"/>
    <w:rsid w:val="00877FE0"/>
    <w:rsid w:val="00880BE3"/>
    <w:rsid w:val="00883AB9"/>
    <w:rsid w:val="008840D6"/>
    <w:rsid w:val="00885D85"/>
    <w:rsid w:val="008871C3"/>
    <w:rsid w:val="00887AB9"/>
    <w:rsid w:val="0089064C"/>
    <w:rsid w:val="00890D0F"/>
    <w:rsid w:val="0089130C"/>
    <w:rsid w:val="008914DC"/>
    <w:rsid w:val="0089227F"/>
    <w:rsid w:val="0089319E"/>
    <w:rsid w:val="00893EEB"/>
    <w:rsid w:val="00897FE4"/>
    <w:rsid w:val="008A1044"/>
    <w:rsid w:val="008A449A"/>
    <w:rsid w:val="008A6035"/>
    <w:rsid w:val="008B2735"/>
    <w:rsid w:val="008B41AB"/>
    <w:rsid w:val="008B4816"/>
    <w:rsid w:val="008B4FEA"/>
    <w:rsid w:val="008B76B6"/>
    <w:rsid w:val="008B7C7B"/>
    <w:rsid w:val="008C2D4E"/>
    <w:rsid w:val="008D05EC"/>
    <w:rsid w:val="008D0C78"/>
    <w:rsid w:val="008D14B9"/>
    <w:rsid w:val="008D3111"/>
    <w:rsid w:val="008E5161"/>
    <w:rsid w:val="008F3548"/>
    <w:rsid w:val="008F3F40"/>
    <w:rsid w:val="008F415D"/>
    <w:rsid w:val="009038A9"/>
    <w:rsid w:val="00904C71"/>
    <w:rsid w:val="00904EB7"/>
    <w:rsid w:val="00904EF0"/>
    <w:rsid w:val="009058AA"/>
    <w:rsid w:val="009059A4"/>
    <w:rsid w:val="00910916"/>
    <w:rsid w:val="0091394D"/>
    <w:rsid w:val="0091446A"/>
    <w:rsid w:val="00916FD0"/>
    <w:rsid w:val="00923098"/>
    <w:rsid w:val="00924FA2"/>
    <w:rsid w:val="009273E0"/>
    <w:rsid w:val="009277D8"/>
    <w:rsid w:val="00933644"/>
    <w:rsid w:val="009376C9"/>
    <w:rsid w:val="00937DF7"/>
    <w:rsid w:val="00941066"/>
    <w:rsid w:val="009410D6"/>
    <w:rsid w:val="00943B00"/>
    <w:rsid w:val="00943DA0"/>
    <w:rsid w:val="00944ED6"/>
    <w:rsid w:val="00946C10"/>
    <w:rsid w:val="00950BB8"/>
    <w:rsid w:val="00951862"/>
    <w:rsid w:val="00954825"/>
    <w:rsid w:val="009560BD"/>
    <w:rsid w:val="00962B6D"/>
    <w:rsid w:val="0096405F"/>
    <w:rsid w:val="0096448A"/>
    <w:rsid w:val="009665E5"/>
    <w:rsid w:val="00966FB0"/>
    <w:rsid w:val="00967649"/>
    <w:rsid w:val="0097248B"/>
    <w:rsid w:val="0097286E"/>
    <w:rsid w:val="009813A2"/>
    <w:rsid w:val="00981B75"/>
    <w:rsid w:val="00983CE7"/>
    <w:rsid w:val="00984C56"/>
    <w:rsid w:val="0098732D"/>
    <w:rsid w:val="009A0112"/>
    <w:rsid w:val="009A07C4"/>
    <w:rsid w:val="009A12D4"/>
    <w:rsid w:val="009A1A49"/>
    <w:rsid w:val="009A2726"/>
    <w:rsid w:val="009A2DDD"/>
    <w:rsid w:val="009B0FED"/>
    <w:rsid w:val="009B6380"/>
    <w:rsid w:val="009C1550"/>
    <w:rsid w:val="009C2CED"/>
    <w:rsid w:val="009D373C"/>
    <w:rsid w:val="009D53B1"/>
    <w:rsid w:val="009D5C95"/>
    <w:rsid w:val="009E022A"/>
    <w:rsid w:val="009E62BF"/>
    <w:rsid w:val="009E6976"/>
    <w:rsid w:val="009F0D8F"/>
    <w:rsid w:val="009F13A6"/>
    <w:rsid w:val="00A06952"/>
    <w:rsid w:val="00A10160"/>
    <w:rsid w:val="00A16C1F"/>
    <w:rsid w:val="00A22F24"/>
    <w:rsid w:val="00A2386B"/>
    <w:rsid w:val="00A23BB4"/>
    <w:rsid w:val="00A24E42"/>
    <w:rsid w:val="00A24FF6"/>
    <w:rsid w:val="00A25147"/>
    <w:rsid w:val="00A27128"/>
    <w:rsid w:val="00A2750C"/>
    <w:rsid w:val="00A27783"/>
    <w:rsid w:val="00A27A18"/>
    <w:rsid w:val="00A41255"/>
    <w:rsid w:val="00A42026"/>
    <w:rsid w:val="00A45C79"/>
    <w:rsid w:val="00A52471"/>
    <w:rsid w:val="00A531BB"/>
    <w:rsid w:val="00A534AB"/>
    <w:rsid w:val="00A6004E"/>
    <w:rsid w:val="00A60EF1"/>
    <w:rsid w:val="00A66A20"/>
    <w:rsid w:val="00A74819"/>
    <w:rsid w:val="00A752B1"/>
    <w:rsid w:val="00A755EF"/>
    <w:rsid w:val="00A77CE8"/>
    <w:rsid w:val="00A80639"/>
    <w:rsid w:val="00A90764"/>
    <w:rsid w:val="00A91041"/>
    <w:rsid w:val="00A9294A"/>
    <w:rsid w:val="00A9746C"/>
    <w:rsid w:val="00A97D86"/>
    <w:rsid w:val="00AA1BA3"/>
    <w:rsid w:val="00AA25F8"/>
    <w:rsid w:val="00AA265F"/>
    <w:rsid w:val="00AA5636"/>
    <w:rsid w:val="00AB06A6"/>
    <w:rsid w:val="00AB226A"/>
    <w:rsid w:val="00AB461C"/>
    <w:rsid w:val="00AB7245"/>
    <w:rsid w:val="00AC0AF1"/>
    <w:rsid w:val="00AC36B7"/>
    <w:rsid w:val="00AC6109"/>
    <w:rsid w:val="00AD475D"/>
    <w:rsid w:val="00AD49D8"/>
    <w:rsid w:val="00AD6392"/>
    <w:rsid w:val="00AD63A7"/>
    <w:rsid w:val="00AE2D9F"/>
    <w:rsid w:val="00AE469D"/>
    <w:rsid w:val="00AE7674"/>
    <w:rsid w:val="00AF0355"/>
    <w:rsid w:val="00AF1446"/>
    <w:rsid w:val="00AF4BCE"/>
    <w:rsid w:val="00AF584E"/>
    <w:rsid w:val="00AF60B6"/>
    <w:rsid w:val="00AF703F"/>
    <w:rsid w:val="00AF7A2C"/>
    <w:rsid w:val="00B01029"/>
    <w:rsid w:val="00B01E2D"/>
    <w:rsid w:val="00B01E50"/>
    <w:rsid w:val="00B02598"/>
    <w:rsid w:val="00B02E01"/>
    <w:rsid w:val="00B04572"/>
    <w:rsid w:val="00B04689"/>
    <w:rsid w:val="00B04D4D"/>
    <w:rsid w:val="00B0538F"/>
    <w:rsid w:val="00B05679"/>
    <w:rsid w:val="00B06BAF"/>
    <w:rsid w:val="00B12754"/>
    <w:rsid w:val="00B12D4F"/>
    <w:rsid w:val="00B13A22"/>
    <w:rsid w:val="00B14128"/>
    <w:rsid w:val="00B165A4"/>
    <w:rsid w:val="00B178DB"/>
    <w:rsid w:val="00B22D8B"/>
    <w:rsid w:val="00B230AA"/>
    <w:rsid w:val="00B271C3"/>
    <w:rsid w:val="00B27566"/>
    <w:rsid w:val="00B32B46"/>
    <w:rsid w:val="00B35F74"/>
    <w:rsid w:val="00B36818"/>
    <w:rsid w:val="00B3712D"/>
    <w:rsid w:val="00B43FFA"/>
    <w:rsid w:val="00B4439D"/>
    <w:rsid w:val="00B45AC8"/>
    <w:rsid w:val="00B50864"/>
    <w:rsid w:val="00B53045"/>
    <w:rsid w:val="00B53D76"/>
    <w:rsid w:val="00B53EC9"/>
    <w:rsid w:val="00B55B8C"/>
    <w:rsid w:val="00B60936"/>
    <w:rsid w:val="00B63EEE"/>
    <w:rsid w:val="00B6485F"/>
    <w:rsid w:val="00B6564F"/>
    <w:rsid w:val="00B71656"/>
    <w:rsid w:val="00B721CF"/>
    <w:rsid w:val="00B72750"/>
    <w:rsid w:val="00B76EEE"/>
    <w:rsid w:val="00B774BA"/>
    <w:rsid w:val="00B8066F"/>
    <w:rsid w:val="00B812DC"/>
    <w:rsid w:val="00B825DB"/>
    <w:rsid w:val="00B85228"/>
    <w:rsid w:val="00B87258"/>
    <w:rsid w:val="00B90CBC"/>
    <w:rsid w:val="00B92CE2"/>
    <w:rsid w:val="00B965AD"/>
    <w:rsid w:val="00BA1495"/>
    <w:rsid w:val="00BA2B53"/>
    <w:rsid w:val="00BA7EF9"/>
    <w:rsid w:val="00BB0A59"/>
    <w:rsid w:val="00BB11AB"/>
    <w:rsid w:val="00BB239D"/>
    <w:rsid w:val="00BC02CF"/>
    <w:rsid w:val="00BC14C5"/>
    <w:rsid w:val="00BC4A1B"/>
    <w:rsid w:val="00BC4B73"/>
    <w:rsid w:val="00BC5B6E"/>
    <w:rsid w:val="00BC6AAF"/>
    <w:rsid w:val="00BD1B9B"/>
    <w:rsid w:val="00BD1E30"/>
    <w:rsid w:val="00BD20CC"/>
    <w:rsid w:val="00BD231A"/>
    <w:rsid w:val="00BD2601"/>
    <w:rsid w:val="00BD3D47"/>
    <w:rsid w:val="00BD4EBB"/>
    <w:rsid w:val="00BD6542"/>
    <w:rsid w:val="00BE374D"/>
    <w:rsid w:val="00BE4300"/>
    <w:rsid w:val="00BE6D16"/>
    <w:rsid w:val="00BF2CDE"/>
    <w:rsid w:val="00BF3C21"/>
    <w:rsid w:val="00BF6839"/>
    <w:rsid w:val="00C00851"/>
    <w:rsid w:val="00C01323"/>
    <w:rsid w:val="00C020DC"/>
    <w:rsid w:val="00C06D05"/>
    <w:rsid w:val="00C10D94"/>
    <w:rsid w:val="00C1142D"/>
    <w:rsid w:val="00C12DCE"/>
    <w:rsid w:val="00C16A4B"/>
    <w:rsid w:val="00C21FEC"/>
    <w:rsid w:val="00C22032"/>
    <w:rsid w:val="00C23E68"/>
    <w:rsid w:val="00C24877"/>
    <w:rsid w:val="00C259D0"/>
    <w:rsid w:val="00C31F79"/>
    <w:rsid w:val="00C33DB1"/>
    <w:rsid w:val="00C34663"/>
    <w:rsid w:val="00C34EAA"/>
    <w:rsid w:val="00C37554"/>
    <w:rsid w:val="00C377BB"/>
    <w:rsid w:val="00C41656"/>
    <w:rsid w:val="00C436DF"/>
    <w:rsid w:val="00C46AB2"/>
    <w:rsid w:val="00C47B15"/>
    <w:rsid w:val="00C64378"/>
    <w:rsid w:val="00C658D1"/>
    <w:rsid w:val="00C67549"/>
    <w:rsid w:val="00C71FC1"/>
    <w:rsid w:val="00C740D2"/>
    <w:rsid w:val="00C82038"/>
    <w:rsid w:val="00C82045"/>
    <w:rsid w:val="00C843F2"/>
    <w:rsid w:val="00C84714"/>
    <w:rsid w:val="00C91749"/>
    <w:rsid w:val="00C91AD0"/>
    <w:rsid w:val="00C92791"/>
    <w:rsid w:val="00C93765"/>
    <w:rsid w:val="00CA2DBE"/>
    <w:rsid w:val="00CA2E0C"/>
    <w:rsid w:val="00CA388E"/>
    <w:rsid w:val="00CB1FE2"/>
    <w:rsid w:val="00CB5BB7"/>
    <w:rsid w:val="00CB643E"/>
    <w:rsid w:val="00CB6749"/>
    <w:rsid w:val="00CC501D"/>
    <w:rsid w:val="00CD6B3A"/>
    <w:rsid w:val="00CE127A"/>
    <w:rsid w:val="00CE50B5"/>
    <w:rsid w:val="00CF0808"/>
    <w:rsid w:val="00CF1A25"/>
    <w:rsid w:val="00CF2228"/>
    <w:rsid w:val="00CF76FC"/>
    <w:rsid w:val="00D01D26"/>
    <w:rsid w:val="00D0264F"/>
    <w:rsid w:val="00D03447"/>
    <w:rsid w:val="00D10E9D"/>
    <w:rsid w:val="00D11C65"/>
    <w:rsid w:val="00D150BD"/>
    <w:rsid w:val="00D160FD"/>
    <w:rsid w:val="00D161A9"/>
    <w:rsid w:val="00D167EC"/>
    <w:rsid w:val="00D17320"/>
    <w:rsid w:val="00D21993"/>
    <w:rsid w:val="00D21B1D"/>
    <w:rsid w:val="00D26F92"/>
    <w:rsid w:val="00D34845"/>
    <w:rsid w:val="00D34AFF"/>
    <w:rsid w:val="00D37DD1"/>
    <w:rsid w:val="00D40C32"/>
    <w:rsid w:val="00D41366"/>
    <w:rsid w:val="00D43830"/>
    <w:rsid w:val="00D4467A"/>
    <w:rsid w:val="00D509A1"/>
    <w:rsid w:val="00D509AD"/>
    <w:rsid w:val="00D50CE1"/>
    <w:rsid w:val="00D5257C"/>
    <w:rsid w:val="00D539C6"/>
    <w:rsid w:val="00D609C5"/>
    <w:rsid w:val="00D6175B"/>
    <w:rsid w:val="00D6323F"/>
    <w:rsid w:val="00D66CD6"/>
    <w:rsid w:val="00D67BFA"/>
    <w:rsid w:val="00D704D9"/>
    <w:rsid w:val="00D72EC5"/>
    <w:rsid w:val="00D734B5"/>
    <w:rsid w:val="00D738BC"/>
    <w:rsid w:val="00D76648"/>
    <w:rsid w:val="00D8185B"/>
    <w:rsid w:val="00D82712"/>
    <w:rsid w:val="00D84881"/>
    <w:rsid w:val="00D90328"/>
    <w:rsid w:val="00D91B77"/>
    <w:rsid w:val="00D91EED"/>
    <w:rsid w:val="00D9745D"/>
    <w:rsid w:val="00D979EE"/>
    <w:rsid w:val="00DA40E5"/>
    <w:rsid w:val="00DA6133"/>
    <w:rsid w:val="00DB0D52"/>
    <w:rsid w:val="00DC1A44"/>
    <w:rsid w:val="00DC1C2B"/>
    <w:rsid w:val="00DC69F8"/>
    <w:rsid w:val="00DD1B17"/>
    <w:rsid w:val="00DD5831"/>
    <w:rsid w:val="00DD7A86"/>
    <w:rsid w:val="00DD7FDC"/>
    <w:rsid w:val="00DE05FA"/>
    <w:rsid w:val="00DE1248"/>
    <w:rsid w:val="00DE1DD0"/>
    <w:rsid w:val="00DE4887"/>
    <w:rsid w:val="00DE74DF"/>
    <w:rsid w:val="00DF118A"/>
    <w:rsid w:val="00DF21D9"/>
    <w:rsid w:val="00DF5645"/>
    <w:rsid w:val="00DF5941"/>
    <w:rsid w:val="00DF7504"/>
    <w:rsid w:val="00DF762D"/>
    <w:rsid w:val="00E0089A"/>
    <w:rsid w:val="00E03FD9"/>
    <w:rsid w:val="00E14014"/>
    <w:rsid w:val="00E148B8"/>
    <w:rsid w:val="00E1490C"/>
    <w:rsid w:val="00E23A27"/>
    <w:rsid w:val="00E26CFF"/>
    <w:rsid w:val="00E30C22"/>
    <w:rsid w:val="00E30F3B"/>
    <w:rsid w:val="00E32881"/>
    <w:rsid w:val="00E33005"/>
    <w:rsid w:val="00E35AC7"/>
    <w:rsid w:val="00E37444"/>
    <w:rsid w:val="00E4090F"/>
    <w:rsid w:val="00E432D3"/>
    <w:rsid w:val="00E45CF6"/>
    <w:rsid w:val="00E46E90"/>
    <w:rsid w:val="00E523B3"/>
    <w:rsid w:val="00E52719"/>
    <w:rsid w:val="00E56C1C"/>
    <w:rsid w:val="00E609B8"/>
    <w:rsid w:val="00E60DBE"/>
    <w:rsid w:val="00E61CE1"/>
    <w:rsid w:val="00E6283A"/>
    <w:rsid w:val="00E67673"/>
    <w:rsid w:val="00E7294D"/>
    <w:rsid w:val="00E76679"/>
    <w:rsid w:val="00E847BA"/>
    <w:rsid w:val="00E84980"/>
    <w:rsid w:val="00E87DBF"/>
    <w:rsid w:val="00E90C12"/>
    <w:rsid w:val="00E9261B"/>
    <w:rsid w:val="00E93F32"/>
    <w:rsid w:val="00EA11FC"/>
    <w:rsid w:val="00EA1D55"/>
    <w:rsid w:val="00EA6332"/>
    <w:rsid w:val="00EB2998"/>
    <w:rsid w:val="00EB550A"/>
    <w:rsid w:val="00EB6238"/>
    <w:rsid w:val="00EC1245"/>
    <w:rsid w:val="00EC3AD7"/>
    <w:rsid w:val="00ED5B9D"/>
    <w:rsid w:val="00ED6557"/>
    <w:rsid w:val="00ED7A58"/>
    <w:rsid w:val="00EE0BA0"/>
    <w:rsid w:val="00EE3446"/>
    <w:rsid w:val="00EE3E44"/>
    <w:rsid w:val="00EF1B44"/>
    <w:rsid w:val="00EF5D33"/>
    <w:rsid w:val="00EF722E"/>
    <w:rsid w:val="00EF784F"/>
    <w:rsid w:val="00F00FC3"/>
    <w:rsid w:val="00F011B4"/>
    <w:rsid w:val="00F013EA"/>
    <w:rsid w:val="00F018AA"/>
    <w:rsid w:val="00F01B34"/>
    <w:rsid w:val="00F11E3D"/>
    <w:rsid w:val="00F13924"/>
    <w:rsid w:val="00F14FD6"/>
    <w:rsid w:val="00F171D6"/>
    <w:rsid w:val="00F2015F"/>
    <w:rsid w:val="00F202C9"/>
    <w:rsid w:val="00F24C67"/>
    <w:rsid w:val="00F26B26"/>
    <w:rsid w:val="00F279F2"/>
    <w:rsid w:val="00F30403"/>
    <w:rsid w:val="00F306A4"/>
    <w:rsid w:val="00F308C4"/>
    <w:rsid w:val="00F33342"/>
    <w:rsid w:val="00F33815"/>
    <w:rsid w:val="00F34292"/>
    <w:rsid w:val="00F3600A"/>
    <w:rsid w:val="00F42013"/>
    <w:rsid w:val="00F44145"/>
    <w:rsid w:val="00F4784F"/>
    <w:rsid w:val="00F5504F"/>
    <w:rsid w:val="00F55669"/>
    <w:rsid w:val="00F63E75"/>
    <w:rsid w:val="00F65418"/>
    <w:rsid w:val="00F66A9B"/>
    <w:rsid w:val="00F66B39"/>
    <w:rsid w:val="00F6769A"/>
    <w:rsid w:val="00F70944"/>
    <w:rsid w:val="00F733BB"/>
    <w:rsid w:val="00F740B5"/>
    <w:rsid w:val="00F77A70"/>
    <w:rsid w:val="00F8297C"/>
    <w:rsid w:val="00F8442B"/>
    <w:rsid w:val="00F86A0E"/>
    <w:rsid w:val="00F90332"/>
    <w:rsid w:val="00F9631B"/>
    <w:rsid w:val="00F96B75"/>
    <w:rsid w:val="00FA1F8B"/>
    <w:rsid w:val="00FA3DB4"/>
    <w:rsid w:val="00FA5A7C"/>
    <w:rsid w:val="00FA6742"/>
    <w:rsid w:val="00FA6DBA"/>
    <w:rsid w:val="00FB13DB"/>
    <w:rsid w:val="00FB1A8D"/>
    <w:rsid w:val="00FB3030"/>
    <w:rsid w:val="00FB570B"/>
    <w:rsid w:val="00FC0831"/>
    <w:rsid w:val="00FC1C2C"/>
    <w:rsid w:val="00FC22F2"/>
    <w:rsid w:val="00FD18CE"/>
    <w:rsid w:val="00FD397B"/>
    <w:rsid w:val="00FD54E2"/>
    <w:rsid w:val="00FD6ADB"/>
    <w:rsid w:val="00FD7BD1"/>
    <w:rsid w:val="00FE111E"/>
    <w:rsid w:val="00FE1320"/>
    <w:rsid w:val="00FE5D39"/>
    <w:rsid w:val="00FE649A"/>
    <w:rsid w:val="00FF1BA2"/>
    <w:rsid w:val="00FF1F94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2149D-F56C-4B9A-96F0-E46CAB93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Sheet6!$B$1</c:f>
              <c:strCache>
                <c:ptCount val="1"/>
                <c:pt idx="0">
                  <c:v>area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69-404A-AC13-038E0A19191B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69-404A-AC13-038E0A19191B}"/>
              </c:ext>
            </c:extLst>
          </c:dPt>
          <c:errBars>
            <c:errBarType val="both"/>
            <c:errValType val="cust"/>
            <c:noEndCap val="0"/>
            <c:plus>
              <c:numRef>
                <c:f>Sheet6!$C$2:$C$4</c:f>
                <c:numCache>
                  <c:formatCode>General</c:formatCode>
                  <c:ptCount val="3"/>
                  <c:pt idx="0">
                    <c:v>8.4145706961199149E-2</c:v>
                  </c:pt>
                  <c:pt idx="1">
                    <c:v>0.27577164466275395</c:v>
                  </c:pt>
                  <c:pt idx="2">
                    <c:v>0.55790725035618582</c:v>
                  </c:pt>
                </c:numCache>
              </c:numRef>
            </c:plus>
            <c:minus>
              <c:numRef>
                <c:f>Sheet6!$C$2:$C$4</c:f>
                <c:numCache>
                  <c:formatCode>General</c:formatCode>
                  <c:ptCount val="3"/>
                  <c:pt idx="0">
                    <c:v>8.4145706961199149E-2</c:v>
                  </c:pt>
                  <c:pt idx="1">
                    <c:v>0.27577164466275395</c:v>
                  </c:pt>
                  <c:pt idx="2">
                    <c:v>0.55790725035618582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Sheet6!$A$2:$A$4</c:f>
              <c:strCache>
                <c:ptCount val="3"/>
                <c:pt idx="0">
                  <c:v>glucose </c:v>
                </c:pt>
                <c:pt idx="1">
                  <c:v>sucrose </c:v>
                </c:pt>
                <c:pt idx="2">
                  <c:v>fructose </c:v>
                </c:pt>
              </c:strCache>
            </c:strRef>
          </c:cat>
          <c:val>
            <c:numRef>
              <c:f>Sheet6!$B$2:$B$4</c:f>
              <c:numCache>
                <c:formatCode>General</c:formatCode>
                <c:ptCount val="3"/>
                <c:pt idx="0">
                  <c:v>1.5415000000000001</c:v>
                </c:pt>
                <c:pt idx="1">
                  <c:v>8.1050000000000004</c:v>
                </c:pt>
                <c:pt idx="2">
                  <c:v>11.906500000000001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69-404A-AC13-038E0A191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41585680"/>
        <c:axId val="941586800"/>
      </c:barChart>
      <c:catAx>
        <c:axId val="94158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41586800"/>
        <c:crosses val="autoZero"/>
        <c:auto val="1"/>
        <c:lblAlgn val="ctr"/>
        <c:lblOffset val="100"/>
        <c:noMultiLvlLbl val="0"/>
      </c:catAx>
      <c:valAx>
        <c:axId val="9415868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peak area (mAU*min)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1585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Alaa</dc:creator>
  <cp:keywords/>
  <dc:description/>
  <cp:lastModifiedBy>Fotouh</cp:lastModifiedBy>
  <cp:revision>2</cp:revision>
  <dcterms:created xsi:type="dcterms:W3CDTF">2021-11-29T08:55:00Z</dcterms:created>
  <dcterms:modified xsi:type="dcterms:W3CDTF">2021-11-29T08:55:00Z</dcterms:modified>
</cp:coreProperties>
</file>