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2C80" w14:textId="77777777" w:rsidR="00C20A0A" w:rsidRPr="000C64AC" w:rsidRDefault="00C20A0A" w:rsidP="00C20A0A">
      <w:pPr>
        <w:pStyle w:val="Heading1"/>
        <w:spacing w:after="0"/>
        <w:rPr>
          <w:sz w:val="32"/>
          <w:szCs w:val="32"/>
        </w:rPr>
      </w:pPr>
      <w:r w:rsidRPr="000C64AC">
        <w:rPr>
          <w:sz w:val="32"/>
          <w:szCs w:val="32"/>
        </w:rPr>
        <w:t>Supplemental material for:</w:t>
      </w:r>
    </w:p>
    <w:p w14:paraId="01F81547" w14:textId="77777777" w:rsidR="00C20A0A" w:rsidRPr="000C64AC" w:rsidRDefault="00C20A0A" w:rsidP="00C20A0A">
      <w:pPr>
        <w:pStyle w:val="Heading1"/>
        <w:spacing w:after="0"/>
        <w:rPr>
          <w:sz w:val="32"/>
          <w:szCs w:val="32"/>
        </w:rPr>
      </w:pPr>
      <w:r w:rsidRPr="000C64AC">
        <w:rPr>
          <w:sz w:val="32"/>
          <w:szCs w:val="32"/>
        </w:rPr>
        <w:t xml:space="preserve">INSIGHT 2: A Phase II study of tepotinib plus osimertinib in </w:t>
      </w:r>
      <w:r w:rsidRPr="000C64AC">
        <w:rPr>
          <w:i/>
          <w:iCs/>
          <w:sz w:val="32"/>
          <w:szCs w:val="32"/>
        </w:rPr>
        <w:t>MET</w:t>
      </w:r>
      <w:r w:rsidRPr="000C64AC">
        <w:rPr>
          <w:sz w:val="32"/>
          <w:szCs w:val="32"/>
        </w:rPr>
        <w:t>-amplified NSCLC and first-line osimertinib resistance</w:t>
      </w:r>
    </w:p>
    <w:p w14:paraId="46D6AB79" w14:textId="77777777" w:rsidR="00C20A0A" w:rsidRPr="000C64AC" w:rsidRDefault="00C20A0A" w:rsidP="00C20A0A">
      <w:pPr>
        <w:spacing w:after="0" w:line="240" w:lineRule="auto"/>
        <w:rPr>
          <w:rFonts w:cs="Arial"/>
          <w:b/>
          <w:szCs w:val="24"/>
        </w:rPr>
      </w:pPr>
      <w:r w:rsidRPr="000C64AC">
        <w:rPr>
          <w:rFonts w:cs="Arial"/>
          <w:b/>
          <w:szCs w:val="24"/>
        </w:rPr>
        <w:br w:type="page"/>
      </w:r>
    </w:p>
    <w:p w14:paraId="347D2E21" w14:textId="77777777" w:rsidR="00C20A0A" w:rsidRPr="000C64AC" w:rsidRDefault="00C20A0A" w:rsidP="00C20A0A">
      <w:pPr>
        <w:spacing w:after="0" w:line="240" w:lineRule="auto"/>
        <w:rPr>
          <w:rFonts w:cs="Arial"/>
          <w:b/>
          <w:szCs w:val="24"/>
        </w:rPr>
        <w:sectPr w:rsidR="00C20A0A" w:rsidRPr="000C64AC" w:rsidSect="008075FD">
          <w:pgSz w:w="11906" w:h="16838" w:code="9"/>
          <w:pgMar w:top="1440" w:right="1440" w:bottom="1440" w:left="1440" w:header="706" w:footer="706" w:gutter="0"/>
          <w:cols w:space="720"/>
          <w:docGrid w:linePitch="326"/>
        </w:sectPr>
      </w:pPr>
    </w:p>
    <w:p w14:paraId="415F746A" w14:textId="5115EC52" w:rsidR="00C20A0A" w:rsidRPr="000C64AC" w:rsidRDefault="00C20A0A" w:rsidP="00C20A0A">
      <w:pPr>
        <w:spacing w:after="0" w:line="240" w:lineRule="auto"/>
        <w:rPr>
          <w:rFonts w:cs="Arial"/>
          <w:b/>
          <w:szCs w:val="24"/>
        </w:rPr>
      </w:pPr>
      <w:r w:rsidRPr="000C64AC">
        <w:rPr>
          <w:rFonts w:cs="Arial"/>
          <w:b/>
          <w:szCs w:val="24"/>
        </w:rPr>
        <w:lastRenderedPageBreak/>
        <w:t xml:space="preserve">Table S1. Clinical outcomes with first-, second- and third-generation EGFR TKIs received as first-line therapy in randomized controlled clinical trials of EGFR TKIs in </w:t>
      </w:r>
      <w:r w:rsidRPr="000C64AC">
        <w:rPr>
          <w:rFonts w:cs="Arial"/>
          <w:b/>
          <w:i/>
          <w:iCs/>
          <w:szCs w:val="24"/>
        </w:rPr>
        <w:t>EGFR</w:t>
      </w:r>
      <w:r w:rsidRPr="000C64AC">
        <w:rPr>
          <w:rFonts w:cs="Arial"/>
          <w:b/>
          <w:szCs w:val="24"/>
        </w:rPr>
        <w:t xml:space="preserve">-mutant advanced NSCLC [1–22] </w:t>
      </w:r>
    </w:p>
    <w:p w14:paraId="0601EAD7" w14:textId="77777777" w:rsidR="00C20A0A" w:rsidRPr="000C64AC" w:rsidRDefault="00C20A0A" w:rsidP="00C20A0A">
      <w:pPr>
        <w:spacing w:after="0" w:line="240" w:lineRule="auto"/>
        <w:rPr>
          <w:rFonts w:cs="Arial"/>
          <w:b/>
          <w:sz w:val="20"/>
        </w:rPr>
      </w:pPr>
    </w:p>
    <w:tbl>
      <w:tblPr>
        <w:tblW w:w="14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0"/>
        <w:gridCol w:w="2402"/>
        <w:gridCol w:w="2046"/>
        <w:gridCol w:w="2135"/>
        <w:gridCol w:w="32"/>
        <w:gridCol w:w="2208"/>
      </w:tblGrid>
      <w:tr w:rsidR="00C20A0A" w:rsidRPr="000C64AC" w14:paraId="11E056B7" w14:textId="77777777" w:rsidTr="007A7CAC">
        <w:trPr>
          <w:trHeight w:val="23"/>
        </w:trPr>
        <w:tc>
          <w:tcPr>
            <w:tcW w:w="5690" w:type="dxa"/>
            <w:shd w:val="clear" w:color="auto" w:fill="002060"/>
          </w:tcPr>
          <w:p w14:paraId="129AF5E7" w14:textId="77777777" w:rsidR="00C20A0A" w:rsidRPr="000C64AC" w:rsidRDefault="00C20A0A" w:rsidP="007A7CAC">
            <w:pPr>
              <w:spacing w:after="0" w:line="240" w:lineRule="auto"/>
              <w:jc w:val="center"/>
              <w:rPr>
                <w:rFonts w:cs="Arial"/>
                <w:b/>
                <w:color w:val="FFFFFF"/>
                <w:szCs w:val="24"/>
              </w:rPr>
            </w:pPr>
            <w:r w:rsidRPr="000C64AC">
              <w:rPr>
                <w:rFonts w:cs="Arial"/>
                <w:b/>
                <w:color w:val="FFFFFF"/>
                <w:szCs w:val="24"/>
              </w:rPr>
              <w:t xml:space="preserve">Author/study </w:t>
            </w:r>
          </w:p>
        </w:tc>
        <w:tc>
          <w:tcPr>
            <w:tcW w:w="2402" w:type="dxa"/>
            <w:shd w:val="clear" w:color="auto" w:fill="002060"/>
          </w:tcPr>
          <w:p w14:paraId="5DD85072" w14:textId="77777777" w:rsidR="00C20A0A" w:rsidRPr="000C64AC" w:rsidRDefault="00C20A0A" w:rsidP="007A7CAC">
            <w:pPr>
              <w:spacing w:after="0" w:line="240" w:lineRule="auto"/>
              <w:jc w:val="center"/>
              <w:rPr>
                <w:rFonts w:cs="Arial"/>
                <w:b/>
                <w:color w:val="FFFFFF"/>
                <w:szCs w:val="24"/>
              </w:rPr>
            </w:pPr>
            <w:r w:rsidRPr="000C64AC">
              <w:rPr>
                <w:rFonts w:cs="Arial"/>
                <w:b/>
                <w:color w:val="FFFFFF"/>
                <w:szCs w:val="24"/>
              </w:rPr>
              <w:t>Patients assessed for efficacy, n</w:t>
            </w:r>
          </w:p>
        </w:tc>
        <w:tc>
          <w:tcPr>
            <w:tcW w:w="2046" w:type="dxa"/>
            <w:shd w:val="clear" w:color="auto" w:fill="002060"/>
          </w:tcPr>
          <w:p w14:paraId="4E9301BA" w14:textId="77777777" w:rsidR="00C20A0A" w:rsidRPr="000C64AC" w:rsidRDefault="00C20A0A" w:rsidP="007A7CAC">
            <w:pPr>
              <w:spacing w:after="0" w:line="240" w:lineRule="auto"/>
              <w:jc w:val="center"/>
              <w:rPr>
                <w:rFonts w:cs="Arial"/>
                <w:b/>
                <w:color w:val="FFFFFF"/>
                <w:szCs w:val="24"/>
              </w:rPr>
            </w:pPr>
            <w:r w:rsidRPr="000C64AC">
              <w:rPr>
                <w:rFonts w:cs="Arial"/>
                <w:b/>
                <w:color w:val="FFFFFF"/>
                <w:szCs w:val="24"/>
              </w:rPr>
              <w:t>ORR</w:t>
            </w:r>
          </w:p>
        </w:tc>
        <w:tc>
          <w:tcPr>
            <w:tcW w:w="2167" w:type="dxa"/>
            <w:gridSpan w:val="2"/>
            <w:shd w:val="clear" w:color="auto" w:fill="002060"/>
          </w:tcPr>
          <w:p w14:paraId="78B60E04" w14:textId="77777777" w:rsidR="00C20A0A" w:rsidRPr="000C64AC" w:rsidRDefault="00C20A0A" w:rsidP="007A7CAC">
            <w:pPr>
              <w:spacing w:after="0" w:line="240" w:lineRule="auto"/>
              <w:jc w:val="center"/>
              <w:rPr>
                <w:rFonts w:cs="Arial"/>
                <w:b/>
                <w:color w:val="FFFFFF"/>
                <w:szCs w:val="24"/>
              </w:rPr>
            </w:pPr>
            <w:r w:rsidRPr="000C64AC">
              <w:rPr>
                <w:rFonts w:cs="Arial"/>
                <w:b/>
                <w:color w:val="FFFFFF"/>
                <w:szCs w:val="24"/>
              </w:rPr>
              <w:t>Median PFS</w:t>
            </w:r>
          </w:p>
        </w:tc>
        <w:tc>
          <w:tcPr>
            <w:tcW w:w="2205" w:type="dxa"/>
            <w:shd w:val="clear" w:color="auto" w:fill="002060"/>
          </w:tcPr>
          <w:p w14:paraId="7B449A4C" w14:textId="77777777" w:rsidR="00C20A0A" w:rsidRPr="000C64AC" w:rsidRDefault="00C20A0A" w:rsidP="007A7CAC">
            <w:pPr>
              <w:spacing w:after="0" w:line="240" w:lineRule="auto"/>
              <w:jc w:val="center"/>
              <w:rPr>
                <w:rFonts w:cs="Arial"/>
                <w:b/>
                <w:color w:val="FFFFFF"/>
                <w:szCs w:val="24"/>
              </w:rPr>
            </w:pPr>
            <w:r w:rsidRPr="000C64AC">
              <w:rPr>
                <w:rFonts w:cs="Arial"/>
                <w:b/>
                <w:color w:val="FFFFFF"/>
                <w:szCs w:val="24"/>
              </w:rPr>
              <w:t>Median OS</w:t>
            </w:r>
          </w:p>
        </w:tc>
      </w:tr>
      <w:tr w:rsidR="00C20A0A" w:rsidRPr="000C64AC" w14:paraId="3FD253BF" w14:textId="77777777" w:rsidTr="007A7CAC">
        <w:trPr>
          <w:trHeight w:val="288"/>
        </w:trPr>
        <w:tc>
          <w:tcPr>
            <w:tcW w:w="14513" w:type="dxa"/>
            <w:gridSpan w:val="6"/>
            <w:shd w:val="clear" w:color="auto" w:fill="D9E2F3" w:themeFill="accent1" w:themeFillTint="33"/>
            <w:vAlign w:val="center"/>
          </w:tcPr>
          <w:p w14:paraId="666B5CC1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rPr>
                <w:b/>
                <w:bCs/>
              </w:rPr>
            </w:pPr>
            <w:r w:rsidRPr="000C64AC">
              <w:rPr>
                <w:b/>
                <w:bCs/>
              </w:rPr>
              <w:t>Gefitinib (first-generation)</w:t>
            </w:r>
          </w:p>
        </w:tc>
      </w:tr>
      <w:tr w:rsidR="00C20A0A" w:rsidRPr="000C64AC" w14:paraId="27B3AB2B" w14:textId="77777777" w:rsidTr="007A7CAC">
        <w:trPr>
          <w:trHeight w:val="288"/>
        </w:trPr>
        <w:tc>
          <w:tcPr>
            <w:tcW w:w="5690" w:type="dxa"/>
            <w:vAlign w:val="center"/>
          </w:tcPr>
          <w:p w14:paraId="02E394FE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rPr>
                <w:rFonts w:eastAsia="Verdana" w:cs="Arial"/>
                <w:color w:val="000000"/>
                <w:kern w:val="24"/>
                <w:szCs w:val="24"/>
              </w:rPr>
            </w:pPr>
            <w:r w:rsidRPr="000C64AC">
              <w:t>Mok 2009, Fukuoka 2011 [1,2] IPASS</w:t>
            </w:r>
          </w:p>
        </w:tc>
        <w:tc>
          <w:tcPr>
            <w:tcW w:w="2402" w:type="dxa"/>
            <w:shd w:val="clear" w:color="auto" w:fill="auto"/>
          </w:tcPr>
          <w:p w14:paraId="6FD77623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609</w:t>
            </w:r>
          </w:p>
        </w:tc>
        <w:tc>
          <w:tcPr>
            <w:tcW w:w="2046" w:type="dxa"/>
          </w:tcPr>
          <w:p w14:paraId="37DC20D1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43%</w:t>
            </w:r>
          </w:p>
        </w:tc>
        <w:tc>
          <w:tcPr>
            <w:tcW w:w="2135" w:type="dxa"/>
          </w:tcPr>
          <w:p w14:paraId="12E3C553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5.7 months</w:t>
            </w:r>
          </w:p>
        </w:tc>
        <w:tc>
          <w:tcPr>
            <w:tcW w:w="2237" w:type="dxa"/>
            <w:gridSpan w:val="2"/>
          </w:tcPr>
          <w:p w14:paraId="4715BAFF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18.8 months</w:t>
            </w:r>
          </w:p>
        </w:tc>
      </w:tr>
      <w:tr w:rsidR="00C20A0A" w:rsidRPr="000C64AC" w14:paraId="672A1813" w14:textId="77777777" w:rsidTr="007A7CAC">
        <w:trPr>
          <w:trHeight w:val="288"/>
        </w:trPr>
        <w:tc>
          <w:tcPr>
            <w:tcW w:w="5690" w:type="dxa"/>
            <w:vAlign w:val="center"/>
          </w:tcPr>
          <w:p w14:paraId="32BA64FE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rPr>
                <w:rFonts w:eastAsia="Verdana" w:cs="Arial"/>
                <w:color w:val="000000"/>
                <w:kern w:val="24"/>
                <w:szCs w:val="24"/>
              </w:rPr>
            </w:pPr>
            <w:proofErr w:type="spellStart"/>
            <w:r w:rsidRPr="000C64AC">
              <w:t>Maemondo</w:t>
            </w:r>
            <w:proofErr w:type="spellEnd"/>
            <w:r w:rsidRPr="000C64AC">
              <w:t xml:space="preserve"> 2010, Inoue 2013 [3,4] NEJ002</w:t>
            </w:r>
          </w:p>
        </w:tc>
        <w:tc>
          <w:tcPr>
            <w:tcW w:w="2402" w:type="dxa"/>
            <w:shd w:val="clear" w:color="auto" w:fill="auto"/>
          </w:tcPr>
          <w:p w14:paraId="33C12BFB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114</w:t>
            </w:r>
          </w:p>
        </w:tc>
        <w:tc>
          <w:tcPr>
            <w:tcW w:w="2046" w:type="dxa"/>
          </w:tcPr>
          <w:p w14:paraId="14C10F82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74%</w:t>
            </w:r>
          </w:p>
        </w:tc>
        <w:tc>
          <w:tcPr>
            <w:tcW w:w="2135" w:type="dxa"/>
          </w:tcPr>
          <w:p w14:paraId="4D7CA11A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10.8 months</w:t>
            </w:r>
          </w:p>
        </w:tc>
        <w:tc>
          <w:tcPr>
            <w:tcW w:w="2237" w:type="dxa"/>
            <w:gridSpan w:val="2"/>
          </w:tcPr>
          <w:p w14:paraId="413D4919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27.7 months</w:t>
            </w:r>
          </w:p>
        </w:tc>
      </w:tr>
      <w:tr w:rsidR="00C20A0A" w:rsidRPr="000C64AC" w14:paraId="128C081E" w14:textId="77777777" w:rsidTr="007A7CAC">
        <w:trPr>
          <w:trHeight w:val="288"/>
        </w:trPr>
        <w:tc>
          <w:tcPr>
            <w:tcW w:w="5690" w:type="dxa"/>
            <w:vAlign w:val="center"/>
          </w:tcPr>
          <w:p w14:paraId="54EA827E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rPr>
                <w:rFonts w:eastAsia="Verdana" w:cs="Arial"/>
                <w:color w:val="000000"/>
                <w:kern w:val="24"/>
                <w:szCs w:val="24"/>
              </w:rPr>
            </w:pPr>
            <w:proofErr w:type="spellStart"/>
            <w:r w:rsidRPr="000C64AC">
              <w:t>Mitsudomi</w:t>
            </w:r>
            <w:proofErr w:type="spellEnd"/>
            <w:r w:rsidRPr="000C64AC">
              <w:t xml:space="preserve"> 2010, Yoshioka 2019 [5,6] WJTOG3405</w:t>
            </w:r>
          </w:p>
        </w:tc>
        <w:tc>
          <w:tcPr>
            <w:tcW w:w="2402" w:type="dxa"/>
            <w:shd w:val="clear" w:color="auto" w:fill="auto"/>
          </w:tcPr>
          <w:p w14:paraId="439D03B3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86</w:t>
            </w:r>
          </w:p>
        </w:tc>
        <w:tc>
          <w:tcPr>
            <w:tcW w:w="2046" w:type="dxa"/>
          </w:tcPr>
          <w:p w14:paraId="79A3C164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62%</w:t>
            </w:r>
          </w:p>
        </w:tc>
        <w:tc>
          <w:tcPr>
            <w:tcW w:w="2135" w:type="dxa"/>
          </w:tcPr>
          <w:p w14:paraId="1A3F1197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9.2 months</w:t>
            </w:r>
          </w:p>
        </w:tc>
        <w:tc>
          <w:tcPr>
            <w:tcW w:w="2237" w:type="dxa"/>
            <w:gridSpan w:val="2"/>
          </w:tcPr>
          <w:p w14:paraId="009295DE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34.9 months</w:t>
            </w:r>
          </w:p>
        </w:tc>
      </w:tr>
      <w:tr w:rsidR="00C20A0A" w:rsidRPr="000C64AC" w14:paraId="5902BB28" w14:textId="77777777" w:rsidTr="007A7CAC">
        <w:trPr>
          <w:trHeight w:val="288"/>
        </w:trPr>
        <w:tc>
          <w:tcPr>
            <w:tcW w:w="5690" w:type="dxa"/>
            <w:vAlign w:val="center"/>
          </w:tcPr>
          <w:p w14:paraId="21202FA8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rPr>
                <w:rFonts w:eastAsia="Verdana" w:cs="Arial"/>
                <w:color w:val="000000"/>
                <w:kern w:val="24"/>
                <w:szCs w:val="24"/>
              </w:rPr>
            </w:pPr>
            <w:r w:rsidRPr="000C64AC">
              <w:t>Han 2012 [7] First-SIGNAL</w:t>
            </w:r>
          </w:p>
        </w:tc>
        <w:tc>
          <w:tcPr>
            <w:tcW w:w="2402" w:type="dxa"/>
            <w:shd w:val="clear" w:color="auto" w:fill="auto"/>
          </w:tcPr>
          <w:p w14:paraId="6AD10D51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159</w:t>
            </w:r>
          </w:p>
        </w:tc>
        <w:tc>
          <w:tcPr>
            <w:tcW w:w="2046" w:type="dxa"/>
          </w:tcPr>
          <w:p w14:paraId="70F8D758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55%</w:t>
            </w:r>
          </w:p>
        </w:tc>
        <w:tc>
          <w:tcPr>
            <w:tcW w:w="2135" w:type="dxa"/>
          </w:tcPr>
          <w:p w14:paraId="156A3765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5.8 months</w:t>
            </w:r>
          </w:p>
        </w:tc>
        <w:tc>
          <w:tcPr>
            <w:tcW w:w="2237" w:type="dxa"/>
            <w:gridSpan w:val="2"/>
          </w:tcPr>
          <w:p w14:paraId="26DBCAE0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22.3 months</w:t>
            </w:r>
          </w:p>
        </w:tc>
      </w:tr>
      <w:tr w:rsidR="00C20A0A" w:rsidRPr="000C64AC" w14:paraId="29489869" w14:textId="77777777" w:rsidTr="007A7CAC">
        <w:trPr>
          <w:trHeight w:val="288"/>
        </w:trPr>
        <w:tc>
          <w:tcPr>
            <w:tcW w:w="14513" w:type="dxa"/>
            <w:gridSpan w:val="6"/>
            <w:shd w:val="clear" w:color="auto" w:fill="D9E2F3" w:themeFill="accent1" w:themeFillTint="33"/>
            <w:vAlign w:val="center"/>
          </w:tcPr>
          <w:p w14:paraId="58D2C7D2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rPr>
                <w:b/>
                <w:bCs/>
              </w:rPr>
            </w:pPr>
            <w:r w:rsidRPr="000C64AC">
              <w:rPr>
                <w:b/>
                <w:bCs/>
              </w:rPr>
              <w:t>Erlotinib (first-generation)</w:t>
            </w:r>
          </w:p>
        </w:tc>
      </w:tr>
      <w:tr w:rsidR="00C20A0A" w:rsidRPr="000C64AC" w14:paraId="579EE6BC" w14:textId="77777777" w:rsidTr="007A7CAC">
        <w:trPr>
          <w:trHeight w:val="288"/>
        </w:trPr>
        <w:tc>
          <w:tcPr>
            <w:tcW w:w="5690" w:type="dxa"/>
            <w:vAlign w:val="center"/>
          </w:tcPr>
          <w:p w14:paraId="610BB4CE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rPr>
                <w:rFonts w:eastAsia="Verdana" w:cs="Arial"/>
                <w:color w:val="000000"/>
                <w:kern w:val="24"/>
                <w:szCs w:val="24"/>
              </w:rPr>
            </w:pPr>
            <w:proofErr w:type="spellStart"/>
            <w:r w:rsidRPr="000C64AC">
              <w:t>Rosell</w:t>
            </w:r>
            <w:proofErr w:type="spellEnd"/>
            <w:r w:rsidRPr="000C64AC">
              <w:t xml:space="preserve"> 2012 [8] EURTAC</w:t>
            </w:r>
          </w:p>
        </w:tc>
        <w:tc>
          <w:tcPr>
            <w:tcW w:w="2402" w:type="dxa"/>
            <w:shd w:val="clear" w:color="auto" w:fill="auto"/>
          </w:tcPr>
          <w:p w14:paraId="192439AD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86</w:t>
            </w:r>
          </w:p>
        </w:tc>
        <w:tc>
          <w:tcPr>
            <w:tcW w:w="2046" w:type="dxa"/>
          </w:tcPr>
          <w:p w14:paraId="1DC55879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58%</w:t>
            </w:r>
          </w:p>
        </w:tc>
        <w:tc>
          <w:tcPr>
            <w:tcW w:w="2135" w:type="dxa"/>
          </w:tcPr>
          <w:p w14:paraId="36DFDD65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9.7 months</w:t>
            </w:r>
          </w:p>
        </w:tc>
        <w:tc>
          <w:tcPr>
            <w:tcW w:w="2237" w:type="dxa"/>
            <w:gridSpan w:val="2"/>
          </w:tcPr>
          <w:p w14:paraId="453D3173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19.3 months</w:t>
            </w:r>
          </w:p>
        </w:tc>
      </w:tr>
      <w:tr w:rsidR="00C20A0A" w:rsidRPr="000C64AC" w14:paraId="6802D23E" w14:textId="77777777" w:rsidTr="007A7CAC">
        <w:trPr>
          <w:trHeight w:val="288"/>
        </w:trPr>
        <w:tc>
          <w:tcPr>
            <w:tcW w:w="5690" w:type="dxa"/>
            <w:vAlign w:val="center"/>
          </w:tcPr>
          <w:p w14:paraId="0606B1F6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rPr>
                <w:rFonts w:eastAsia="Verdana" w:cs="Arial"/>
                <w:color w:val="000000"/>
                <w:kern w:val="24"/>
                <w:szCs w:val="24"/>
              </w:rPr>
            </w:pPr>
            <w:r w:rsidRPr="000C64AC">
              <w:t>Zhou 2011, Zhou 2015 [9,10] OPTIMAL</w:t>
            </w:r>
          </w:p>
        </w:tc>
        <w:tc>
          <w:tcPr>
            <w:tcW w:w="2402" w:type="dxa"/>
            <w:shd w:val="clear" w:color="auto" w:fill="auto"/>
          </w:tcPr>
          <w:p w14:paraId="49E5E0EA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82</w:t>
            </w:r>
          </w:p>
        </w:tc>
        <w:tc>
          <w:tcPr>
            <w:tcW w:w="2046" w:type="dxa"/>
          </w:tcPr>
          <w:p w14:paraId="12F253D7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83%</w:t>
            </w:r>
          </w:p>
        </w:tc>
        <w:tc>
          <w:tcPr>
            <w:tcW w:w="2135" w:type="dxa"/>
          </w:tcPr>
          <w:p w14:paraId="758728FB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13.1 months</w:t>
            </w:r>
          </w:p>
        </w:tc>
        <w:tc>
          <w:tcPr>
            <w:tcW w:w="2237" w:type="dxa"/>
            <w:gridSpan w:val="2"/>
          </w:tcPr>
          <w:p w14:paraId="5D3C2922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22.8 months</w:t>
            </w:r>
          </w:p>
        </w:tc>
      </w:tr>
      <w:tr w:rsidR="00C20A0A" w:rsidRPr="000C64AC" w14:paraId="400D51D6" w14:textId="77777777" w:rsidTr="007A7CAC">
        <w:trPr>
          <w:trHeight w:val="288"/>
        </w:trPr>
        <w:tc>
          <w:tcPr>
            <w:tcW w:w="5690" w:type="dxa"/>
            <w:vAlign w:val="center"/>
          </w:tcPr>
          <w:p w14:paraId="4F488D02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rPr>
                <w:rFonts w:eastAsia="Verdana" w:cs="Arial"/>
                <w:color w:val="000000"/>
                <w:kern w:val="24"/>
                <w:szCs w:val="24"/>
              </w:rPr>
            </w:pPr>
            <w:r w:rsidRPr="000C64AC">
              <w:t>Wu 2015 [11] ENSURE</w:t>
            </w:r>
          </w:p>
        </w:tc>
        <w:tc>
          <w:tcPr>
            <w:tcW w:w="2402" w:type="dxa"/>
            <w:shd w:val="clear" w:color="auto" w:fill="auto"/>
          </w:tcPr>
          <w:p w14:paraId="2D566290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110</w:t>
            </w:r>
          </w:p>
        </w:tc>
        <w:tc>
          <w:tcPr>
            <w:tcW w:w="2046" w:type="dxa"/>
          </w:tcPr>
          <w:p w14:paraId="66100A2C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63%</w:t>
            </w:r>
          </w:p>
        </w:tc>
        <w:tc>
          <w:tcPr>
            <w:tcW w:w="2135" w:type="dxa"/>
          </w:tcPr>
          <w:p w14:paraId="10632E5A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11.0 months</w:t>
            </w:r>
          </w:p>
        </w:tc>
        <w:tc>
          <w:tcPr>
            <w:tcW w:w="2237" w:type="dxa"/>
            <w:gridSpan w:val="2"/>
          </w:tcPr>
          <w:p w14:paraId="47F5E98B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26.3 months</w:t>
            </w:r>
          </w:p>
        </w:tc>
      </w:tr>
      <w:tr w:rsidR="00C20A0A" w:rsidRPr="000C64AC" w14:paraId="76E7E86C" w14:textId="77777777" w:rsidTr="007A7CAC">
        <w:trPr>
          <w:trHeight w:val="288"/>
        </w:trPr>
        <w:tc>
          <w:tcPr>
            <w:tcW w:w="5690" w:type="dxa"/>
            <w:vAlign w:val="center"/>
          </w:tcPr>
          <w:p w14:paraId="5A095E80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rPr>
                <w:rFonts w:eastAsia="Verdana" w:cs="Arial"/>
                <w:color w:val="000000"/>
                <w:kern w:val="24"/>
                <w:szCs w:val="24"/>
              </w:rPr>
            </w:pPr>
            <w:r w:rsidRPr="000C64AC">
              <w:t>Yang 2017 [12] CTONG0901</w:t>
            </w:r>
          </w:p>
        </w:tc>
        <w:tc>
          <w:tcPr>
            <w:tcW w:w="2402" w:type="dxa"/>
            <w:shd w:val="clear" w:color="auto" w:fill="auto"/>
          </w:tcPr>
          <w:p w14:paraId="347B3396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128</w:t>
            </w:r>
          </w:p>
        </w:tc>
        <w:tc>
          <w:tcPr>
            <w:tcW w:w="2046" w:type="dxa"/>
          </w:tcPr>
          <w:p w14:paraId="7576C839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56%</w:t>
            </w:r>
          </w:p>
        </w:tc>
        <w:tc>
          <w:tcPr>
            <w:tcW w:w="2135" w:type="dxa"/>
          </w:tcPr>
          <w:p w14:paraId="68EC1E87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13.0 months</w:t>
            </w:r>
          </w:p>
        </w:tc>
        <w:tc>
          <w:tcPr>
            <w:tcW w:w="2237" w:type="dxa"/>
            <w:gridSpan w:val="2"/>
          </w:tcPr>
          <w:p w14:paraId="455C0991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22.9 months</w:t>
            </w:r>
          </w:p>
        </w:tc>
      </w:tr>
      <w:tr w:rsidR="00C20A0A" w:rsidRPr="000C64AC" w14:paraId="73AD19D4" w14:textId="77777777" w:rsidTr="007A7CAC">
        <w:trPr>
          <w:trHeight w:val="288"/>
        </w:trPr>
        <w:tc>
          <w:tcPr>
            <w:tcW w:w="14513" w:type="dxa"/>
            <w:gridSpan w:val="6"/>
            <w:vAlign w:val="center"/>
          </w:tcPr>
          <w:p w14:paraId="39CC74E4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rPr>
                <w:b/>
                <w:bCs/>
              </w:rPr>
            </w:pPr>
            <w:proofErr w:type="spellStart"/>
            <w:r w:rsidRPr="000C64AC">
              <w:rPr>
                <w:rFonts w:eastAsia="Verdana" w:cs="Arial"/>
                <w:b/>
                <w:bCs/>
                <w:color w:val="000000"/>
                <w:kern w:val="24"/>
                <w:szCs w:val="24"/>
              </w:rPr>
              <w:t>Icotinib</w:t>
            </w:r>
            <w:proofErr w:type="spellEnd"/>
            <w:r w:rsidRPr="000C64AC">
              <w:rPr>
                <w:rFonts w:eastAsia="Verdana" w:cs="Arial"/>
                <w:b/>
                <w:bCs/>
                <w:color w:val="000000"/>
                <w:kern w:val="24"/>
                <w:szCs w:val="24"/>
              </w:rPr>
              <w:t xml:space="preserve"> (first-generation)</w:t>
            </w:r>
          </w:p>
        </w:tc>
      </w:tr>
      <w:tr w:rsidR="00C20A0A" w:rsidRPr="000C64AC" w14:paraId="5B91525C" w14:textId="77777777" w:rsidTr="007A7CAC">
        <w:trPr>
          <w:trHeight w:val="288"/>
        </w:trPr>
        <w:tc>
          <w:tcPr>
            <w:tcW w:w="5690" w:type="dxa"/>
            <w:vAlign w:val="center"/>
          </w:tcPr>
          <w:p w14:paraId="52C4D366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rPr>
                <w:rFonts w:eastAsia="Verdana" w:cs="Arial"/>
                <w:color w:val="000000"/>
                <w:kern w:val="24"/>
                <w:szCs w:val="24"/>
              </w:rPr>
            </w:pPr>
            <w:r w:rsidRPr="000C64AC">
              <w:t>Shi 2017 [13] CONVINCE</w:t>
            </w:r>
          </w:p>
        </w:tc>
        <w:tc>
          <w:tcPr>
            <w:tcW w:w="2402" w:type="dxa"/>
            <w:shd w:val="clear" w:color="auto" w:fill="auto"/>
          </w:tcPr>
          <w:p w14:paraId="63EED3C8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148</w:t>
            </w:r>
          </w:p>
        </w:tc>
        <w:tc>
          <w:tcPr>
            <w:tcW w:w="2046" w:type="dxa"/>
          </w:tcPr>
          <w:p w14:paraId="5C3F96CA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NR</w:t>
            </w:r>
          </w:p>
        </w:tc>
        <w:tc>
          <w:tcPr>
            <w:tcW w:w="2135" w:type="dxa"/>
          </w:tcPr>
          <w:p w14:paraId="0E88BC3F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11.2 months</w:t>
            </w:r>
          </w:p>
        </w:tc>
        <w:tc>
          <w:tcPr>
            <w:tcW w:w="2237" w:type="dxa"/>
            <w:gridSpan w:val="2"/>
          </w:tcPr>
          <w:p w14:paraId="2EAA6FD7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30.5 months</w:t>
            </w:r>
          </w:p>
        </w:tc>
      </w:tr>
      <w:tr w:rsidR="00C20A0A" w:rsidRPr="000C64AC" w14:paraId="48DAE3FF" w14:textId="77777777" w:rsidTr="007A7CAC">
        <w:trPr>
          <w:trHeight w:val="288"/>
        </w:trPr>
        <w:tc>
          <w:tcPr>
            <w:tcW w:w="14513" w:type="dxa"/>
            <w:gridSpan w:val="6"/>
            <w:shd w:val="clear" w:color="auto" w:fill="D9E2F3" w:themeFill="accent1" w:themeFillTint="33"/>
            <w:vAlign w:val="center"/>
          </w:tcPr>
          <w:p w14:paraId="711189A8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rPr>
                <w:b/>
                <w:bCs/>
              </w:rPr>
            </w:pPr>
            <w:r w:rsidRPr="000C64AC">
              <w:rPr>
                <w:rFonts w:eastAsia="Verdana" w:cs="Arial"/>
                <w:b/>
                <w:bCs/>
                <w:color w:val="000000"/>
                <w:kern w:val="24"/>
                <w:szCs w:val="24"/>
              </w:rPr>
              <w:t>Afatinib (second-generation)</w:t>
            </w:r>
          </w:p>
        </w:tc>
      </w:tr>
      <w:tr w:rsidR="00C20A0A" w:rsidRPr="000C64AC" w14:paraId="463115AA" w14:textId="77777777" w:rsidTr="007A7CAC">
        <w:trPr>
          <w:trHeight w:val="288"/>
        </w:trPr>
        <w:tc>
          <w:tcPr>
            <w:tcW w:w="5690" w:type="dxa"/>
            <w:vAlign w:val="center"/>
          </w:tcPr>
          <w:p w14:paraId="1069921E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rPr>
                <w:rFonts w:eastAsia="Verdana" w:cs="Arial"/>
                <w:color w:val="000000"/>
                <w:kern w:val="24"/>
                <w:szCs w:val="24"/>
              </w:rPr>
            </w:pPr>
            <w:r w:rsidRPr="000C64AC">
              <w:t>Sequist 2013, Yang 2015 [14,15] LUX-Lung 3</w:t>
            </w:r>
          </w:p>
        </w:tc>
        <w:tc>
          <w:tcPr>
            <w:tcW w:w="2402" w:type="dxa"/>
            <w:shd w:val="clear" w:color="auto" w:fill="auto"/>
          </w:tcPr>
          <w:p w14:paraId="3D1752A1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230</w:t>
            </w:r>
          </w:p>
        </w:tc>
        <w:tc>
          <w:tcPr>
            <w:tcW w:w="2046" w:type="dxa"/>
          </w:tcPr>
          <w:p w14:paraId="42C9BA23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56%</w:t>
            </w:r>
          </w:p>
        </w:tc>
        <w:tc>
          <w:tcPr>
            <w:tcW w:w="2135" w:type="dxa"/>
          </w:tcPr>
          <w:p w14:paraId="4FF6ADC6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11.1 months</w:t>
            </w:r>
          </w:p>
        </w:tc>
        <w:tc>
          <w:tcPr>
            <w:tcW w:w="2237" w:type="dxa"/>
            <w:gridSpan w:val="2"/>
          </w:tcPr>
          <w:p w14:paraId="457575B2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28.2 months</w:t>
            </w:r>
          </w:p>
        </w:tc>
      </w:tr>
      <w:tr w:rsidR="00C20A0A" w:rsidRPr="000C64AC" w14:paraId="6D0C7108" w14:textId="77777777" w:rsidTr="007A7CAC">
        <w:trPr>
          <w:trHeight w:val="288"/>
        </w:trPr>
        <w:tc>
          <w:tcPr>
            <w:tcW w:w="5690" w:type="dxa"/>
            <w:vAlign w:val="center"/>
          </w:tcPr>
          <w:p w14:paraId="6418F917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rPr>
                <w:rFonts w:eastAsia="Verdana" w:cs="Arial"/>
                <w:color w:val="000000"/>
                <w:kern w:val="24"/>
                <w:szCs w:val="24"/>
              </w:rPr>
            </w:pPr>
            <w:r w:rsidRPr="000C64AC">
              <w:t>Wu 2014, Yang 2015 [15,16] LUX-Lung 6</w:t>
            </w:r>
          </w:p>
        </w:tc>
        <w:tc>
          <w:tcPr>
            <w:tcW w:w="2402" w:type="dxa"/>
            <w:shd w:val="clear" w:color="auto" w:fill="auto"/>
          </w:tcPr>
          <w:p w14:paraId="2D18DB7F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242</w:t>
            </w:r>
          </w:p>
        </w:tc>
        <w:tc>
          <w:tcPr>
            <w:tcW w:w="2046" w:type="dxa"/>
          </w:tcPr>
          <w:p w14:paraId="2DA95F72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67%</w:t>
            </w:r>
          </w:p>
        </w:tc>
        <w:tc>
          <w:tcPr>
            <w:tcW w:w="2135" w:type="dxa"/>
          </w:tcPr>
          <w:p w14:paraId="55BF56C1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11.0 months</w:t>
            </w:r>
          </w:p>
        </w:tc>
        <w:tc>
          <w:tcPr>
            <w:tcW w:w="2237" w:type="dxa"/>
            <w:gridSpan w:val="2"/>
          </w:tcPr>
          <w:p w14:paraId="287008C0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23.1 months</w:t>
            </w:r>
          </w:p>
        </w:tc>
      </w:tr>
      <w:tr w:rsidR="00C20A0A" w:rsidRPr="000C64AC" w14:paraId="14E4DEDF" w14:textId="77777777" w:rsidTr="007A7CAC">
        <w:trPr>
          <w:trHeight w:val="288"/>
        </w:trPr>
        <w:tc>
          <w:tcPr>
            <w:tcW w:w="5690" w:type="dxa"/>
            <w:vAlign w:val="center"/>
          </w:tcPr>
          <w:p w14:paraId="11594475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rPr>
                <w:rFonts w:eastAsia="Verdana" w:cs="Arial"/>
                <w:color w:val="000000"/>
                <w:kern w:val="24"/>
                <w:szCs w:val="24"/>
              </w:rPr>
            </w:pPr>
            <w:r w:rsidRPr="000C64AC">
              <w:t>Park 2016, Paz-Ares 2017 [17,18] LUX-Lung 7</w:t>
            </w:r>
          </w:p>
        </w:tc>
        <w:tc>
          <w:tcPr>
            <w:tcW w:w="2402" w:type="dxa"/>
            <w:shd w:val="clear" w:color="auto" w:fill="auto"/>
          </w:tcPr>
          <w:p w14:paraId="28A3FC6B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160</w:t>
            </w:r>
          </w:p>
        </w:tc>
        <w:tc>
          <w:tcPr>
            <w:tcW w:w="2046" w:type="dxa"/>
          </w:tcPr>
          <w:p w14:paraId="36176C63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70%</w:t>
            </w:r>
          </w:p>
        </w:tc>
        <w:tc>
          <w:tcPr>
            <w:tcW w:w="2135" w:type="dxa"/>
          </w:tcPr>
          <w:p w14:paraId="3BA5F1CC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11.0 months</w:t>
            </w:r>
          </w:p>
        </w:tc>
        <w:tc>
          <w:tcPr>
            <w:tcW w:w="2237" w:type="dxa"/>
            <w:gridSpan w:val="2"/>
          </w:tcPr>
          <w:p w14:paraId="683A0529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27.9 months</w:t>
            </w:r>
          </w:p>
        </w:tc>
      </w:tr>
      <w:tr w:rsidR="00C20A0A" w:rsidRPr="000C64AC" w14:paraId="57AD0165" w14:textId="77777777" w:rsidTr="007A7CAC">
        <w:trPr>
          <w:trHeight w:val="288"/>
        </w:trPr>
        <w:tc>
          <w:tcPr>
            <w:tcW w:w="14513" w:type="dxa"/>
            <w:gridSpan w:val="6"/>
            <w:shd w:val="clear" w:color="auto" w:fill="D9E2F3" w:themeFill="accent1" w:themeFillTint="33"/>
            <w:vAlign w:val="center"/>
          </w:tcPr>
          <w:p w14:paraId="2B46D6D9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rPr>
                <w:b/>
                <w:bCs/>
              </w:rPr>
            </w:pPr>
            <w:r w:rsidRPr="000C64AC">
              <w:rPr>
                <w:b/>
                <w:bCs/>
              </w:rPr>
              <w:t>Dacomitinib (second-generation)</w:t>
            </w:r>
          </w:p>
        </w:tc>
      </w:tr>
      <w:tr w:rsidR="00C20A0A" w:rsidRPr="000C64AC" w14:paraId="56E15CF8" w14:textId="77777777" w:rsidTr="007A7CAC">
        <w:trPr>
          <w:trHeight w:val="288"/>
        </w:trPr>
        <w:tc>
          <w:tcPr>
            <w:tcW w:w="5690" w:type="dxa"/>
            <w:vAlign w:val="center"/>
          </w:tcPr>
          <w:p w14:paraId="231B733C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rPr>
                <w:rFonts w:eastAsia="Verdana" w:cs="Arial"/>
                <w:color w:val="000000"/>
                <w:kern w:val="24"/>
                <w:szCs w:val="24"/>
              </w:rPr>
            </w:pPr>
            <w:r w:rsidRPr="000C64AC">
              <w:t>Wu 2017, Mok 2021 [19,20] ARCHER1050</w:t>
            </w:r>
          </w:p>
        </w:tc>
        <w:tc>
          <w:tcPr>
            <w:tcW w:w="2402" w:type="dxa"/>
            <w:shd w:val="clear" w:color="auto" w:fill="auto"/>
          </w:tcPr>
          <w:p w14:paraId="6F207BB7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227</w:t>
            </w:r>
          </w:p>
        </w:tc>
        <w:tc>
          <w:tcPr>
            <w:tcW w:w="2046" w:type="dxa"/>
          </w:tcPr>
          <w:p w14:paraId="4C372127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75%</w:t>
            </w:r>
          </w:p>
        </w:tc>
        <w:tc>
          <w:tcPr>
            <w:tcW w:w="2135" w:type="dxa"/>
          </w:tcPr>
          <w:p w14:paraId="79FFB0CD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14.7 months</w:t>
            </w:r>
          </w:p>
        </w:tc>
        <w:tc>
          <w:tcPr>
            <w:tcW w:w="2237" w:type="dxa"/>
            <w:gridSpan w:val="2"/>
          </w:tcPr>
          <w:p w14:paraId="612EAE4B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34.1 months</w:t>
            </w:r>
          </w:p>
        </w:tc>
      </w:tr>
      <w:tr w:rsidR="00C20A0A" w:rsidRPr="000C64AC" w14:paraId="265D01F8" w14:textId="77777777" w:rsidTr="007A7CAC">
        <w:trPr>
          <w:trHeight w:val="288"/>
        </w:trPr>
        <w:tc>
          <w:tcPr>
            <w:tcW w:w="14513" w:type="dxa"/>
            <w:gridSpan w:val="6"/>
            <w:shd w:val="clear" w:color="auto" w:fill="D9E2F3" w:themeFill="accent1" w:themeFillTint="33"/>
            <w:vAlign w:val="center"/>
          </w:tcPr>
          <w:p w14:paraId="1EB87B40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rPr>
                <w:b/>
                <w:bCs/>
              </w:rPr>
            </w:pPr>
            <w:r w:rsidRPr="000C64AC">
              <w:rPr>
                <w:b/>
                <w:bCs/>
              </w:rPr>
              <w:t>Osimertinib (</w:t>
            </w:r>
            <w:proofErr w:type="gramStart"/>
            <w:r w:rsidRPr="000C64AC">
              <w:rPr>
                <w:b/>
                <w:bCs/>
              </w:rPr>
              <w:t>third-generation</w:t>
            </w:r>
            <w:proofErr w:type="gramEnd"/>
            <w:r w:rsidRPr="000C64AC">
              <w:rPr>
                <w:b/>
                <w:bCs/>
              </w:rPr>
              <w:t>)</w:t>
            </w:r>
          </w:p>
        </w:tc>
      </w:tr>
      <w:tr w:rsidR="00C20A0A" w:rsidRPr="000C64AC" w14:paraId="2AE7F02F" w14:textId="77777777" w:rsidTr="007A7CAC">
        <w:trPr>
          <w:trHeight w:val="288"/>
        </w:trPr>
        <w:tc>
          <w:tcPr>
            <w:tcW w:w="5690" w:type="dxa"/>
            <w:vAlign w:val="center"/>
          </w:tcPr>
          <w:p w14:paraId="59215804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rPr>
                <w:rFonts w:eastAsia="Verdana" w:cs="Arial"/>
                <w:color w:val="000000"/>
                <w:kern w:val="24"/>
                <w:szCs w:val="24"/>
              </w:rPr>
            </w:pPr>
            <w:r w:rsidRPr="000C64AC">
              <w:t>Soria 2018, Ramalingam 2020 [21,22] FLAURA</w:t>
            </w:r>
          </w:p>
        </w:tc>
        <w:tc>
          <w:tcPr>
            <w:tcW w:w="2402" w:type="dxa"/>
            <w:shd w:val="clear" w:color="auto" w:fill="auto"/>
          </w:tcPr>
          <w:p w14:paraId="6F3A71E2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279</w:t>
            </w:r>
          </w:p>
        </w:tc>
        <w:tc>
          <w:tcPr>
            <w:tcW w:w="2046" w:type="dxa"/>
          </w:tcPr>
          <w:p w14:paraId="302FE28A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80%</w:t>
            </w:r>
          </w:p>
        </w:tc>
        <w:tc>
          <w:tcPr>
            <w:tcW w:w="2135" w:type="dxa"/>
          </w:tcPr>
          <w:p w14:paraId="3812904A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18.9 months</w:t>
            </w:r>
          </w:p>
        </w:tc>
        <w:tc>
          <w:tcPr>
            <w:tcW w:w="2237" w:type="dxa"/>
            <w:gridSpan w:val="2"/>
          </w:tcPr>
          <w:p w14:paraId="3B363DA7" w14:textId="77777777" w:rsidR="00C20A0A" w:rsidRPr="000C64AC" w:rsidRDefault="00C20A0A" w:rsidP="007A7CAC">
            <w:pPr>
              <w:tabs>
                <w:tab w:val="left" w:pos="7100"/>
              </w:tabs>
              <w:spacing w:after="0" w:line="240" w:lineRule="auto"/>
              <w:jc w:val="center"/>
            </w:pPr>
            <w:r w:rsidRPr="000C64AC">
              <w:t>38.6 months</w:t>
            </w:r>
          </w:p>
        </w:tc>
      </w:tr>
    </w:tbl>
    <w:p w14:paraId="59B6B790" w14:textId="77777777" w:rsidR="00C20A0A" w:rsidRDefault="00C20A0A" w:rsidP="00C20A0A">
      <w:pPr>
        <w:tabs>
          <w:tab w:val="left" w:pos="7100"/>
        </w:tabs>
        <w:rPr>
          <w:rFonts w:cs="Arial"/>
          <w:sz w:val="20"/>
        </w:rPr>
      </w:pPr>
    </w:p>
    <w:p w14:paraId="1EF5FD9D" w14:textId="0CA2B998" w:rsidR="00C20A0A" w:rsidRPr="000C64AC" w:rsidRDefault="00C20A0A" w:rsidP="00C20A0A">
      <w:pPr>
        <w:tabs>
          <w:tab w:val="left" w:pos="7100"/>
        </w:tabs>
        <w:rPr>
          <w:b/>
          <w:kern w:val="28"/>
          <w:sz w:val="30"/>
        </w:rPr>
      </w:pPr>
      <w:r w:rsidRPr="000C64AC">
        <w:rPr>
          <w:rFonts w:cs="Arial"/>
          <w:sz w:val="20"/>
        </w:rPr>
        <w:t>EGFR: epidermal growth factor receptor; NSCLC: non-small cell lung cancer; ORR: objective response rate; OS: overall survival; PFS: progression-free survival; TKI: tyrosine kinase inhibitor.</w:t>
      </w:r>
      <w:r w:rsidRPr="000C64AC">
        <w:br w:type="page"/>
      </w:r>
    </w:p>
    <w:p w14:paraId="5E0F2EE6" w14:textId="77777777" w:rsidR="00C20A0A" w:rsidRPr="000C64AC" w:rsidRDefault="00C20A0A" w:rsidP="00C20A0A">
      <w:pPr>
        <w:pStyle w:val="Heading1"/>
        <w:sectPr w:rsidR="00C20A0A" w:rsidRPr="000C64AC" w:rsidSect="006F05C2">
          <w:pgSz w:w="16838" w:h="11906" w:orient="landscape" w:code="9"/>
          <w:pgMar w:top="1440" w:right="1440" w:bottom="1440" w:left="1440" w:header="706" w:footer="706" w:gutter="0"/>
          <w:cols w:space="720"/>
          <w:docGrid w:linePitch="326"/>
        </w:sectPr>
      </w:pPr>
    </w:p>
    <w:p w14:paraId="0787169C" w14:textId="77777777" w:rsidR="00C20A0A" w:rsidRPr="000C64AC" w:rsidRDefault="00C20A0A" w:rsidP="00C20A0A">
      <w:pPr>
        <w:pStyle w:val="Heading1"/>
      </w:pPr>
      <w:r w:rsidRPr="000C64AC">
        <w:lastRenderedPageBreak/>
        <w:t>References for supplemental material</w:t>
      </w:r>
    </w:p>
    <w:p w14:paraId="647B051C" w14:textId="77777777" w:rsidR="00C20A0A" w:rsidRPr="000C64AC" w:rsidRDefault="00C20A0A" w:rsidP="00C20A0A">
      <w:pPr>
        <w:numPr>
          <w:ilvl w:val="0"/>
          <w:numId w:val="1"/>
        </w:numPr>
        <w:contextualSpacing/>
        <w:rPr>
          <w:rFonts w:eastAsia="Calibri" w:cs="Arial"/>
          <w:szCs w:val="24"/>
        </w:rPr>
      </w:pPr>
      <w:bookmarkStart w:id="0" w:name="_Hlk88729996"/>
      <w:r w:rsidRPr="000C64AC">
        <w:rPr>
          <w:rFonts w:eastAsia="Calibri" w:cs="Arial"/>
          <w:szCs w:val="24"/>
        </w:rPr>
        <w:t xml:space="preserve">Mok TS </w:t>
      </w:r>
      <w:r w:rsidRPr="000C64AC">
        <w:rPr>
          <w:rFonts w:eastAsia="Calibri" w:cs="Arial"/>
          <w:i/>
          <w:iCs/>
          <w:szCs w:val="24"/>
        </w:rPr>
        <w:t>et al</w:t>
      </w:r>
      <w:r w:rsidRPr="000C64AC">
        <w:rPr>
          <w:rFonts w:eastAsia="Calibri" w:cs="Arial"/>
          <w:szCs w:val="24"/>
        </w:rPr>
        <w:t xml:space="preserve">. Gefitinib or carboplatin-paclitaxel in pulmonary adenocarcinoma. </w:t>
      </w:r>
      <w:r w:rsidRPr="000C64AC">
        <w:rPr>
          <w:rFonts w:cs="Arial"/>
          <w:i/>
          <w:iCs/>
          <w:color w:val="212121"/>
          <w:shd w:val="clear" w:color="auto" w:fill="FFFFFF"/>
        </w:rPr>
        <w:t>N. Engl. J. Med</w:t>
      </w:r>
      <w:r w:rsidRPr="000C64AC">
        <w:rPr>
          <w:rFonts w:cs="Arial"/>
          <w:color w:val="212121"/>
          <w:shd w:val="clear" w:color="auto" w:fill="FFFFFF"/>
        </w:rPr>
        <w:t xml:space="preserve">. </w:t>
      </w:r>
      <w:r w:rsidRPr="000C64AC">
        <w:rPr>
          <w:rFonts w:eastAsia="Calibri" w:cs="Arial"/>
          <w:szCs w:val="24"/>
        </w:rPr>
        <w:t>361(10), 947–957 (2009).</w:t>
      </w:r>
    </w:p>
    <w:p w14:paraId="5E7FE3FA" w14:textId="77777777" w:rsidR="00C20A0A" w:rsidRPr="000C64AC" w:rsidRDefault="00C20A0A" w:rsidP="00C20A0A">
      <w:pPr>
        <w:numPr>
          <w:ilvl w:val="0"/>
          <w:numId w:val="1"/>
        </w:numPr>
        <w:contextualSpacing/>
        <w:rPr>
          <w:rFonts w:eastAsia="Calibri" w:cs="Arial"/>
          <w:szCs w:val="24"/>
        </w:rPr>
      </w:pPr>
      <w:r w:rsidRPr="000C64AC">
        <w:rPr>
          <w:rFonts w:eastAsia="Calibri" w:cs="Arial"/>
          <w:szCs w:val="24"/>
        </w:rPr>
        <w:t xml:space="preserve">Fukuoka M </w:t>
      </w:r>
      <w:r w:rsidRPr="000C64AC">
        <w:rPr>
          <w:rFonts w:eastAsia="Calibri" w:cs="Arial"/>
          <w:i/>
          <w:iCs/>
          <w:szCs w:val="24"/>
        </w:rPr>
        <w:t>et al</w:t>
      </w:r>
      <w:r w:rsidRPr="000C64AC">
        <w:rPr>
          <w:rFonts w:eastAsia="Calibri" w:cs="Arial"/>
          <w:szCs w:val="24"/>
        </w:rPr>
        <w:t xml:space="preserve">. Biomarker analyses and final overall survival results from a phase III, randomized, open-label, first-line study of gefitinib versus carboplatin/paclitaxel in clinically selected patients with advanced non-small-cell lung cancer in Asia (IPASS). </w:t>
      </w:r>
      <w:r w:rsidRPr="000C64AC">
        <w:rPr>
          <w:rFonts w:cs="Arial"/>
          <w:i/>
          <w:iCs/>
          <w:color w:val="212121"/>
          <w:shd w:val="clear" w:color="auto" w:fill="FFFFFF"/>
        </w:rPr>
        <w:t>J. Clin. Oncol</w:t>
      </w:r>
      <w:r w:rsidRPr="000C64AC">
        <w:rPr>
          <w:rFonts w:cs="Arial"/>
          <w:color w:val="212121"/>
          <w:shd w:val="clear" w:color="auto" w:fill="FFFFFF"/>
        </w:rPr>
        <w:t xml:space="preserve">. </w:t>
      </w:r>
      <w:r w:rsidRPr="000C64AC">
        <w:rPr>
          <w:rFonts w:eastAsia="Calibri" w:cs="Arial"/>
          <w:szCs w:val="24"/>
        </w:rPr>
        <w:t>29(21), 2866–2874 (2011).</w:t>
      </w:r>
    </w:p>
    <w:p w14:paraId="6B59E1BB" w14:textId="77777777" w:rsidR="00C20A0A" w:rsidRPr="000C64AC" w:rsidRDefault="00C20A0A" w:rsidP="00C20A0A">
      <w:pPr>
        <w:numPr>
          <w:ilvl w:val="0"/>
          <w:numId w:val="1"/>
        </w:numPr>
        <w:contextualSpacing/>
        <w:rPr>
          <w:rFonts w:eastAsia="Calibri" w:cs="Arial"/>
          <w:szCs w:val="24"/>
        </w:rPr>
      </w:pPr>
      <w:proofErr w:type="spellStart"/>
      <w:r w:rsidRPr="000C64AC">
        <w:rPr>
          <w:rFonts w:eastAsia="Calibri" w:cs="Arial"/>
          <w:szCs w:val="24"/>
        </w:rPr>
        <w:t>Maemondo</w:t>
      </w:r>
      <w:proofErr w:type="spellEnd"/>
      <w:r w:rsidRPr="000C64AC">
        <w:rPr>
          <w:rFonts w:eastAsia="Calibri" w:cs="Arial"/>
          <w:szCs w:val="24"/>
        </w:rPr>
        <w:t xml:space="preserve"> M </w:t>
      </w:r>
      <w:r w:rsidRPr="000C64AC">
        <w:rPr>
          <w:rFonts w:eastAsia="Calibri" w:cs="Arial"/>
          <w:i/>
          <w:iCs/>
          <w:szCs w:val="24"/>
        </w:rPr>
        <w:t>et al</w:t>
      </w:r>
      <w:r w:rsidRPr="000C64AC">
        <w:rPr>
          <w:rFonts w:eastAsia="Calibri" w:cs="Arial"/>
          <w:szCs w:val="24"/>
        </w:rPr>
        <w:t xml:space="preserve">. Gefitinib or chemotherapy for non-small-cell lung cancer with mutated EGFR. </w:t>
      </w:r>
      <w:r w:rsidRPr="000C64AC">
        <w:rPr>
          <w:rFonts w:cs="Arial"/>
          <w:i/>
          <w:iCs/>
          <w:color w:val="212121"/>
          <w:shd w:val="clear" w:color="auto" w:fill="FFFFFF"/>
        </w:rPr>
        <w:t>N. Engl. J. Med</w:t>
      </w:r>
      <w:r w:rsidRPr="000C64AC">
        <w:rPr>
          <w:rFonts w:cs="Arial"/>
          <w:color w:val="212121"/>
          <w:shd w:val="clear" w:color="auto" w:fill="FFFFFF"/>
        </w:rPr>
        <w:t xml:space="preserve">. </w:t>
      </w:r>
      <w:r w:rsidRPr="000C64AC">
        <w:rPr>
          <w:rFonts w:eastAsia="Calibri" w:cs="Arial"/>
          <w:szCs w:val="24"/>
        </w:rPr>
        <w:t>362(25), 2380–2388 (2010).</w:t>
      </w:r>
    </w:p>
    <w:p w14:paraId="7235C30F" w14:textId="77777777" w:rsidR="00C20A0A" w:rsidRPr="000C64AC" w:rsidRDefault="00C20A0A" w:rsidP="00C20A0A">
      <w:pPr>
        <w:numPr>
          <w:ilvl w:val="0"/>
          <w:numId w:val="1"/>
        </w:numPr>
        <w:contextualSpacing/>
        <w:rPr>
          <w:rFonts w:eastAsia="Calibri" w:cs="Arial"/>
          <w:szCs w:val="24"/>
        </w:rPr>
      </w:pPr>
      <w:r w:rsidRPr="000C64AC">
        <w:rPr>
          <w:rFonts w:eastAsia="Calibri" w:cs="Arial"/>
          <w:szCs w:val="24"/>
        </w:rPr>
        <w:t xml:space="preserve">Inoue A </w:t>
      </w:r>
      <w:r w:rsidRPr="000C64AC">
        <w:rPr>
          <w:rFonts w:eastAsia="Calibri" w:cs="Arial"/>
          <w:i/>
          <w:iCs/>
          <w:szCs w:val="24"/>
        </w:rPr>
        <w:t>et al</w:t>
      </w:r>
      <w:r w:rsidRPr="000C64AC">
        <w:rPr>
          <w:rFonts w:eastAsia="Calibri" w:cs="Arial"/>
          <w:szCs w:val="24"/>
        </w:rPr>
        <w:t>. Updated overall survival results from a randomized phase III trial comparing gefitinib with carboplatin-paclitaxel for chemo-naïve non-small cell lung cancer with sensitive EGFR gene mutations (NEJ002). </w:t>
      </w:r>
      <w:r w:rsidRPr="000C64AC">
        <w:rPr>
          <w:rFonts w:cs="Arial"/>
          <w:i/>
          <w:iCs/>
          <w:color w:val="212121"/>
          <w:shd w:val="clear" w:color="auto" w:fill="FFFFFF"/>
        </w:rPr>
        <w:t>Ann. Oncol</w:t>
      </w:r>
      <w:r w:rsidRPr="000C64AC">
        <w:rPr>
          <w:rFonts w:cs="Arial"/>
          <w:color w:val="212121"/>
          <w:shd w:val="clear" w:color="auto" w:fill="FFFFFF"/>
        </w:rPr>
        <w:t xml:space="preserve">. </w:t>
      </w:r>
      <w:r w:rsidRPr="000C64AC">
        <w:rPr>
          <w:rFonts w:eastAsia="Calibri" w:cs="Arial"/>
          <w:szCs w:val="24"/>
        </w:rPr>
        <w:t>24(1), 54–59 (2013).</w:t>
      </w:r>
    </w:p>
    <w:p w14:paraId="138907AB" w14:textId="77777777" w:rsidR="00C20A0A" w:rsidRPr="000C64AC" w:rsidRDefault="00C20A0A" w:rsidP="00C20A0A">
      <w:pPr>
        <w:numPr>
          <w:ilvl w:val="0"/>
          <w:numId w:val="1"/>
        </w:numPr>
        <w:contextualSpacing/>
        <w:rPr>
          <w:rFonts w:eastAsia="Calibri" w:cs="Arial"/>
          <w:szCs w:val="24"/>
        </w:rPr>
      </w:pPr>
      <w:proofErr w:type="spellStart"/>
      <w:r w:rsidRPr="000C64AC">
        <w:rPr>
          <w:rFonts w:eastAsia="Calibri" w:cs="Arial"/>
          <w:szCs w:val="24"/>
        </w:rPr>
        <w:t>Mitsudomi</w:t>
      </w:r>
      <w:proofErr w:type="spellEnd"/>
      <w:r w:rsidRPr="000C64AC">
        <w:rPr>
          <w:rFonts w:eastAsia="Calibri" w:cs="Arial"/>
          <w:szCs w:val="24"/>
        </w:rPr>
        <w:t xml:space="preserve"> T </w:t>
      </w:r>
      <w:r w:rsidRPr="000C64AC">
        <w:rPr>
          <w:rFonts w:eastAsia="Calibri" w:cs="Arial"/>
          <w:i/>
          <w:iCs/>
          <w:szCs w:val="24"/>
        </w:rPr>
        <w:t>et al</w:t>
      </w:r>
      <w:r w:rsidRPr="000C64AC">
        <w:rPr>
          <w:rFonts w:eastAsia="Calibri" w:cs="Arial"/>
          <w:szCs w:val="24"/>
        </w:rPr>
        <w:t xml:space="preserve">. Gefitinib versus cisplatin plus docetaxel in patients with non-small-cell lung cancer </w:t>
      </w:r>
      <w:proofErr w:type="spellStart"/>
      <w:r w:rsidRPr="000C64AC">
        <w:rPr>
          <w:rFonts w:eastAsia="Calibri" w:cs="Arial"/>
          <w:szCs w:val="24"/>
        </w:rPr>
        <w:t>harbouring</w:t>
      </w:r>
      <w:proofErr w:type="spellEnd"/>
      <w:r w:rsidRPr="000C64AC">
        <w:rPr>
          <w:rFonts w:eastAsia="Calibri" w:cs="Arial"/>
          <w:szCs w:val="24"/>
        </w:rPr>
        <w:t xml:space="preserve"> mutations of the epidermal growth factor receptor (WJTOG3405): an open label, </w:t>
      </w:r>
      <w:proofErr w:type="spellStart"/>
      <w:r w:rsidRPr="000C64AC">
        <w:rPr>
          <w:rFonts w:eastAsia="Calibri" w:cs="Arial"/>
          <w:szCs w:val="24"/>
        </w:rPr>
        <w:t>randomised</w:t>
      </w:r>
      <w:proofErr w:type="spellEnd"/>
      <w:r w:rsidRPr="000C64AC">
        <w:rPr>
          <w:rFonts w:eastAsia="Calibri" w:cs="Arial"/>
          <w:szCs w:val="24"/>
        </w:rPr>
        <w:t xml:space="preserve"> phase 3 trial. </w:t>
      </w:r>
      <w:r w:rsidRPr="000C64AC">
        <w:rPr>
          <w:rFonts w:cs="Arial"/>
          <w:i/>
          <w:iCs/>
          <w:color w:val="212121"/>
          <w:shd w:val="clear" w:color="auto" w:fill="FFFFFF"/>
        </w:rPr>
        <w:t>Lancet Oncol</w:t>
      </w:r>
      <w:r w:rsidRPr="000C64AC">
        <w:rPr>
          <w:rFonts w:cs="Arial"/>
          <w:color w:val="212121"/>
          <w:shd w:val="clear" w:color="auto" w:fill="FFFFFF"/>
        </w:rPr>
        <w:t>. </w:t>
      </w:r>
      <w:r w:rsidRPr="000C64AC">
        <w:rPr>
          <w:rFonts w:eastAsia="Calibri" w:cs="Arial"/>
          <w:szCs w:val="24"/>
        </w:rPr>
        <w:t>11(2), 121–128 (2010).</w:t>
      </w:r>
    </w:p>
    <w:p w14:paraId="0AF7F049" w14:textId="77777777" w:rsidR="00C20A0A" w:rsidRPr="000C64AC" w:rsidRDefault="00C20A0A" w:rsidP="00C20A0A">
      <w:pPr>
        <w:numPr>
          <w:ilvl w:val="0"/>
          <w:numId w:val="1"/>
        </w:numPr>
        <w:contextualSpacing/>
        <w:rPr>
          <w:rFonts w:eastAsia="Calibri" w:cs="Arial"/>
          <w:szCs w:val="24"/>
        </w:rPr>
      </w:pPr>
      <w:r w:rsidRPr="000C64AC">
        <w:rPr>
          <w:rFonts w:eastAsia="Calibri" w:cs="Arial"/>
          <w:szCs w:val="24"/>
        </w:rPr>
        <w:t xml:space="preserve">Yoshioka H </w:t>
      </w:r>
      <w:r w:rsidRPr="000C64AC">
        <w:rPr>
          <w:rFonts w:eastAsia="Calibri" w:cs="Arial"/>
          <w:i/>
          <w:iCs/>
          <w:szCs w:val="24"/>
        </w:rPr>
        <w:t>et al</w:t>
      </w:r>
      <w:r w:rsidRPr="000C64AC">
        <w:rPr>
          <w:rFonts w:eastAsia="Calibri" w:cs="Arial"/>
          <w:szCs w:val="24"/>
        </w:rPr>
        <w:t xml:space="preserve">. Final overall survival results of WJTOG3405, a randomized phase III trial comparing gefitinib versus cisplatin with docetaxel as the first-line treatment for patients with stage IIIB/IV or postoperative recurrent EGFR mutation-positive non-small-cell lung cancer. </w:t>
      </w:r>
      <w:r w:rsidRPr="000C64AC">
        <w:rPr>
          <w:rFonts w:cs="Arial"/>
          <w:i/>
          <w:iCs/>
          <w:color w:val="212121"/>
          <w:shd w:val="clear" w:color="auto" w:fill="FFFFFF"/>
        </w:rPr>
        <w:t>Ann. Oncol</w:t>
      </w:r>
      <w:r w:rsidRPr="000C64AC">
        <w:rPr>
          <w:rFonts w:cs="Arial"/>
          <w:color w:val="212121"/>
          <w:shd w:val="clear" w:color="auto" w:fill="FFFFFF"/>
        </w:rPr>
        <w:t xml:space="preserve">. </w:t>
      </w:r>
      <w:r w:rsidRPr="000C64AC">
        <w:rPr>
          <w:rFonts w:eastAsia="Calibri" w:cs="Arial"/>
          <w:szCs w:val="24"/>
        </w:rPr>
        <w:t>30(12), 1978–1984 (2019).</w:t>
      </w:r>
    </w:p>
    <w:p w14:paraId="64C9C6BB" w14:textId="77777777" w:rsidR="00C20A0A" w:rsidRPr="000C64AC" w:rsidRDefault="00C20A0A" w:rsidP="00C20A0A">
      <w:pPr>
        <w:numPr>
          <w:ilvl w:val="0"/>
          <w:numId w:val="1"/>
        </w:numPr>
        <w:contextualSpacing/>
        <w:rPr>
          <w:rFonts w:eastAsia="Calibri" w:cs="Arial"/>
          <w:szCs w:val="24"/>
        </w:rPr>
      </w:pPr>
      <w:r w:rsidRPr="000C64AC">
        <w:rPr>
          <w:rFonts w:eastAsia="Calibri" w:cs="Arial"/>
          <w:szCs w:val="24"/>
        </w:rPr>
        <w:lastRenderedPageBreak/>
        <w:t xml:space="preserve">Han J-Y </w:t>
      </w:r>
      <w:r w:rsidRPr="000C64AC">
        <w:rPr>
          <w:rFonts w:eastAsia="Calibri" w:cs="Arial"/>
          <w:i/>
          <w:iCs/>
          <w:szCs w:val="24"/>
        </w:rPr>
        <w:t>et al</w:t>
      </w:r>
      <w:r w:rsidRPr="000C64AC">
        <w:rPr>
          <w:rFonts w:eastAsia="Calibri" w:cs="Arial"/>
          <w:szCs w:val="24"/>
        </w:rPr>
        <w:t xml:space="preserve">. First-SIGNAL: first-line single-agent </w:t>
      </w:r>
      <w:proofErr w:type="spellStart"/>
      <w:r w:rsidRPr="000C64AC">
        <w:rPr>
          <w:rFonts w:eastAsia="Calibri" w:cs="Arial"/>
          <w:szCs w:val="24"/>
        </w:rPr>
        <w:t>iressa</w:t>
      </w:r>
      <w:proofErr w:type="spellEnd"/>
      <w:r w:rsidRPr="000C64AC">
        <w:rPr>
          <w:rFonts w:eastAsia="Calibri" w:cs="Arial"/>
          <w:szCs w:val="24"/>
        </w:rPr>
        <w:t xml:space="preserve"> versus gemcitabine and cisplatin trial in never-smokers with adenocarcinoma of the lung. </w:t>
      </w:r>
      <w:r w:rsidRPr="000C64AC">
        <w:rPr>
          <w:rFonts w:cs="Arial"/>
          <w:color w:val="212121"/>
          <w:shd w:val="clear" w:color="auto" w:fill="FFFFFF"/>
        </w:rPr>
        <w:t> </w:t>
      </w:r>
      <w:r w:rsidRPr="000C64AC">
        <w:rPr>
          <w:rFonts w:cs="Arial"/>
          <w:i/>
          <w:iCs/>
          <w:color w:val="212121"/>
          <w:shd w:val="clear" w:color="auto" w:fill="FFFFFF"/>
        </w:rPr>
        <w:t>J. Clin. Oncol</w:t>
      </w:r>
      <w:r w:rsidRPr="000C64AC">
        <w:rPr>
          <w:rFonts w:cs="Arial"/>
          <w:color w:val="212121"/>
          <w:shd w:val="clear" w:color="auto" w:fill="FFFFFF"/>
        </w:rPr>
        <w:t xml:space="preserve">. </w:t>
      </w:r>
      <w:r w:rsidRPr="000C64AC">
        <w:rPr>
          <w:rFonts w:eastAsia="Calibri" w:cs="Arial"/>
          <w:szCs w:val="24"/>
        </w:rPr>
        <w:t>30(10), 1122–1128 (2012).</w:t>
      </w:r>
    </w:p>
    <w:p w14:paraId="2BD9E633" w14:textId="77777777" w:rsidR="00C20A0A" w:rsidRPr="000C64AC" w:rsidRDefault="00C20A0A" w:rsidP="00C20A0A">
      <w:pPr>
        <w:numPr>
          <w:ilvl w:val="0"/>
          <w:numId w:val="1"/>
        </w:numPr>
        <w:contextualSpacing/>
        <w:rPr>
          <w:rFonts w:eastAsia="Calibri" w:cs="Arial"/>
          <w:szCs w:val="24"/>
        </w:rPr>
      </w:pPr>
      <w:proofErr w:type="spellStart"/>
      <w:r w:rsidRPr="000C64AC">
        <w:rPr>
          <w:rFonts w:eastAsia="Calibri" w:cs="Arial"/>
          <w:szCs w:val="24"/>
        </w:rPr>
        <w:t>Rosell</w:t>
      </w:r>
      <w:proofErr w:type="spellEnd"/>
      <w:r w:rsidRPr="000C64AC">
        <w:rPr>
          <w:rFonts w:eastAsia="Calibri" w:cs="Arial"/>
          <w:szCs w:val="24"/>
        </w:rPr>
        <w:t xml:space="preserve"> R </w:t>
      </w:r>
      <w:r w:rsidRPr="000C64AC">
        <w:rPr>
          <w:rFonts w:eastAsia="Calibri" w:cs="Arial"/>
          <w:i/>
          <w:iCs/>
          <w:szCs w:val="24"/>
        </w:rPr>
        <w:t>et al</w:t>
      </w:r>
      <w:r w:rsidRPr="000C64AC">
        <w:rPr>
          <w:rFonts w:eastAsia="Calibri" w:cs="Arial"/>
          <w:szCs w:val="24"/>
        </w:rPr>
        <w:t xml:space="preserve">. Erlotinib versus standard chemotherapy as first-line treatment for European patients with advanced EGFR mutation-positive non-small-cell lung cancer (EURTAC): a </w:t>
      </w:r>
      <w:proofErr w:type="spellStart"/>
      <w:r w:rsidRPr="000C64AC">
        <w:rPr>
          <w:rFonts w:eastAsia="Calibri" w:cs="Arial"/>
          <w:szCs w:val="24"/>
        </w:rPr>
        <w:t>multicentre</w:t>
      </w:r>
      <w:proofErr w:type="spellEnd"/>
      <w:r w:rsidRPr="000C64AC">
        <w:rPr>
          <w:rFonts w:eastAsia="Calibri" w:cs="Arial"/>
          <w:szCs w:val="24"/>
        </w:rPr>
        <w:t xml:space="preserve">, open-label, </w:t>
      </w:r>
      <w:proofErr w:type="spellStart"/>
      <w:r w:rsidRPr="000C64AC">
        <w:rPr>
          <w:rFonts w:eastAsia="Calibri" w:cs="Arial"/>
          <w:szCs w:val="24"/>
        </w:rPr>
        <w:t>randomised</w:t>
      </w:r>
      <w:proofErr w:type="spellEnd"/>
      <w:r w:rsidRPr="000C64AC">
        <w:rPr>
          <w:rFonts w:eastAsia="Calibri" w:cs="Arial"/>
          <w:szCs w:val="24"/>
        </w:rPr>
        <w:t xml:space="preserve"> phase 3 trial. </w:t>
      </w:r>
      <w:r w:rsidRPr="000C64AC">
        <w:rPr>
          <w:rFonts w:cs="Arial"/>
          <w:i/>
          <w:iCs/>
          <w:color w:val="212121"/>
          <w:shd w:val="clear" w:color="auto" w:fill="FFFFFF"/>
        </w:rPr>
        <w:t>Lancet Oncol</w:t>
      </w:r>
      <w:r w:rsidRPr="000C64AC">
        <w:rPr>
          <w:rFonts w:cs="Arial"/>
          <w:color w:val="212121"/>
          <w:shd w:val="clear" w:color="auto" w:fill="FFFFFF"/>
        </w:rPr>
        <w:t>. </w:t>
      </w:r>
      <w:r w:rsidRPr="000C64AC">
        <w:rPr>
          <w:rFonts w:eastAsia="Calibri" w:cs="Arial"/>
          <w:szCs w:val="24"/>
        </w:rPr>
        <w:t xml:space="preserve">13(3), 239–246 (2012) </w:t>
      </w:r>
    </w:p>
    <w:p w14:paraId="61610C71" w14:textId="77777777" w:rsidR="00C20A0A" w:rsidRPr="000C64AC" w:rsidRDefault="00C20A0A" w:rsidP="00C20A0A">
      <w:pPr>
        <w:numPr>
          <w:ilvl w:val="0"/>
          <w:numId w:val="1"/>
        </w:numPr>
        <w:contextualSpacing/>
        <w:rPr>
          <w:rFonts w:eastAsia="Calibri" w:cs="Arial"/>
          <w:szCs w:val="24"/>
        </w:rPr>
      </w:pPr>
      <w:r w:rsidRPr="000C64AC">
        <w:rPr>
          <w:rFonts w:eastAsia="Calibri" w:cs="Arial"/>
          <w:szCs w:val="24"/>
        </w:rPr>
        <w:t xml:space="preserve">Zhou C </w:t>
      </w:r>
      <w:r w:rsidRPr="000C64AC">
        <w:rPr>
          <w:rFonts w:eastAsia="Calibri" w:cs="Arial"/>
          <w:i/>
          <w:iCs/>
          <w:szCs w:val="24"/>
        </w:rPr>
        <w:t>et al</w:t>
      </w:r>
      <w:r w:rsidRPr="000C64AC">
        <w:rPr>
          <w:rFonts w:eastAsia="Calibri" w:cs="Arial"/>
          <w:szCs w:val="24"/>
        </w:rPr>
        <w:t xml:space="preserve">. Erlotinib versus chemotherapy as first-line treatment for patients with advanced EGFR mutation-positive non-small-cell lung cancer (OPTIMAL, CTONG-0802): a </w:t>
      </w:r>
      <w:proofErr w:type="spellStart"/>
      <w:r w:rsidRPr="000C64AC">
        <w:rPr>
          <w:rFonts w:eastAsia="Calibri" w:cs="Arial"/>
          <w:szCs w:val="24"/>
        </w:rPr>
        <w:t>multicentre</w:t>
      </w:r>
      <w:proofErr w:type="spellEnd"/>
      <w:r w:rsidRPr="000C64AC">
        <w:rPr>
          <w:rFonts w:eastAsia="Calibri" w:cs="Arial"/>
          <w:szCs w:val="24"/>
        </w:rPr>
        <w:t xml:space="preserve">, open-label, </w:t>
      </w:r>
      <w:proofErr w:type="spellStart"/>
      <w:r w:rsidRPr="000C64AC">
        <w:rPr>
          <w:rFonts w:eastAsia="Calibri" w:cs="Arial"/>
          <w:szCs w:val="24"/>
        </w:rPr>
        <w:t>randomised</w:t>
      </w:r>
      <w:proofErr w:type="spellEnd"/>
      <w:r w:rsidRPr="000C64AC">
        <w:rPr>
          <w:rFonts w:eastAsia="Calibri" w:cs="Arial"/>
          <w:szCs w:val="24"/>
        </w:rPr>
        <w:t xml:space="preserve">, phase 3 study. </w:t>
      </w:r>
      <w:r w:rsidRPr="000C64AC">
        <w:rPr>
          <w:rFonts w:cs="Arial"/>
          <w:i/>
          <w:iCs/>
          <w:color w:val="212121"/>
          <w:shd w:val="clear" w:color="auto" w:fill="FFFFFF"/>
        </w:rPr>
        <w:t>Lancet Oncol</w:t>
      </w:r>
      <w:r w:rsidRPr="000C64AC">
        <w:rPr>
          <w:rFonts w:cs="Arial"/>
          <w:color w:val="212121"/>
          <w:shd w:val="clear" w:color="auto" w:fill="FFFFFF"/>
        </w:rPr>
        <w:t>. </w:t>
      </w:r>
      <w:r w:rsidRPr="000C64AC">
        <w:rPr>
          <w:rFonts w:eastAsia="Calibri" w:cs="Arial"/>
          <w:szCs w:val="24"/>
        </w:rPr>
        <w:t>12(8), 735–742 (2011).</w:t>
      </w:r>
    </w:p>
    <w:p w14:paraId="632723B0" w14:textId="77777777" w:rsidR="00C20A0A" w:rsidRPr="000C64AC" w:rsidRDefault="00C20A0A" w:rsidP="00C20A0A">
      <w:pPr>
        <w:numPr>
          <w:ilvl w:val="0"/>
          <w:numId w:val="1"/>
        </w:numPr>
        <w:contextualSpacing/>
        <w:rPr>
          <w:rFonts w:eastAsia="Calibri" w:cs="Arial"/>
          <w:szCs w:val="24"/>
        </w:rPr>
      </w:pPr>
      <w:r w:rsidRPr="000C64AC">
        <w:rPr>
          <w:rFonts w:eastAsia="Calibri" w:cs="Arial"/>
          <w:szCs w:val="24"/>
        </w:rPr>
        <w:t xml:space="preserve">Zhou C </w:t>
      </w:r>
      <w:r w:rsidRPr="000C64AC">
        <w:rPr>
          <w:rFonts w:eastAsia="Calibri" w:cs="Arial"/>
          <w:i/>
          <w:iCs/>
          <w:szCs w:val="24"/>
        </w:rPr>
        <w:t>et al</w:t>
      </w:r>
      <w:r w:rsidRPr="000C64AC">
        <w:rPr>
          <w:rFonts w:eastAsia="Calibri" w:cs="Arial"/>
          <w:szCs w:val="24"/>
        </w:rPr>
        <w:t xml:space="preserve">. Final overall survival results from a </w:t>
      </w:r>
      <w:proofErr w:type="spellStart"/>
      <w:r w:rsidRPr="000C64AC">
        <w:rPr>
          <w:rFonts w:eastAsia="Calibri" w:cs="Arial"/>
          <w:szCs w:val="24"/>
        </w:rPr>
        <w:t>randomised</w:t>
      </w:r>
      <w:proofErr w:type="spellEnd"/>
      <w:r w:rsidRPr="000C64AC">
        <w:rPr>
          <w:rFonts w:eastAsia="Calibri" w:cs="Arial"/>
          <w:szCs w:val="24"/>
        </w:rPr>
        <w:t xml:space="preserve">, phase III study of erlotinib versus chemotherapy as first-line treatment of EGFR mutation-positive advanced non-small-cell lung cancer (OPTIMAL, CTONG-0802). </w:t>
      </w:r>
      <w:r w:rsidRPr="000C64AC">
        <w:rPr>
          <w:rFonts w:cs="Arial"/>
          <w:i/>
          <w:iCs/>
          <w:color w:val="212121"/>
          <w:shd w:val="clear" w:color="auto" w:fill="FFFFFF"/>
        </w:rPr>
        <w:t>Ann. Oncol</w:t>
      </w:r>
      <w:r w:rsidRPr="000C64AC">
        <w:rPr>
          <w:rFonts w:cs="Arial"/>
          <w:color w:val="212121"/>
          <w:shd w:val="clear" w:color="auto" w:fill="FFFFFF"/>
        </w:rPr>
        <w:t>.</w:t>
      </w:r>
      <w:r w:rsidRPr="000C64AC">
        <w:rPr>
          <w:rFonts w:eastAsia="Calibri" w:cs="Arial"/>
          <w:szCs w:val="24"/>
        </w:rPr>
        <w:t xml:space="preserve"> 26(9), 1877–1883 (2015).</w:t>
      </w:r>
    </w:p>
    <w:p w14:paraId="6F911291" w14:textId="77777777" w:rsidR="00C20A0A" w:rsidRPr="000C64AC" w:rsidRDefault="00C20A0A" w:rsidP="00C20A0A">
      <w:pPr>
        <w:numPr>
          <w:ilvl w:val="0"/>
          <w:numId w:val="1"/>
        </w:numPr>
        <w:contextualSpacing/>
        <w:rPr>
          <w:rFonts w:eastAsia="Calibri" w:cs="Arial"/>
          <w:szCs w:val="24"/>
        </w:rPr>
      </w:pPr>
      <w:r w:rsidRPr="000C64AC">
        <w:rPr>
          <w:rFonts w:eastAsia="Calibri" w:cs="Arial"/>
          <w:szCs w:val="24"/>
        </w:rPr>
        <w:t xml:space="preserve">Wu Y-L </w:t>
      </w:r>
      <w:r w:rsidRPr="000C64AC">
        <w:rPr>
          <w:rFonts w:eastAsia="Calibri" w:cs="Arial"/>
          <w:i/>
          <w:iCs/>
          <w:szCs w:val="24"/>
        </w:rPr>
        <w:t>et al</w:t>
      </w:r>
      <w:r w:rsidRPr="000C64AC">
        <w:rPr>
          <w:rFonts w:eastAsia="Calibri" w:cs="Arial"/>
          <w:szCs w:val="24"/>
        </w:rPr>
        <w:t xml:space="preserve">. First-line erlotinib versus gemcitabine/cisplatin in patients with advanced EGFR mutation-positive non-small-cell lung cancer: analyses from the phase III, randomized, open-label, ENSURE study. </w:t>
      </w:r>
      <w:r w:rsidRPr="000C64AC">
        <w:rPr>
          <w:rFonts w:cs="Arial"/>
          <w:i/>
          <w:iCs/>
          <w:color w:val="212121"/>
          <w:shd w:val="clear" w:color="auto" w:fill="FFFFFF"/>
        </w:rPr>
        <w:t>Ann. Oncol</w:t>
      </w:r>
      <w:r w:rsidRPr="000C64AC">
        <w:rPr>
          <w:rFonts w:cs="Arial"/>
          <w:color w:val="212121"/>
          <w:shd w:val="clear" w:color="auto" w:fill="FFFFFF"/>
        </w:rPr>
        <w:t xml:space="preserve">. </w:t>
      </w:r>
      <w:r w:rsidRPr="000C64AC">
        <w:rPr>
          <w:rFonts w:eastAsia="Calibri" w:cs="Arial"/>
          <w:szCs w:val="24"/>
        </w:rPr>
        <w:t>26(9), 1883–1889 (2015).</w:t>
      </w:r>
    </w:p>
    <w:p w14:paraId="2B8239A4" w14:textId="77777777" w:rsidR="00C20A0A" w:rsidRPr="000C64AC" w:rsidRDefault="00C20A0A" w:rsidP="00C20A0A">
      <w:pPr>
        <w:numPr>
          <w:ilvl w:val="0"/>
          <w:numId w:val="1"/>
        </w:numPr>
        <w:contextualSpacing/>
        <w:rPr>
          <w:rFonts w:eastAsia="Calibri" w:cs="Arial"/>
          <w:szCs w:val="24"/>
        </w:rPr>
      </w:pPr>
      <w:r w:rsidRPr="000C64AC">
        <w:rPr>
          <w:rFonts w:eastAsia="Calibri" w:cs="Arial"/>
          <w:szCs w:val="24"/>
        </w:rPr>
        <w:t xml:space="preserve">Yang J-J </w:t>
      </w:r>
      <w:r w:rsidRPr="000C64AC">
        <w:rPr>
          <w:rFonts w:eastAsia="Calibri" w:cs="Arial"/>
          <w:i/>
          <w:iCs/>
          <w:szCs w:val="24"/>
        </w:rPr>
        <w:t>et al</w:t>
      </w:r>
      <w:r w:rsidRPr="000C64AC">
        <w:rPr>
          <w:rFonts w:eastAsia="Calibri" w:cs="Arial"/>
          <w:szCs w:val="24"/>
        </w:rPr>
        <w:t xml:space="preserve">. A phase III </w:t>
      </w:r>
      <w:proofErr w:type="spellStart"/>
      <w:r w:rsidRPr="000C64AC">
        <w:rPr>
          <w:rFonts w:eastAsia="Calibri" w:cs="Arial"/>
          <w:szCs w:val="24"/>
        </w:rPr>
        <w:t>randomised</w:t>
      </w:r>
      <w:proofErr w:type="spellEnd"/>
      <w:r w:rsidRPr="000C64AC">
        <w:rPr>
          <w:rFonts w:eastAsia="Calibri" w:cs="Arial"/>
          <w:szCs w:val="24"/>
        </w:rPr>
        <w:t xml:space="preserve"> controlled trial of erlotinib vs gefitinib in advanced non-small cell lung cancer with EGFR mutations. </w:t>
      </w:r>
      <w:r w:rsidRPr="000C64AC">
        <w:rPr>
          <w:rFonts w:cs="Arial"/>
          <w:i/>
          <w:iCs/>
          <w:color w:val="212121"/>
          <w:shd w:val="clear" w:color="auto" w:fill="FFFFFF"/>
        </w:rPr>
        <w:t>Br. J. Cancer</w:t>
      </w:r>
      <w:r w:rsidRPr="000C64AC">
        <w:rPr>
          <w:rFonts w:cs="Arial"/>
          <w:color w:val="212121"/>
          <w:shd w:val="clear" w:color="auto" w:fill="FFFFFF"/>
        </w:rPr>
        <w:t>.</w:t>
      </w:r>
      <w:r w:rsidRPr="000C64AC">
        <w:rPr>
          <w:rFonts w:eastAsia="Calibri" w:cs="Arial"/>
          <w:szCs w:val="24"/>
        </w:rPr>
        <w:t xml:space="preserve"> 116(5), 568–574 (2017).</w:t>
      </w:r>
    </w:p>
    <w:p w14:paraId="3DEA10E2" w14:textId="77777777" w:rsidR="00C20A0A" w:rsidRPr="000C64AC" w:rsidRDefault="00C20A0A" w:rsidP="00C20A0A">
      <w:pPr>
        <w:numPr>
          <w:ilvl w:val="0"/>
          <w:numId w:val="1"/>
        </w:numPr>
        <w:contextualSpacing/>
        <w:rPr>
          <w:rFonts w:eastAsia="Calibri" w:cs="Arial"/>
          <w:szCs w:val="24"/>
        </w:rPr>
      </w:pPr>
      <w:r w:rsidRPr="000C64AC">
        <w:rPr>
          <w:rFonts w:eastAsia="Calibri" w:cs="Arial"/>
          <w:szCs w:val="24"/>
        </w:rPr>
        <w:t xml:space="preserve">Shi YK </w:t>
      </w:r>
      <w:r w:rsidRPr="000C64AC">
        <w:rPr>
          <w:rFonts w:eastAsia="Calibri" w:cs="Arial"/>
          <w:i/>
          <w:iCs/>
          <w:szCs w:val="24"/>
        </w:rPr>
        <w:t>et al</w:t>
      </w:r>
      <w:r w:rsidRPr="000C64AC">
        <w:rPr>
          <w:rFonts w:eastAsia="Calibri" w:cs="Arial"/>
          <w:szCs w:val="24"/>
        </w:rPr>
        <w:t xml:space="preserve">. First-line </w:t>
      </w:r>
      <w:proofErr w:type="spellStart"/>
      <w:r w:rsidRPr="000C64AC">
        <w:rPr>
          <w:rFonts w:eastAsia="Calibri" w:cs="Arial"/>
          <w:szCs w:val="24"/>
        </w:rPr>
        <w:t>icotinib</w:t>
      </w:r>
      <w:proofErr w:type="spellEnd"/>
      <w:r w:rsidRPr="000C64AC">
        <w:rPr>
          <w:rFonts w:eastAsia="Calibri" w:cs="Arial"/>
          <w:szCs w:val="24"/>
        </w:rPr>
        <w:t xml:space="preserve"> versus cisplatin/pemetrexed plus pemetrexed maintenance therapy for patients with advanced EGFR mutation-positive </w:t>
      </w:r>
      <w:r w:rsidRPr="000C64AC">
        <w:rPr>
          <w:rFonts w:eastAsia="Calibri" w:cs="Arial"/>
          <w:szCs w:val="24"/>
        </w:rPr>
        <w:lastRenderedPageBreak/>
        <w:t xml:space="preserve">lung adenocarcinoma (CONVINCE): a phase 3, open-label, randomized study. </w:t>
      </w:r>
      <w:r w:rsidRPr="000C64AC">
        <w:rPr>
          <w:rFonts w:cs="Arial"/>
          <w:i/>
          <w:iCs/>
          <w:color w:val="212121"/>
          <w:shd w:val="clear" w:color="auto" w:fill="FFFFFF"/>
        </w:rPr>
        <w:t>Ann. Oncol</w:t>
      </w:r>
      <w:r w:rsidRPr="000C64AC">
        <w:rPr>
          <w:rFonts w:cs="Arial"/>
          <w:color w:val="212121"/>
          <w:shd w:val="clear" w:color="auto" w:fill="FFFFFF"/>
        </w:rPr>
        <w:t>. </w:t>
      </w:r>
      <w:r w:rsidRPr="000C64AC">
        <w:rPr>
          <w:rFonts w:eastAsia="Calibri" w:cs="Arial"/>
          <w:szCs w:val="24"/>
        </w:rPr>
        <w:t>28(10), 2443–2450 (2017).</w:t>
      </w:r>
    </w:p>
    <w:p w14:paraId="579692CE" w14:textId="77777777" w:rsidR="00C20A0A" w:rsidRPr="000C64AC" w:rsidRDefault="00C20A0A" w:rsidP="00C20A0A">
      <w:pPr>
        <w:numPr>
          <w:ilvl w:val="0"/>
          <w:numId w:val="1"/>
        </w:numPr>
        <w:contextualSpacing/>
        <w:rPr>
          <w:rFonts w:eastAsia="Calibri" w:cs="Arial"/>
          <w:szCs w:val="24"/>
        </w:rPr>
      </w:pPr>
      <w:r w:rsidRPr="000C64AC">
        <w:rPr>
          <w:rFonts w:eastAsia="Calibri" w:cs="Arial"/>
          <w:szCs w:val="24"/>
        </w:rPr>
        <w:t xml:space="preserve">Sequist LV </w:t>
      </w:r>
      <w:r w:rsidRPr="000C64AC">
        <w:rPr>
          <w:rFonts w:eastAsia="Calibri" w:cs="Arial"/>
          <w:i/>
          <w:iCs/>
          <w:szCs w:val="24"/>
        </w:rPr>
        <w:t>et al</w:t>
      </w:r>
      <w:r w:rsidRPr="000C64AC">
        <w:rPr>
          <w:rFonts w:eastAsia="Calibri" w:cs="Arial"/>
          <w:szCs w:val="24"/>
        </w:rPr>
        <w:t xml:space="preserve">. Phase III study of afatinib or cisplatin plus pemetrexed in patients with metastatic lung adenocarcinoma with EGFR mutations. </w:t>
      </w:r>
      <w:r w:rsidRPr="000C64AC">
        <w:rPr>
          <w:rFonts w:cs="Arial"/>
          <w:i/>
          <w:iCs/>
          <w:color w:val="212121"/>
          <w:shd w:val="clear" w:color="auto" w:fill="FFFFFF"/>
        </w:rPr>
        <w:t>J Clin Oncol</w:t>
      </w:r>
      <w:r w:rsidRPr="000C64AC">
        <w:rPr>
          <w:rFonts w:cs="Arial"/>
          <w:color w:val="212121"/>
          <w:shd w:val="clear" w:color="auto" w:fill="FFFFFF"/>
        </w:rPr>
        <w:t>. </w:t>
      </w:r>
      <w:r w:rsidRPr="000C64AC">
        <w:rPr>
          <w:rFonts w:eastAsia="Calibri" w:cs="Arial"/>
          <w:szCs w:val="24"/>
        </w:rPr>
        <w:t>31(27), 3327–3334 (2013).</w:t>
      </w:r>
    </w:p>
    <w:p w14:paraId="468AC778" w14:textId="77777777" w:rsidR="00C20A0A" w:rsidRPr="000C64AC" w:rsidRDefault="00C20A0A" w:rsidP="00C20A0A">
      <w:pPr>
        <w:numPr>
          <w:ilvl w:val="0"/>
          <w:numId w:val="1"/>
        </w:numPr>
        <w:contextualSpacing/>
        <w:rPr>
          <w:rFonts w:eastAsia="Calibri" w:cs="Arial"/>
          <w:szCs w:val="24"/>
        </w:rPr>
      </w:pPr>
      <w:r w:rsidRPr="000C64AC">
        <w:rPr>
          <w:rFonts w:eastAsia="Calibri" w:cs="Arial"/>
          <w:szCs w:val="24"/>
        </w:rPr>
        <w:t xml:space="preserve">Yang JC-H </w:t>
      </w:r>
      <w:r w:rsidRPr="000C64AC">
        <w:rPr>
          <w:rFonts w:eastAsia="Calibri" w:cs="Arial"/>
          <w:i/>
          <w:iCs/>
          <w:szCs w:val="24"/>
        </w:rPr>
        <w:t>et al</w:t>
      </w:r>
      <w:r w:rsidRPr="000C64AC">
        <w:rPr>
          <w:rFonts w:eastAsia="Calibri" w:cs="Arial"/>
          <w:szCs w:val="24"/>
        </w:rPr>
        <w:t xml:space="preserve">. Afatinib versus cisplatin-based chemotherapy for EGFR mutation-positive lung adenocarcinoma (LUX-Lung 3 and LUX-Lung 6): analysis of overall survival data from two </w:t>
      </w:r>
      <w:proofErr w:type="spellStart"/>
      <w:r w:rsidRPr="000C64AC">
        <w:rPr>
          <w:rFonts w:eastAsia="Calibri" w:cs="Arial"/>
          <w:szCs w:val="24"/>
        </w:rPr>
        <w:t>randomised</w:t>
      </w:r>
      <w:proofErr w:type="spellEnd"/>
      <w:r w:rsidRPr="000C64AC">
        <w:rPr>
          <w:rFonts w:eastAsia="Calibri" w:cs="Arial"/>
          <w:szCs w:val="24"/>
        </w:rPr>
        <w:t xml:space="preserve">, phase 3 trials. </w:t>
      </w:r>
      <w:r w:rsidRPr="000C64AC">
        <w:rPr>
          <w:rFonts w:cs="Arial"/>
          <w:i/>
          <w:iCs/>
          <w:color w:val="212121"/>
          <w:shd w:val="clear" w:color="auto" w:fill="FFFFFF"/>
        </w:rPr>
        <w:t>Lancet Oncol</w:t>
      </w:r>
      <w:r w:rsidRPr="000C64AC">
        <w:rPr>
          <w:rFonts w:cs="Arial"/>
          <w:color w:val="212121"/>
          <w:shd w:val="clear" w:color="auto" w:fill="FFFFFF"/>
        </w:rPr>
        <w:t xml:space="preserve">. </w:t>
      </w:r>
      <w:r w:rsidRPr="000C64AC">
        <w:rPr>
          <w:rFonts w:eastAsia="Calibri" w:cs="Arial"/>
          <w:szCs w:val="24"/>
        </w:rPr>
        <w:t>16(2), 141–151 (2015).</w:t>
      </w:r>
    </w:p>
    <w:p w14:paraId="5513303E" w14:textId="77777777" w:rsidR="00C20A0A" w:rsidRPr="000C64AC" w:rsidRDefault="00C20A0A" w:rsidP="00C20A0A">
      <w:pPr>
        <w:numPr>
          <w:ilvl w:val="0"/>
          <w:numId w:val="1"/>
        </w:numPr>
        <w:contextualSpacing/>
        <w:rPr>
          <w:rFonts w:eastAsia="Calibri" w:cs="Arial"/>
          <w:szCs w:val="24"/>
        </w:rPr>
      </w:pPr>
      <w:r w:rsidRPr="000C64AC">
        <w:rPr>
          <w:rFonts w:eastAsia="Calibri" w:cs="Arial"/>
          <w:szCs w:val="24"/>
        </w:rPr>
        <w:t xml:space="preserve">Wu Y-L </w:t>
      </w:r>
      <w:r w:rsidRPr="000C64AC">
        <w:rPr>
          <w:rFonts w:eastAsia="Calibri" w:cs="Arial"/>
          <w:i/>
          <w:iCs/>
          <w:szCs w:val="24"/>
        </w:rPr>
        <w:t>et al</w:t>
      </w:r>
      <w:r w:rsidRPr="000C64AC">
        <w:rPr>
          <w:rFonts w:eastAsia="Calibri" w:cs="Arial"/>
          <w:szCs w:val="24"/>
        </w:rPr>
        <w:t xml:space="preserve">. Afatinib versus cisplatin plus gemcitabine for first-line treatment of Asian patients with advanced non-small-cell lung cancer </w:t>
      </w:r>
      <w:proofErr w:type="spellStart"/>
      <w:r w:rsidRPr="000C64AC">
        <w:rPr>
          <w:rFonts w:eastAsia="Calibri" w:cs="Arial"/>
          <w:szCs w:val="24"/>
        </w:rPr>
        <w:t>harbouring</w:t>
      </w:r>
      <w:proofErr w:type="spellEnd"/>
      <w:r w:rsidRPr="000C64AC">
        <w:rPr>
          <w:rFonts w:eastAsia="Calibri" w:cs="Arial"/>
          <w:szCs w:val="24"/>
        </w:rPr>
        <w:t xml:space="preserve"> EGFR mutations (LUX-Lung 6): an open-label, </w:t>
      </w:r>
      <w:proofErr w:type="spellStart"/>
      <w:r w:rsidRPr="000C64AC">
        <w:rPr>
          <w:rFonts w:eastAsia="Calibri" w:cs="Arial"/>
          <w:szCs w:val="24"/>
        </w:rPr>
        <w:t>randomised</w:t>
      </w:r>
      <w:proofErr w:type="spellEnd"/>
      <w:r w:rsidRPr="000C64AC">
        <w:rPr>
          <w:rFonts w:eastAsia="Calibri" w:cs="Arial"/>
          <w:szCs w:val="24"/>
        </w:rPr>
        <w:t xml:space="preserve"> phase 3 trial. </w:t>
      </w:r>
      <w:r w:rsidRPr="000C64AC">
        <w:rPr>
          <w:rFonts w:cs="Arial"/>
          <w:i/>
          <w:iCs/>
          <w:color w:val="212121"/>
          <w:shd w:val="clear" w:color="auto" w:fill="FFFFFF"/>
        </w:rPr>
        <w:t>Lancet Oncol</w:t>
      </w:r>
      <w:r w:rsidRPr="000C64AC">
        <w:rPr>
          <w:rFonts w:cs="Arial"/>
          <w:color w:val="212121"/>
          <w:shd w:val="clear" w:color="auto" w:fill="FFFFFF"/>
        </w:rPr>
        <w:t xml:space="preserve">. </w:t>
      </w:r>
      <w:r w:rsidRPr="000C64AC">
        <w:rPr>
          <w:rFonts w:eastAsia="Calibri" w:cs="Arial"/>
          <w:szCs w:val="24"/>
        </w:rPr>
        <w:t>15(2), 213–222 (2014).</w:t>
      </w:r>
    </w:p>
    <w:p w14:paraId="5C2E98B5" w14:textId="77777777" w:rsidR="00C20A0A" w:rsidRPr="000C64AC" w:rsidRDefault="00C20A0A" w:rsidP="00C20A0A">
      <w:pPr>
        <w:numPr>
          <w:ilvl w:val="0"/>
          <w:numId w:val="1"/>
        </w:numPr>
        <w:contextualSpacing/>
        <w:rPr>
          <w:rFonts w:eastAsia="Calibri" w:cs="Arial"/>
          <w:szCs w:val="24"/>
        </w:rPr>
      </w:pPr>
      <w:r w:rsidRPr="000C64AC">
        <w:rPr>
          <w:rFonts w:eastAsia="Calibri" w:cs="Arial"/>
          <w:szCs w:val="24"/>
        </w:rPr>
        <w:t xml:space="preserve">Park K </w:t>
      </w:r>
      <w:r w:rsidRPr="000C64AC">
        <w:rPr>
          <w:rFonts w:eastAsia="Calibri" w:cs="Arial"/>
          <w:i/>
          <w:iCs/>
          <w:szCs w:val="24"/>
        </w:rPr>
        <w:t>et al</w:t>
      </w:r>
      <w:r w:rsidRPr="000C64AC">
        <w:rPr>
          <w:rFonts w:eastAsia="Calibri" w:cs="Arial"/>
          <w:szCs w:val="24"/>
        </w:rPr>
        <w:t xml:space="preserve">. Afatinib versus gefitinib as first-line treatment of patients with EGFR mutation-positive non-small-cell lung cancer (LUX-Lung 7): a phase 2B, open-label, </w:t>
      </w:r>
      <w:proofErr w:type="spellStart"/>
      <w:r w:rsidRPr="000C64AC">
        <w:rPr>
          <w:rFonts w:eastAsia="Calibri" w:cs="Arial"/>
          <w:szCs w:val="24"/>
        </w:rPr>
        <w:t>randomised</w:t>
      </w:r>
      <w:proofErr w:type="spellEnd"/>
      <w:r w:rsidRPr="000C64AC">
        <w:rPr>
          <w:rFonts w:eastAsia="Calibri" w:cs="Arial"/>
          <w:szCs w:val="24"/>
        </w:rPr>
        <w:t xml:space="preserve"> controlled trial. </w:t>
      </w:r>
      <w:r w:rsidRPr="000C64AC">
        <w:rPr>
          <w:rFonts w:cs="Arial"/>
          <w:i/>
          <w:iCs/>
          <w:color w:val="212121"/>
          <w:shd w:val="clear" w:color="auto" w:fill="FFFFFF"/>
        </w:rPr>
        <w:t>Lancet Oncol</w:t>
      </w:r>
      <w:r w:rsidRPr="000C64AC">
        <w:rPr>
          <w:rFonts w:cs="Arial"/>
          <w:color w:val="212121"/>
          <w:shd w:val="clear" w:color="auto" w:fill="FFFFFF"/>
        </w:rPr>
        <w:t xml:space="preserve">. </w:t>
      </w:r>
      <w:r w:rsidRPr="000C64AC">
        <w:rPr>
          <w:rFonts w:eastAsia="Calibri" w:cs="Arial"/>
          <w:szCs w:val="24"/>
        </w:rPr>
        <w:t>17(5), 577–589 (2016).</w:t>
      </w:r>
    </w:p>
    <w:p w14:paraId="02A53DF6" w14:textId="77777777" w:rsidR="00C20A0A" w:rsidRPr="000C64AC" w:rsidRDefault="00C20A0A" w:rsidP="00C20A0A">
      <w:pPr>
        <w:numPr>
          <w:ilvl w:val="0"/>
          <w:numId w:val="1"/>
        </w:numPr>
        <w:contextualSpacing/>
        <w:rPr>
          <w:rFonts w:eastAsia="Calibri" w:cs="Arial"/>
          <w:szCs w:val="24"/>
        </w:rPr>
      </w:pPr>
      <w:r w:rsidRPr="000C64AC">
        <w:rPr>
          <w:rFonts w:eastAsia="Calibri" w:cs="Arial"/>
          <w:szCs w:val="24"/>
        </w:rPr>
        <w:t xml:space="preserve">Paz-Ares L </w:t>
      </w:r>
      <w:r w:rsidRPr="000C64AC">
        <w:rPr>
          <w:rFonts w:eastAsia="Calibri" w:cs="Arial"/>
          <w:i/>
          <w:iCs/>
          <w:szCs w:val="24"/>
        </w:rPr>
        <w:t>et al</w:t>
      </w:r>
      <w:r w:rsidRPr="000C64AC">
        <w:rPr>
          <w:rFonts w:eastAsia="Calibri" w:cs="Arial"/>
          <w:szCs w:val="24"/>
        </w:rPr>
        <w:t xml:space="preserve">. Afatinib versus gefitinib in patients with EGFR mutation-positive advanced non-small-cell lung cancer: overall survival data from the phase IIb LUX-Lung 7 trial. </w:t>
      </w:r>
      <w:r w:rsidRPr="000C64AC">
        <w:rPr>
          <w:rFonts w:cs="Arial"/>
          <w:i/>
          <w:iCs/>
          <w:color w:val="212121"/>
          <w:shd w:val="clear" w:color="auto" w:fill="FFFFFF"/>
        </w:rPr>
        <w:t>Ann. Oncol</w:t>
      </w:r>
      <w:r w:rsidRPr="000C64AC">
        <w:rPr>
          <w:rFonts w:cs="Arial"/>
          <w:color w:val="212121"/>
          <w:shd w:val="clear" w:color="auto" w:fill="FFFFFF"/>
        </w:rPr>
        <w:t xml:space="preserve">. </w:t>
      </w:r>
      <w:r w:rsidRPr="000C64AC">
        <w:rPr>
          <w:rFonts w:eastAsia="Calibri" w:cs="Arial"/>
          <w:szCs w:val="24"/>
        </w:rPr>
        <w:t>28(2), 270–277 (2017).</w:t>
      </w:r>
    </w:p>
    <w:p w14:paraId="1846B08E" w14:textId="77777777" w:rsidR="00C20A0A" w:rsidRPr="000C64AC" w:rsidRDefault="00C20A0A" w:rsidP="00C20A0A">
      <w:pPr>
        <w:numPr>
          <w:ilvl w:val="0"/>
          <w:numId w:val="1"/>
        </w:numPr>
        <w:contextualSpacing/>
        <w:rPr>
          <w:rFonts w:eastAsia="Calibri" w:cs="Arial"/>
          <w:szCs w:val="24"/>
        </w:rPr>
      </w:pPr>
      <w:r w:rsidRPr="000C64AC">
        <w:rPr>
          <w:rFonts w:eastAsia="Calibri" w:cs="Arial"/>
          <w:szCs w:val="24"/>
        </w:rPr>
        <w:t xml:space="preserve">Wu Y-L </w:t>
      </w:r>
      <w:r w:rsidRPr="000C64AC">
        <w:rPr>
          <w:rFonts w:eastAsia="Calibri" w:cs="Arial"/>
          <w:i/>
          <w:iCs/>
          <w:szCs w:val="24"/>
        </w:rPr>
        <w:t>et al</w:t>
      </w:r>
      <w:r w:rsidRPr="000C64AC">
        <w:rPr>
          <w:rFonts w:eastAsia="Calibri" w:cs="Arial"/>
          <w:szCs w:val="24"/>
        </w:rPr>
        <w:t xml:space="preserve">. Dacomitinib versus gefitinib as first-line treatment for patients with EGFR-mutation-positive non-small-cell lung cancer (ARCHER 1050): a </w:t>
      </w:r>
      <w:proofErr w:type="spellStart"/>
      <w:r w:rsidRPr="000C64AC">
        <w:rPr>
          <w:rFonts w:eastAsia="Calibri" w:cs="Arial"/>
          <w:szCs w:val="24"/>
        </w:rPr>
        <w:t>randomised</w:t>
      </w:r>
      <w:proofErr w:type="spellEnd"/>
      <w:r w:rsidRPr="000C64AC">
        <w:rPr>
          <w:rFonts w:eastAsia="Calibri" w:cs="Arial"/>
          <w:szCs w:val="24"/>
        </w:rPr>
        <w:t xml:space="preserve">, open-label, phase 3 trial. </w:t>
      </w:r>
      <w:r w:rsidRPr="000C64AC">
        <w:rPr>
          <w:rFonts w:cs="Arial"/>
          <w:i/>
          <w:iCs/>
          <w:color w:val="212121"/>
          <w:shd w:val="clear" w:color="auto" w:fill="FFFFFF"/>
        </w:rPr>
        <w:t>Lancet Oncol</w:t>
      </w:r>
      <w:r w:rsidRPr="000C64AC">
        <w:rPr>
          <w:rFonts w:cs="Arial"/>
          <w:color w:val="212121"/>
          <w:shd w:val="clear" w:color="auto" w:fill="FFFFFF"/>
        </w:rPr>
        <w:t xml:space="preserve">. </w:t>
      </w:r>
      <w:r w:rsidRPr="000C64AC">
        <w:rPr>
          <w:rFonts w:eastAsia="Calibri" w:cs="Arial"/>
          <w:szCs w:val="24"/>
        </w:rPr>
        <w:t>18(11), 1454–1466 (2017).</w:t>
      </w:r>
    </w:p>
    <w:p w14:paraId="6AEFF52D" w14:textId="77777777" w:rsidR="00C20A0A" w:rsidRPr="000C64AC" w:rsidRDefault="00C20A0A" w:rsidP="00C20A0A">
      <w:pPr>
        <w:numPr>
          <w:ilvl w:val="0"/>
          <w:numId w:val="1"/>
        </w:numPr>
        <w:contextualSpacing/>
        <w:rPr>
          <w:rFonts w:eastAsia="Calibri" w:cs="Arial"/>
          <w:szCs w:val="24"/>
        </w:rPr>
      </w:pPr>
      <w:r w:rsidRPr="000C64AC">
        <w:rPr>
          <w:rFonts w:eastAsia="Calibri" w:cs="Arial"/>
          <w:szCs w:val="24"/>
        </w:rPr>
        <w:lastRenderedPageBreak/>
        <w:t xml:space="preserve">Mok TS </w:t>
      </w:r>
      <w:r w:rsidRPr="000C64AC">
        <w:rPr>
          <w:rFonts w:eastAsia="Calibri" w:cs="Arial"/>
          <w:i/>
          <w:iCs/>
          <w:szCs w:val="24"/>
        </w:rPr>
        <w:t>et al</w:t>
      </w:r>
      <w:r w:rsidRPr="000C64AC">
        <w:rPr>
          <w:rFonts w:eastAsia="Calibri" w:cs="Arial"/>
          <w:szCs w:val="24"/>
        </w:rPr>
        <w:t xml:space="preserve">. Updated Overall Survival in a Randomized Study Comparing Dacomitinib with Gefitinib as First-Line Treatment in Patients with Advanced Non-Small-Cell Lung Cancer and EGFR-Activating Mutations. </w:t>
      </w:r>
      <w:r w:rsidRPr="000C64AC">
        <w:rPr>
          <w:rFonts w:eastAsia="Calibri" w:cs="Arial"/>
          <w:i/>
          <w:iCs/>
          <w:szCs w:val="24"/>
        </w:rPr>
        <w:t>Drugs.</w:t>
      </w:r>
      <w:r w:rsidRPr="000C64AC">
        <w:rPr>
          <w:rFonts w:eastAsia="Calibri" w:cs="Arial"/>
          <w:szCs w:val="24"/>
        </w:rPr>
        <w:t xml:space="preserve"> 81(2), 257–266 (2021).</w:t>
      </w:r>
    </w:p>
    <w:p w14:paraId="129DBC08" w14:textId="77777777" w:rsidR="00C20A0A" w:rsidRPr="000C64AC" w:rsidRDefault="00C20A0A" w:rsidP="00C20A0A">
      <w:pPr>
        <w:numPr>
          <w:ilvl w:val="0"/>
          <w:numId w:val="1"/>
        </w:numPr>
        <w:contextualSpacing/>
        <w:rPr>
          <w:rFonts w:eastAsia="Calibri" w:cs="Arial"/>
          <w:szCs w:val="24"/>
        </w:rPr>
      </w:pPr>
      <w:r w:rsidRPr="000C64AC">
        <w:rPr>
          <w:rFonts w:eastAsia="Calibri" w:cs="Arial"/>
          <w:szCs w:val="24"/>
        </w:rPr>
        <w:t xml:space="preserve">Soria J-C </w:t>
      </w:r>
      <w:r w:rsidRPr="000C64AC">
        <w:rPr>
          <w:rFonts w:eastAsia="Calibri" w:cs="Arial"/>
          <w:i/>
          <w:iCs/>
          <w:szCs w:val="24"/>
        </w:rPr>
        <w:t>et al</w:t>
      </w:r>
      <w:r w:rsidRPr="000C64AC">
        <w:rPr>
          <w:rFonts w:eastAsia="Calibri" w:cs="Arial"/>
          <w:szCs w:val="24"/>
        </w:rPr>
        <w:t xml:space="preserve">. Osimertinib in Untreated EGFR-Mutated Advanced Non-Small-Cell Lung Cancer. </w:t>
      </w:r>
      <w:r w:rsidRPr="000C64AC">
        <w:rPr>
          <w:rFonts w:cs="Arial"/>
          <w:i/>
          <w:iCs/>
          <w:color w:val="212121"/>
          <w:shd w:val="clear" w:color="auto" w:fill="FFFFFF"/>
        </w:rPr>
        <w:t>N. Engl. J. Med</w:t>
      </w:r>
      <w:r w:rsidRPr="000C64AC">
        <w:rPr>
          <w:rFonts w:cs="Arial"/>
          <w:color w:val="212121"/>
          <w:shd w:val="clear" w:color="auto" w:fill="FFFFFF"/>
        </w:rPr>
        <w:t xml:space="preserve">. </w:t>
      </w:r>
      <w:r w:rsidRPr="000C64AC">
        <w:rPr>
          <w:rFonts w:eastAsia="Calibri" w:cs="Arial"/>
          <w:szCs w:val="24"/>
        </w:rPr>
        <w:t>378(2), 113–125 (2018).</w:t>
      </w:r>
    </w:p>
    <w:p w14:paraId="48433BF9" w14:textId="77777777" w:rsidR="00C20A0A" w:rsidRPr="000C64AC" w:rsidRDefault="00C20A0A" w:rsidP="00C20A0A">
      <w:pPr>
        <w:numPr>
          <w:ilvl w:val="0"/>
          <w:numId w:val="1"/>
        </w:numPr>
        <w:contextualSpacing/>
        <w:rPr>
          <w:rFonts w:eastAsia="Calibri" w:cs="Arial"/>
          <w:szCs w:val="24"/>
        </w:rPr>
      </w:pPr>
      <w:r w:rsidRPr="000C64AC">
        <w:rPr>
          <w:rFonts w:eastAsia="Calibri" w:cs="Arial"/>
          <w:szCs w:val="24"/>
        </w:rPr>
        <w:t xml:space="preserve">Ramalingam SS </w:t>
      </w:r>
      <w:r w:rsidRPr="000C64AC">
        <w:rPr>
          <w:rFonts w:eastAsia="Calibri" w:cs="Arial"/>
          <w:i/>
          <w:iCs/>
          <w:szCs w:val="24"/>
        </w:rPr>
        <w:t>et al</w:t>
      </w:r>
      <w:r w:rsidRPr="000C64AC">
        <w:rPr>
          <w:rFonts w:eastAsia="Calibri" w:cs="Arial"/>
          <w:szCs w:val="24"/>
        </w:rPr>
        <w:t xml:space="preserve">. Overall Survival with Osimertinib in Untreated, EGFR-Mutated Advanced NSCLC. </w:t>
      </w:r>
      <w:r w:rsidRPr="000C64AC">
        <w:rPr>
          <w:rFonts w:cs="Arial"/>
          <w:i/>
          <w:iCs/>
          <w:color w:val="212121"/>
          <w:shd w:val="clear" w:color="auto" w:fill="FFFFFF"/>
        </w:rPr>
        <w:t>N. Engl. J. Med</w:t>
      </w:r>
      <w:r w:rsidRPr="000C64AC">
        <w:rPr>
          <w:rFonts w:cs="Arial"/>
          <w:color w:val="212121"/>
          <w:shd w:val="clear" w:color="auto" w:fill="FFFFFF"/>
        </w:rPr>
        <w:t xml:space="preserve">. </w:t>
      </w:r>
      <w:r w:rsidRPr="000C64AC">
        <w:rPr>
          <w:rFonts w:eastAsia="Calibri" w:cs="Arial"/>
          <w:szCs w:val="24"/>
        </w:rPr>
        <w:t>382(1), 41–50 (2020).</w:t>
      </w:r>
      <w:bookmarkEnd w:id="0"/>
    </w:p>
    <w:p w14:paraId="63113374" w14:textId="77777777" w:rsidR="00C20A0A" w:rsidRDefault="00C20A0A"/>
    <w:sectPr w:rsidR="00C20A0A" w:rsidSect="008075FD">
      <w:pgSz w:w="11906" w:h="16838" w:code="9"/>
      <w:pgMar w:top="1440" w:right="1440" w:bottom="1440" w:left="1440" w:header="706" w:footer="70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55CD6"/>
    <w:multiLevelType w:val="hybridMultilevel"/>
    <w:tmpl w:val="06F2B98C"/>
    <w:lvl w:ilvl="0" w:tplc="239EE710">
      <w:start w:val="1"/>
      <w:numFmt w:val="decimal"/>
      <w:lvlText w:val="%1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0A"/>
    <w:rsid w:val="000B5FD7"/>
    <w:rsid w:val="00C20A0A"/>
    <w:rsid w:val="00F4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2291C"/>
  <w15:chartTrackingRefBased/>
  <w15:docId w15:val="{44E64668-6760-4730-8335-DC1B5DAE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A0A"/>
    <w:pPr>
      <w:spacing w:after="240" w:line="48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20A0A"/>
    <w:pPr>
      <w:keepNext/>
      <w:spacing w:after="120"/>
      <w:outlineLvl w:val="0"/>
    </w:pPr>
    <w:rPr>
      <w:b/>
      <w:kern w:val="28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0A0A"/>
    <w:rPr>
      <w:rFonts w:ascii="Arial" w:eastAsia="Times New Roman" w:hAnsi="Arial" w:cs="Times New Roman"/>
      <w:b/>
      <w:kern w:val="28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1000</Words>
  <Characters>5703</Characters>
  <Application>Microsoft Office Word</Application>
  <DocSecurity>0</DocSecurity>
  <Lines>47</Lines>
  <Paragraphs>13</Paragraphs>
  <ScaleCrop>false</ScaleCrop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Carys</dc:creator>
  <cp:keywords/>
  <dc:description/>
  <cp:lastModifiedBy>Johanna Todd</cp:lastModifiedBy>
  <cp:revision>2</cp:revision>
  <dcterms:created xsi:type="dcterms:W3CDTF">2021-11-30T14:45:00Z</dcterms:created>
  <dcterms:modified xsi:type="dcterms:W3CDTF">2021-11-30T14:45:00Z</dcterms:modified>
</cp:coreProperties>
</file>