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A4" w:rsidRDefault="00FD34A4" w:rsidP="00FD34A4">
      <w:pPr>
        <w:rPr>
          <w:lang w:val="en-US"/>
        </w:rPr>
      </w:pPr>
      <w:r w:rsidRPr="00443D7B">
        <w:rPr>
          <w:b/>
          <w:lang w:val="en-US"/>
        </w:rPr>
        <w:t xml:space="preserve">Supplementary Table </w:t>
      </w:r>
      <w:r>
        <w:rPr>
          <w:b/>
          <w:lang w:val="en-US"/>
        </w:rPr>
        <w:t>2</w:t>
      </w:r>
      <w:r w:rsidRPr="00443D7B">
        <w:rPr>
          <w:b/>
          <w:lang w:val="en-US"/>
        </w:rPr>
        <w:t>.</w:t>
      </w:r>
      <w:r>
        <w:rPr>
          <w:lang w:val="en-US"/>
        </w:rPr>
        <w:t xml:space="preserve"> Call rate for genotyped SNPs and number of cases, included into analyses of associations with total cholesterol and low-density lipoprotein cholesterol change, baseline carotid intima-media thickness, and its change during rosuvastatin therapy.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175"/>
        <w:gridCol w:w="718"/>
        <w:gridCol w:w="699"/>
        <w:gridCol w:w="653"/>
        <w:gridCol w:w="603"/>
        <w:gridCol w:w="1175"/>
        <w:gridCol w:w="718"/>
        <w:gridCol w:w="1073"/>
        <w:gridCol w:w="634"/>
        <w:gridCol w:w="635"/>
      </w:tblGrid>
      <w:tr w:rsidR="00FD34A4" w:rsidRPr="00873EBF" w:rsidTr="00C7540E"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 xml:space="preserve">Gene, </w:t>
            </w:r>
          </w:p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Analysis of associations of SNPs with lipid levels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Analysis of associations of SNPs with CIMT</w:t>
            </w:r>
          </w:p>
        </w:tc>
      </w:tr>
      <w:tr w:rsidR="00FD34A4" w:rsidRPr="00873EBF" w:rsidTr="00C7540E"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patients genotyped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Call rate, 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Number of patients with available TC and LDL-C data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patients genotyped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Call rate, %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Number of patients with available CIMT data</w:t>
            </w:r>
          </w:p>
        </w:tc>
      </w:tr>
      <w:tr w:rsidR="00FD34A4" w:rsidRPr="00873EBF" w:rsidTr="00C7540E">
        <w:trPr>
          <w:trHeight w:val="21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 point of the study, month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 point of the study, month</w:t>
            </w:r>
          </w:p>
        </w:tc>
      </w:tr>
      <w:tr w:rsidR="00FD34A4" w:rsidTr="00C7540E">
        <w:trPr>
          <w:trHeight w:val="33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2007E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2007E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2007E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Baseline*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2007E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2007E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LPA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rs10455872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LDLR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rs11672123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LDLR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rs6511720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rs445925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58.1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29.91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rs7412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66.36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40.17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rs6924995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rs3757354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rs2199936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rs1481012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873EB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73EBF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FD34A4" w:rsidRPr="00873EBF" w:rsidTr="00C7540E">
        <w:tc>
          <w:tcPr>
            <w:tcW w:w="93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* for the patients from group 1 (n=116)</w:t>
            </w:r>
          </w:p>
          <w:p w:rsidR="00FD34A4" w:rsidRDefault="00FD34A4" w:rsidP="00C7540E">
            <w:pPr>
              <w:rPr>
                <w:lang w:val="en-US"/>
              </w:rPr>
            </w:pPr>
            <w:r>
              <w:rPr>
                <w:lang w:val="en-US"/>
              </w:rPr>
              <w:t>SNP indicates single nucleotide polymorphism; TC, total cholesterol; LDL-C, low-density lipoprotein cholesterol; CIMT, carotid intima-media thickness</w:t>
            </w:r>
          </w:p>
        </w:tc>
      </w:tr>
    </w:tbl>
    <w:p w:rsidR="00F6789F" w:rsidRPr="00FD34A4" w:rsidRDefault="00873EBF">
      <w:pPr>
        <w:rPr>
          <w:lang w:val="en-US"/>
        </w:rPr>
      </w:pPr>
    </w:p>
    <w:sectPr w:rsidR="00F6789F" w:rsidRPr="00FD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0"/>
    <w:rsid w:val="00143BB7"/>
    <w:rsid w:val="007A7EC0"/>
    <w:rsid w:val="00873EBF"/>
    <w:rsid w:val="009C6A4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B63"/>
  <w15:chartTrackingRefBased/>
  <w15:docId w15:val="{EDCA4ED3-8D85-499F-8317-1B0457A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2021-10-12T15:43:00Z</dcterms:created>
  <dcterms:modified xsi:type="dcterms:W3CDTF">2021-10-12T16:13:00Z</dcterms:modified>
</cp:coreProperties>
</file>