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297E5" w14:textId="77777777" w:rsidR="007A091D" w:rsidRPr="00954A81" w:rsidRDefault="007A091D" w:rsidP="007A091D">
      <w:pPr>
        <w:rPr>
          <w:rFonts w:eastAsiaTheme="majorEastAsia" w:cstheme="majorBidi"/>
          <w:b/>
          <w:szCs w:val="32"/>
        </w:rPr>
      </w:pPr>
      <w:r w:rsidRPr="00954A81">
        <w:rPr>
          <w:rFonts w:eastAsiaTheme="majorEastAsia" w:cstheme="majorBidi"/>
          <w:b/>
          <w:szCs w:val="32"/>
        </w:rPr>
        <w:t>SUPPLEMENTAL MATERIAL</w:t>
      </w:r>
    </w:p>
    <w:p w14:paraId="1AA9D94D" w14:textId="77777777" w:rsidR="007A091D" w:rsidRPr="00E62E87" w:rsidRDefault="007A091D" w:rsidP="007A091D">
      <w:r w:rsidRPr="00E62E87">
        <w:t>Table S1 Patient characteristics by type of index therapy</w:t>
      </w:r>
    </w:p>
    <w:tbl>
      <w:tblPr>
        <w:tblStyle w:val="TableGrid"/>
        <w:tblW w:w="5640" w:type="pct"/>
        <w:tblLayout w:type="fixed"/>
        <w:tblLook w:val="0420" w:firstRow="1" w:lastRow="0" w:firstColumn="0" w:lastColumn="0" w:noHBand="0" w:noVBand="1"/>
      </w:tblPr>
      <w:tblGrid>
        <w:gridCol w:w="1732"/>
        <w:gridCol w:w="1430"/>
        <w:gridCol w:w="1493"/>
        <w:gridCol w:w="1519"/>
        <w:gridCol w:w="1565"/>
        <w:gridCol w:w="1403"/>
        <w:gridCol w:w="1405"/>
      </w:tblGrid>
      <w:tr w:rsidR="007A091D" w:rsidRPr="00E62E87" w14:paraId="5E54219B" w14:textId="77777777" w:rsidTr="00B41C16">
        <w:trPr>
          <w:trHeight w:val="20"/>
        </w:trPr>
        <w:tc>
          <w:tcPr>
            <w:tcW w:w="821" w:type="pct"/>
            <w:vMerge w:val="restart"/>
            <w:hideMark/>
          </w:tcPr>
          <w:p w14:paraId="01021FCA" w14:textId="77777777" w:rsidR="007A091D" w:rsidRPr="00E62E87" w:rsidRDefault="007A091D" w:rsidP="007A091D">
            <w:pPr>
              <w:spacing w:line="240" w:lineRule="auto"/>
              <w:rPr>
                <w:rFonts w:cs="Arial"/>
                <w:sz w:val="20"/>
                <w:szCs w:val="20"/>
              </w:rPr>
            </w:pPr>
            <w:r w:rsidRPr="00E62E87">
              <w:rPr>
                <w:rFonts w:cs="Arial"/>
                <w:sz w:val="20"/>
                <w:szCs w:val="20"/>
              </w:rPr>
              <w:t>Demographic and Clinical Characteristics</w:t>
            </w:r>
          </w:p>
        </w:tc>
        <w:tc>
          <w:tcPr>
            <w:tcW w:w="678" w:type="pct"/>
            <w:vMerge w:val="restart"/>
            <w:hideMark/>
          </w:tcPr>
          <w:p w14:paraId="498A406E" w14:textId="77777777" w:rsidR="007A091D" w:rsidRPr="00E62E87" w:rsidRDefault="007A091D" w:rsidP="007A091D">
            <w:pPr>
              <w:spacing w:line="240" w:lineRule="auto"/>
              <w:rPr>
                <w:rFonts w:cs="Arial"/>
                <w:sz w:val="20"/>
                <w:szCs w:val="20"/>
              </w:rPr>
            </w:pPr>
            <w:r w:rsidRPr="00E62E87">
              <w:rPr>
                <w:rFonts w:cs="Arial"/>
                <w:sz w:val="20"/>
                <w:szCs w:val="20"/>
              </w:rPr>
              <w:t>Study Cohort (N=279)</w:t>
            </w:r>
            <w:r w:rsidRPr="00061405">
              <w:rPr>
                <w:rFonts w:cs="Arial"/>
                <w:sz w:val="20"/>
                <w:szCs w:val="20"/>
                <w:vertAlign w:val="superscript"/>
              </w:rPr>
              <w:t>a</w:t>
            </w:r>
          </w:p>
        </w:tc>
        <w:tc>
          <w:tcPr>
            <w:tcW w:w="2170" w:type="pct"/>
            <w:gridSpan w:val="3"/>
            <w:hideMark/>
          </w:tcPr>
          <w:p w14:paraId="57D690B4" w14:textId="77777777" w:rsidR="007A091D" w:rsidRPr="00E62E87" w:rsidRDefault="007A091D" w:rsidP="007A091D">
            <w:pPr>
              <w:spacing w:line="240" w:lineRule="auto"/>
              <w:rPr>
                <w:rFonts w:cs="Arial"/>
                <w:sz w:val="20"/>
                <w:szCs w:val="20"/>
              </w:rPr>
            </w:pPr>
            <w:r w:rsidRPr="00E62E87">
              <w:rPr>
                <w:rFonts w:cs="Arial"/>
                <w:sz w:val="20"/>
                <w:szCs w:val="20"/>
              </w:rPr>
              <w:t>Immunotherapy</w:t>
            </w:r>
            <w:r w:rsidRPr="00521B71">
              <w:rPr>
                <w:rFonts w:cs="Arial"/>
                <w:sz w:val="20"/>
                <w:szCs w:val="20"/>
                <w:vertAlign w:val="superscript"/>
              </w:rPr>
              <w:t xml:space="preserve"> a</w:t>
            </w:r>
          </w:p>
        </w:tc>
        <w:tc>
          <w:tcPr>
            <w:tcW w:w="665" w:type="pct"/>
            <w:hideMark/>
          </w:tcPr>
          <w:p w14:paraId="5D7A3F67" w14:textId="77777777" w:rsidR="007A091D" w:rsidRPr="00E62E87" w:rsidRDefault="007A091D" w:rsidP="007A091D">
            <w:pPr>
              <w:spacing w:line="240" w:lineRule="auto"/>
              <w:rPr>
                <w:rFonts w:cs="Arial"/>
                <w:sz w:val="20"/>
                <w:szCs w:val="20"/>
              </w:rPr>
            </w:pPr>
            <w:r w:rsidRPr="00E62E87">
              <w:rPr>
                <w:rFonts w:cs="Arial"/>
                <w:sz w:val="20"/>
                <w:szCs w:val="20"/>
              </w:rPr>
              <w:t xml:space="preserve">BRAFi/MEKi </w:t>
            </w:r>
          </w:p>
          <w:p w14:paraId="35DF2F7B" w14:textId="77777777" w:rsidR="007A091D" w:rsidRPr="00E62E87" w:rsidRDefault="007A091D" w:rsidP="007A091D">
            <w:pPr>
              <w:spacing w:line="240" w:lineRule="auto"/>
              <w:rPr>
                <w:rFonts w:cs="Arial"/>
                <w:sz w:val="20"/>
                <w:szCs w:val="20"/>
              </w:rPr>
            </w:pPr>
            <w:r w:rsidRPr="00E62E87">
              <w:rPr>
                <w:rFonts w:cs="Arial"/>
                <w:sz w:val="20"/>
                <w:szCs w:val="20"/>
              </w:rPr>
              <w:t>(N=109)</w:t>
            </w:r>
          </w:p>
        </w:tc>
        <w:tc>
          <w:tcPr>
            <w:tcW w:w="665" w:type="pct"/>
            <w:hideMark/>
          </w:tcPr>
          <w:p w14:paraId="4E2D4C16" w14:textId="77777777" w:rsidR="007A091D" w:rsidRPr="00E62E87" w:rsidRDefault="007A091D" w:rsidP="007A091D">
            <w:pPr>
              <w:spacing w:line="240" w:lineRule="auto"/>
              <w:rPr>
                <w:rFonts w:cs="Arial"/>
                <w:sz w:val="20"/>
                <w:szCs w:val="20"/>
              </w:rPr>
            </w:pPr>
            <w:r w:rsidRPr="00E62E87">
              <w:rPr>
                <w:rFonts w:cs="Arial"/>
                <w:sz w:val="20"/>
                <w:szCs w:val="20"/>
              </w:rPr>
              <w:t xml:space="preserve">Other </w:t>
            </w:r>
          </w:p>
          <w:p w14:paraId="3ACCCFFE" w14:textId="77777777" w:rsidR="007A091D" w:rsidRPr="00E62E87" w:rsidRDefault="007A091D" w:rsidP="007A091D">
            <w:pPr>
              <w:spacing w:line="240" w:lineRule="auto"/>
              <w:rPr>
                <w:rFonts w:cs="Arial"/>
                <w:sz w:val="20"/>
                <w:szCs w:val="20"/>
              </w:rPr>
            </w:pPr>
            <w:r w:rsidRPr="00E62E87">
              <w:rPr>
                <w:rFonts w:cs="Arial"/>
                <w:sz w:val="20"/>
                <w:szCs w:val="20"/>
              </w:rPr>
              <w:t>(N=44)</w:t>
            </w:r>
          </w:p>
        </w:tc>
      </w:tr>
      <w:tr w:rsidR="007A091D" w:rsidRPr="00E62E87" w14:paraId="279550C5" w14:textId="77777777" w:rsidTr="00B41C16">
        <w:trPr>
          <w:trHeight w:val="20"/>
        </w:trPr>
        <w:tc>
          <w:tcPr>
            <w:tcW w:w="821" w:type="pct"/>
            <w:vMerge/>
            <w:hideMark/>
          </w:tcPr>
          <w:p w14:paraId="5C9A2B72" w14:textId="77777777" w:rsidR="007A091D" w:rsidRPr="00E62E87" w:rsidRDefault="007A091D" w:rsidP="007A091D">
            <w:pPr>
              <w:spacing w:line="240" w:lineRule="auto"/>
              <w:rPr>
                <w:rFonts w:cs="Arial"/>
                <w:sz w:val="20"/>
                <w:szCs w:val="20"/>
              </w:rPr>
            </w:pPr>
          </w:p>
        </w:tc>
        <w:tc>
          <w:tcPr>
            <w:tcW w:w="678" w:type="pct"/>
            <w:vMerge/>
            <w:hideMark/>
          </w:tcPr>
          <w:p w14:paraId="2181A316" w14:textId="77777777" w:rsidR="007A091D" w:rsidRPr="00E62E87" w:rsidRDefault="007A091D" w:rsidP="007A091D">
            <w:pPr>
              <w:spacing w:line="240" w:lineRule="auto"/>
              <w:rPr>
                <w:rFonts w:cs="Arial"/>
                <w:sz w:val="20"/>
                <w:szCs w:val="20"/>
              </w:rPr>
            </w:pPr>
          </w:p>
        </w:tc>
        <w:tc>
          <w:tcPr>
            <w:tcW w:w="708" w:type="pct"/>
            <w:hideMark/>
          </w:tcPr>
          <w:p w14:paraId="055A4156" w14:textId="77777777" w:rsidR="007A091D" w:rsidRPr="00E62E87" w:rsidRDefault="007A091D" w:rsidP="007A091D">
            <w:pPr>
              <w:spacing w:line="240" w:lineRule="auto"/>
              <w:rPr>
                <w:rFonts w:cs="Arial"/>
                <w:sz w:val="20"/>
                <w:szCs w:val="20"/>
              </w:rPr>
            </w:pPr>
            <w:r w:rsidRPr="00E62E87">
              <w:rPr>
                <w:rFonts w:cs="Arial"/>
                <w:sz w:val="20"/>
                <w:szCs w:val="20"/>
              </w:rPr>
              <w:t>anti-</w:t>
            </w:r>
            <w:r>
              <w:rPr>
                <w:rFonts w:cs="Arial"/>
                <w:sz w:val="20"/>
                <w:szCs w:val="20"/>
              </w:rPr>
              <w:t>PD-1</w:t>
            </w:r>
            <w:r w:rsidRPr="00E62E87">
              <w:rPr>
                <w:rFonts w:cs="Arial"/>
                <w:sz w:val="20"/>
                <w:szCs w:val="20"/>
              </w:rPr>
              <w:t xml:space="preserve"> </w:t>
            </w:r>
          </w:p>
          <w:p w14:paraId="72893883" w14:textId="77777777" w:rsidR="007A091D" w:rsidRPr="00E62E87" w:rsidRDefault="007A091D" w:rsidP="007A091D">
            <w:pPr>
              <w:spacing w:line="240" w:lineRule="auto"/>
              <w:rPr>
                <w:rFonts w:cs="Arial"/>
                <w:sz w:val="20"/>
                <w:szCs w:val="20"/>
              </w:rPr>
            </w:pPr>
            <w:r w:rsidRPr="00E62E87">
              <w:rPr>
                <w:rFonts w:cs="Arial"/>
                <w:sz w:val="20"/>
                <w:szCs w:val="20"/>
              </w:rPr>
              <w:t>(N=27)</w:t>
            </w:r>
          </w:p>
        </w:tc>
        <w:tc>
          <w:tcPr>
            <w:tcW w:w="720" w:type="pct"/>
            <w:hideMark/>
          </w:tcPr>
          <w:p w14:paraId="1549E33E" w14:textId="77777777" w:rsidR="007A091D" w:rsidRPr="00E62E87" w:rsidRDefault="007A091D" w:rsidP="007A091D">
            <w:pPr>
              <w:spacing w:line="240" w:lineRule="auto"/>
              <w:rPr>
                <w:rFonts w:cs="Arial"/>
                <w:sz w:val="20"/>
                <w:szCs w:val="20"/>
              </w:rPr>
            </w:pPr>
            <w:r w:rsidRPr="00E62E87">
              <w:rPr>
                <w:rFonts w:cs="Arial"/>
                <w:sz w:val="20"/>
                <w:szCs w:val="20"/>
              </w:rPr>
              <w:t>anti-</w:t>
            </w:r>
            <w:r>
              <w:rPr>
                <w:rFonts w:cs="Arial"/>
                <w:sz w:val="20"/>
                <w:szCs w:val="20"/>
              </w:rPr>
              <w:t>PD-1</w:t>
            </w:r>
            <w:r w:rsidRPr="00E62E87">
              <w:rPr>
                <w:rFonts w:cs="Arial"/>
                <w:sz w:val="20"/>
                <w:szCs w:val="20"/>
              </w:rPr>
              <w:t xml:space="preserve"> /CTLA-4 combination (n=66)</w:t>
            </w:r>
          </w:p>
        </w:tc>
        <w:tc>
          <w:tcPr>
            <w:tcW w:w="742" w:type="pct"/>
            <w:hideMark/>
          </w:tcPr>
          <w:p w14:paraId="4E9F797F" w14:textId="77777777" w:rsidR="007A091D" w:rsidRPr="00E62E87" w:rsidRDefault="007A091D" w:rsidP="007A091D">
            <w:pPr>
              <w:spacing w:line="240" w:lineRule="auto"/>
              <w:rPr>
                <w:rFonts w:cs="Arial"/>
                <w:sz w:val="20"/>
                <w:szCs w:val="20"/>
              </w:rPr>
            </w:pPr>
            <w:r w:rsidRPr="00E62E87">
              <w:rPr>
                <w:rFonts w:cs="Arial"/>
                <w:sz w:val="20"/>
                <w:szCs w:val="20"/>
              </w:rPr>
              <w:t>CTLA-4 (n=33)</w:t>
            </w:r>
          </w:p>
        </w:tc>
        <w:tc>
          <w:tcPr>
            <w:tcW w:w="665" w:type="pct"/>
            <w:hideMark/>
          </w:tcPr>
          <w:p w14:paraId="5704CAE9" w14:textId="77777777" w:rsidR="007A091D" w:rsidRPr="00E62E87" w:rsidRDefault="007A091D" w:rsidP="007A091D">
            <w:pPr>
              <w:spacing w:line="240" w:lineRule="auto"/>
              <w:rPr>
                <w:rFonts w:cs="Arial"/>
                <w:sz w:val="20"/>
                <w:szCs w:val="20"/>
              </w:rPr>
            </w:pPr>
          </w:p>
        </w:tc>
        <w:tc>
          <w:tcPr>
            <w:tcW w:w="665" w:type="pct"/>
            <w:hideMark/>
          </w:tcPr>
          <w:p w14:paraId="6DE93B50" w14:textId="77777777" w:rsidR="007A091D" w:rsidRPr="00E62E87" w:rsidRDefault="007A091D" w:rsidP="007A091D">
            <w:pPr>
              <w:spacing w:line="240" w:lineRule="auto"/>
              <w:rPr>
                <w:rFonts w:cs="Arial"/>
                <w:sz w:val="20"/>
                <w:szCs w:val="20"/>
              </w:rPr>
            </w:pPr>
          </w:p>
        </w:tc>
      </w:tr>
      <w:tr w:rsidR="007A091D" w:rsidRPr="00E62E87" w14:paraId="58D3CB76" w14:textId="77777777" w:rsidTr="00B41C16">
        <w:trPr>
          <w:trHeight w:val="20"/>
        </w:trPr>
        <w:tc>
          <w:tcPr>
            <w:tcW w:w="821" w:type="pct"/>
            <w:hideMark/>
          </w:tcPr>
          <w:p w14:paraId="26484DD7" w14:textId="77777777" w:rsidR="007A091D" w:rsidRPr="00E62E87" w:rsidRDefault="007A091D" w:rsidP="007A091D">
            <w:pPr>
              <w:spacing w:line="240" w:lineRule="auto"/>
              <w:rPr>
                <w:rFonts w:cs="Arial"/>
                <w:sz w:val="20"/>
                <w:szCs w:val="20"/>
              </w:rPr>
            </w:pPr>
            <w:r w:rsidRPr="00E62E87">
              <w:rPr>
                <w:rFonts w:cs="Arial"/>
                <w:sz w:val="20"/>
                <w:szCs w:val="20"/>
              </w:rPr>
              <w:t>Median (min, max) age at initial diagnosis, years</w:t>
            </w:r>
          </w:p>
        </w:tc>
        <w:tc>
          <w:tcPr>
            <w:tcW w:w="678" w:type="pct"/>
            <w:hideMark/>
          </w:tcPr>
          <w:p w14:paraId="3EDEF464" w14:textId="77777777" w:rsidR="007A091D" w:rsidRPr="00E62E87" w:rsidRDefault="007A091D" w:rsidP="007A091D">
            <w:pPr>
              <w:spacing w:line="240" w:lineRule="auto"/>
              <w:rPr>
                <w:rFonts w:cs="Arial"/>
                <w:sz w:val="20"/>
                <w:szCs w:val="20"/>
              </w:rPr>
            </w:pPr>
            <w:r w:rsidRPr="00E62E87">
              <w:rPr>
                <w:rFonts w:cs="Arial"/>
                <w:sz w:val="20"/>
                <w:szCs w:val="20"/>
              </w:rPr>
              <w:t xml:space="preserve">64 (18, 84) </w:t>
            </w:r>
          </w:p>
        </w:tc>
        <w:tc>
          <w:tcPr>
            <w:tcW w:w="708" w:type="pct"/>
            <w:hideMark/>
          </w:tcPr>
          <w:p w14:paraId="0A527E84" w14:textId="77777777" w:rsidR="007A091D" w:rsidRPr="00E62E87" w:rsidRDefault="007A091D" w:rsidP="007A091D">
            <w:pPr>
              <w:spacing w:line="240" w:lineRule="auto"/>
              <w:rPr>
                <w:rFonts w:cs="Arial"/>
                <w:sz w:val="20"/>
                <w:szCs w:val="20"/>
              </w:rPr>
            </w:pPr>
            <w:r w:rsidRPr="00E62E87">
              <w:rPr>
                <w:rFonts w:cs="Arial"/>
                <w:sz w:val="20"/>
                <w:szCs w:val="20"/>
              </w:rPr>
              <w:t xml:space="preserve">65.0 (28,79) </w:t>
            </w:r>
          </w:p>
        </w:tc>
        <w:tc>
          <w:tcPr>
            <w:tcW w:w="720" w:type="pct"/>
            <w:hideMark/>
          </w:tcPr>
          <w:p w14:paraId="19CC4DCB" w14:textId="77777777" w:rsidR="007A091D" w:rsidRPr="00E62E87" w:rsidRDefault="007A091D" w:rsidP="007A091D">
            <w:pPr>
              <w:spacing w:line="240" w:lineRule="auto"/>
              <w:rPr>
                <w:rFonts w:cs="Arial"/>
                <w:sz w:val="20"/>
                <w:szCs w:val="20"/>
              </w:rPr>
            </w:pPr>
            <w:r w:rsidRPr="00E62E87">
              <w:rPr>
                <w:rFonts w:cs="Arial"/>
                <w:sz w:val="20"/>
                <w:szCs w:val="20"/>
              </w:rPr>
              <w:t xml:space="preserve">66.0 (32,84) </w:t>
            </w:r>
          </w:p>
        </w:tc>
        <w:tc>
          <w:tcPr>
            <w:tcW w:w="742" w:type="pct"/>
            <w:hideMark/>
          </w:tcPr>
          <w:p w14:paraId="4DD1354B" w14:textId="77777777" w:rsidR="007A091D" w:rsidRPr="00E62E87" w:rsidRDefault="007A091D" w:rsidP="007A091D">
            <w:pPr>
              <w:spacing w:line="240" w:lineRule="auto"/>
              <w:rPr>
                <w:rFonts w:cs="Arial"/>
                <w:sz w:val="20"/>
                <w:szCs w:val="20"/>
              </w:rPr>
            </w:pPr>
            <w:r w:rsidRPr="00E62E87">
              <w:rPr>
                <w:rFonts w:cs="Arial"/>
                <w:sz w:val="20"/>
                <w:szCs w:val="20"/>
              </w:rPr>
              <w:t xml:space="preserve">71.0 (41,83) </w:t>
            </w:r>
          </w:p>
        </w:tc>
        <w:tc>
          <w:tcPr>
            <w:tcW w:w="665" w:type="pct"/>
            <w:hideMark/>
          </w:tcPr>
          <w:p w14:paraId="6DF66233" w14:textId="77777777" w:rsidR="007A091D" w:rsidRPr="00E62E87" w:rsidRDefault="007A091D" w:rsidP="007A091D">
            <w:pPr>
              <w:spacing w:line="240" w:lineRule="auto"/>
              <w:rPr>
                <w:rFonts w:cs="Arial"/>
                <w:sz w:val="20"/>
                <w:szCs w:val="20"/>
              </w:rPr>
            </w:pPr>
            <w:r w:rsidRPr="00E62E87">
              <w:rPr>
                <w:rFonts w:cs="Arial"/>
                <w:sz w:val="20"/>
                <w:szCs w:val="20"/>
              </w:rPr>
              <w:t xml:space="preserve">57.0 (18,83)                    </w:t>
            </w:r>
          </w:p>
        </w:tc>
        <w:tc>
          <w:tcPr>
            <w:tcW w:w="665" w:type="pct"/>
            <w:hideMark/>
          </w:tcPr>
          <w:p w14:paraId="20222435" w14:textId="77777777" w:rsidR="007A091D" w:rsidRPr="00E62E87" w:rsidRDefault="007A091D" w:rsidP="007A091D">
            <w:pPr>
              <w:spacing w:line="240" w:lineRule="auto"/>
              <w:rPr>
                <w:rFonts w:cs="Arial"/>
                <w:sz w:val="20"/>
                <w:szCs w:val="20"/>
              </w:rPr>
            </w:pPr>
            <w:r w:rsidRPr="00E62E87">
              <w:rPr>
                <w:rFonts w:cs="Arial"/>
                <w:sz w:val="20"/>
                <w:szCs w:val="20"/>
              </w:rPr>
              <w:t xml:space="preserve">67.0 (20,82)                    </w:t>
            </w:r>
          </w:p>
        </w:tc>
      </w:tr>
      <w:tr w:rsidR="007A091D" w:rsidRPr="00E62E87" w14:paraId="17CB237D" w14:textId="77777777" w:rsidTr="00B41C16">
        <w:trPr>
          <w:trHeight w:val="20"/>
        </w:trPr>
        <w:tc>
          <w:tcPr>
            <w:tcW w:w="821" w:type="pct"/>
            <w:hideMark/>
          </w:tcPr>
          <w:p w14:paraId="50314F46" w14:textId="77777777" w:rsidR="007A091D" w:rsidRPr="00E62E87" w:rsidRDefault="007A091D" w:rsidP="007A091D">
            <w:pPr>
              <w:spacing w:line="240" w:lineRule="auto"/>
              <w:rPr>
                <w:rFonts w:cs="Arial"/>
                <w:sz w:val="20"/>
                <w:szCs w:val="20"/>
              </w:rPr>
            </w:pPr>
            <w:r w:rsidRPr="00E62E87">
              <w:rPr>
                <w:rFonts w:cs="Arial"/>
                <w:sz w:val="20"/>
                <w:szCs w:val="20"/>
              </w:rPr>
              <w:t>Median (min, max) age at index therapy, years</w:t>
            </w:r>
          </w:p>
        </w:tc>
        <w:tc>
          <w:tcPr>
            <w:tcW w:w="678" w:type="pct"/>
            <w:hideMark/>
          </w:tcPr>
          <w:p w14:paraId="0EBB0F5E" w14:textId="77777777" w:rsidR="007A091D" w:rsidRPr="00E62E87" w:rsidRDefault="007A091D" w:rsidP="007A091D">
            <w:pPr>
              <w:spacing w:line="240" w:lineRule="auto"/>
              <w:rPr>
                <w:rFonts w:cs="Arial"/>
                <w:sz w:val="20"/>
                <w:szCs w:val="20"/>
              </w:rPr>
            </w:pPr>
            <w:r w:rsidRPr="00E62E87">
              <w:rPr>
                <w:rFonts w:cs="Arial"/>
                <w:sz w:val="20"/>
                <w:szCs w:val="20"/>
              </w:rPr>
              <w:t xml:space="preserve">67 (23-85) </w:t>
            </w:r>
          </w:p>
        </w:tc>
        <w:tc>
          <w:tcPr>
            <w:tcW w:w="708" w:type="pct"/>
            <w:hideMark/>
          </w:tcPr>
          <w:p w14:paraId="394941F2" w14:textId="77777777" w:rsidR="007A091D" w:rsidRPr="00E62E87" w:rsidRDefault="007A091D" w:rsidP="007A091D">
            <w:pPr>
              <w:spacing w:line="240" w:lineRule="auto"/>
              <w:rPr>
                <w:rFonts w:cs="Arial"/>
                <w:sz w:val="20"/>
                <w:szCs w:val="20"/>
              </w:rPr>
            </w:pPr>
            <w:r w:rsidRPr="00E62E87">
              <w:rPr>
                <w:rFonts w:cs="Arial"/>
                <w:sz w:val="20"/>
                <w:szCs w:val="20"/>
              </w:rPr>
              <w:t xml:space="preserve">69.0 (34,82) </w:t>
            </w:r>
          </w:p>
        </w:tc>
        <w:tc>
          <w:tcPr>
            <w:tcW w:w="720" w:type="pct"/>
            <w:hideMark/>
          </w:tcPr>
          <w:p w14:paraId="4A73AE9D" w14:textId="77777777" w:rsidR="007A091D" w:rsidRPr="00E62E87" w:rsidRDefault="007A091D" w:rsidP="007A091D">
            <w:pPr>
              <w:spacing w:line="240" w:lineRule="auto"/>
              <w:rPr>
                <w:rFonts w:cs="Arial"/>
                <w:sz w:val="20"/>
                <w:szCs w:val="20"/>
              </w:rPr>
            </w:pPr>
            <w:r w:rsidRPr="00E62E87">
              <w:rPr>
                <w:rFonts w:cs="Arial"/>
                <w:sz w:val="20"/>
                <w:szCs w:val="20"/>
              </w:rPr>
              <w:t xml:space="preserve"> 71.0 (34,85) </w:t>
            </w:r>
          </w:p>
        </w:tc>
        <w:tc>
          <w:tcPr>
            <w:tcW w:w="742" w:type="pct"/>
            <w:hideMark/>
          </w:tcPr>
          <w:p w14:paraId="52FEA4BC" w14:textId="77777777" w:rsidR="007A091D" w:rsidRPr="00E62E87" w:rsidRDefault="007A091D" w:rsidP="007A091D">
            <w:pPr>
              <w:spacing w:line="240" w:lineRule="auto"/>
              <w:rPr>
                <w:rFonts w:cs="Arial"/>
                <w:sz w:val="20"/>
                <w:szCs w:val="20"/>
              </w:rPr>
            </w:pPr>
            <w:r w:rsidRPr="00E62E87">
              <w:rPr>
                <w:rFonts w:cs="Arial"/>
                <w:sz w:val="20"/>
                <w:szCs w:val="20"/>
              </w:rPr>
              <w:t xml:space="preserve">74.0 (47,84) </w:t>
            </w:r>
          </w:p>
        </w:tc>
        <w:tc>
          <w:tcPr>
            <w:tcW w:w="665" w:type="pct"/>
            <w:hideMark/>
          </w:tcPr>
          <w:p w14:paraId="0E02A920" w14:textId="77777777" w:rsidR="007A091D" w:rsidRPr="00E62E87" w:rsidRDefault="007A091D" w:rsidP="007A091D">
            <w:pPr>
              <w:spacing w:line="240" w:lineRule="auto"/>
              <w:rPr>
                <w:rFonts w:cs="Arial"/>
                <w:sz w:val="20"/>
                <w:szCs w:val="20"/>
              </w:rPr>
            </w:pPr>
            <w:r w:rsidRPr="00E62E87">
              <w:rPr>
                <w:rFonts w:cs="Arial"/>
                <w:sz w:val="20"/>
                <w:szCs w:val="20"/>
              </w:rPr>
              <w:t xml:space="preserve">62.0 (23,85)                      </w:t>
            </w:r>
          </w:p>
        </w:tc>
        <w:tc>
          <w:tcPr>
            <w:tcW w:w="665" w:type="pct"/>
            <w:hideMark/>
          </w:tcPr>
          <w:p w14:paraId="171EE886" w14:textId="77777777" w:rsidR="007A091D" w:rsidRPr="00E62E87" w:rsidRDefault="007A091D" w:rsidP="007A091D">
            <w:pPr>
              <w:spacing w:line="240" w:lineRule="auto"/>
              <w:rPr>
                <w:rFonts w:cs="Arial"/>
                <w:sz w:val="20"/>
                <w:szCs w:val="20"/>
              </w:rPr>
            </w:pPr>
            <w:r w:rsidRPr="00E62E87">
              <w:rPr>
                <w:rFonts w:cs="Arial"/>
                <w:sz w:val="20"/>
                <w:szCs w:val="20"/>
              </w:rPr>
              <w:t xml:space="preserve">69.0 (29,84)                  </w:t>
            </w:r>
          </w:p>
        </w:tc>
      </w:tr>
      <w:tr w:rsidR="007A091D" w:rsidRPr="00E62E87" w14:paraId="413595A0" w14:textId="77777777" w:rsidTr="00B41C16">
        <w:trPr>
          <w:trHeight w:val="20"/>
        </w:trPr>
        <w:tc>
          <w:tcPr>
            <w:tcW w:w="821" w:type="pct"/>
            <w:hideMark/>
          </w:tcPr>
          <w:p w14:paraId="671D3ED6" w14:textId="77777777" w:rsidR="007A091D" w:rsidRPr="00E62E87" w:rsidRDefault="007A091D" w:rsidP="007A091D">
            <w:pPr>
              <w:spacing w:line="240" w:lineRule="auto"/>
              <w:rPr>
                <w:rFonts w:cs="Arial"/>
                <w:sz w:val="20"/>
                <w:szCs w:val="20"/>
              </w:rPr>
            </w:pPr>
            <w:r w:rsidRPr="00E62E87">
              <w:rPr>
                <w:rFonts w:cs="Arial"/>
                <w:sz w:val="20"/>
                <w:szCs w:val="20"/>
              </w:rPr>
              <w:t>Male</w:t>
            </w:r>
          </w:p>
        </w:tc>
        <w:tc>
          <w:tcPr>
            <w:tcW w:w="678" w:type="pct"/>
            <w:hideMark/>
          </w:tcPr>
          <w:p w14:paraId="68007C12" w14:textId="77777777" w:rsidR="007A091D" w:rsidRPr="00E62E87" w:rsidRDefault="007A091D" w:rsidP="007A091D">
            <w:pPr>
              <w:spacing w:line="240" w:lineRule="auto"/>
              <w:rPr>
                <w:rFonts w:cs="Arial"/>
                <w:sz w:val="20"/>
                <w:szCs w:val="20"/>
              </w:rPr>
            </w:pPr>
            <w:r w:rsidRPr="00E62E87">
              <w:rPr>
                <w:rFonts w:cs="Arial"/>
                <w:sz w:val="20"/>
                <w:szCs w:val="20"/>
              </w:rPr>
              <w:t xml:space="preserve">65%    </w:t>
            </w:r>
          </w:p>
        </w:tc>
        <w:tc>
          <w:tcPr>
            <w:tcW w:w="708" w:type="pct"/>
            <w:hideMark/>
          </w:tcPr>
          <w:p w14:paraId="75A4A0B1" w14:textId="77777777" w:rsidR="007A091D" w:rsidRPr="00E62E87" w:rsidRDefault="007A091D" w:rsidP="007A091D">
            <w:pPr>
              <w:spacing w:line="240" w:lineRule="auto"/>
              <w:rPr>
                <w:rFonts w:cs="Arial"/>
                <w:sz w:val="20"/>
                <w:szCs w:val="20"/>
              </w:rPr>
            </w:pPr>
            <w:r w:rsidRPr="00E62E87">
              <w:rPr>
                <w:rFonts w:cs="Arial"/>
                <w:sz w:val="20"/>
                <w:szCs w:val="20"/>
              </w:rPr>
              <w:t>63%</w:t>
            </w:r>
          </w:p>
        </w:tc>
        <w:tc>
          <w:tcPr>
            <w:tcW w:w="720" w:type="pct"/>
            <w:hideMark/>
          </w:tcPr>
          <w:p w14:paraId="47B5A48E" w14:textId="77777777" w:rsidR="007A091D" w:rsidRPr="00E62E87" w:rsidRDefault="007A091D" w:rsidP="007A091D">
            <w:pPr>
              <w:spacing w:line="240" w:lineRule="auto"/>
              <w:rPr>
                <w:rFonts w:cs="Arial"/>
                <w:sz w:val="20"/>
                <w:szCs w:val="20"/>
              </w:rPr>
            </w:pPr>
            <w:r w:rsidRPr="00E62E87">
              <w:rPr>
                <w:rFonts w:cs="Arial"/>
                <w:sz w:val="20"/>
                <w:szCs w:val="20"/>
              </w:rPr>
              <w:t>65%</w:t>
            </w:r>
          </w:p>
        </w:tc>
        <w:tc>
          <w:tcPr>
            <w:tcW w:w="742" w:type="pct"/>
            <w:hideMark/>
          </w:tcPr>
          <w:p w14:paraId="1E76B7FA" w14:textId="77777777" w:rsidR="007A091D" w:rsidRPr="00E62E87" w:rsidRDefault="007A091D" w:rsidP="007A091D">
            <w:pPr>
              <w:spacing w:line="240" w:lineRule="auto"/>
              <w:rPr>
                <w:rFonts w:cs="Arial"/>
                <w:sz w:val="20"/>
                <w:szCs w:val="20"/>
              </w:rPr>
            </w:pPr>
            <w:r w:rsidRPr="00E62E87">
              <w:rPr>
                <w:rFonts w:cs="Arial"/>
                <w:sz w:val="20"/>
                <w:szCs w:val="20"/>
              </w:rPr>
              <w:t>82%</w:t>
            </w:r>
          </w:p>
        </w:tc>
        <w:tc>
          <w:tcPr>
            <w:tcW w:w="665" w:type="pct"/>
            <w:hideMark/>
          </w:tcPr>
          <w:p w14:paraId="4B7CA3DF" w14:textId="77777777" w:rsidR="007A091D" w:rsidRPr="00E62E87" w:rsidRDefault="007A091D" w:rsidP="007A091D">
            <w:pPr>
              <w:spacing w:line="240" w:lineRule="auto"/>
              <w:rPr>
                <w:rFonts w:cs="Arial"/>
                <w:sz w:val="20"/>
                <w:szCs w:val="20"/>
              </w:rPr>
            </w:pPr>
            <w:r w:rsidRPr="00E62E87">
              <w:rPr>
                <w:rFonts w:cs="Arial"/>
                <w:sz w:val="20"/>
                <w:szCs w:val="20"/>
              </w:rPr>
              <w:t>61%</w:t>
            </w:r>
          </w:p>
        </w:tc>
        <w:tc>
          <w:tcPr>
            <w:tcW w:w="665" w:type="pct"/>
            <w:hideMark/>
          </w:tcPr>
          <w:p w14:paraId="07A788BE" w14:textId="77777777" w:rsidR="007A091D" w:rsidRPr="00E62E87" w:rsidRDefault="007A091D" w:rsidP="007A091D">
            <w:pPr>
              <w:spacing w:line="240" w:lineRule="auto"/>
              <w:rPr>
                <w:rFonts w:cs="Arial"/>
                <w:sz w:val="20"/>
                <w:szCs w:val="20"/>
              </w:rPr>
            </w:pPr>
            <w:r w:rsidRPr="00E62E87">
              <w:rPr>
                <w:rFonts w:cs="Arial"/>
                <w:sz w:val="20"/>
                <w:szCs w:val="20"/>
              </w:rPr>
              <w:t>66%</w:t>
            </w:r>
          </w:p>
        </w:tc>
      </w:tr>
      <w:tr w:rsidR="007A091D" w:rsidRPr="00E62E87" w14:paraId="33FA9FF8" w14:textId="77777777" w:rsidTr="00B41C16">
        <w:trPr>
          <w:trHeight w:val="20"/>
        </w:trPr>
        <w:tc>
          <w:tcPr>
            <w:tcW w:w="821" w:type="pct"/>
            <w:hideMark/>
          </w:tcPr>
          <w:p w14:paraId="3FB9E23B" w14:textId="77777777" w:rsidR="007A091D" w:rsidRPr="00E62E87" w:rsidRDefault="007A091D" w:rsidP="007A091D">
            <w:pPr>
              <w:spacing w:line="240" w:lineRule="auto"/>
              <w:rPr>
                <w:rFonts w:cs="Arial"/>
                <w:sz w:val="20"/>
                <w:szCs w:val="20"/>
              </w:rPr>
            </w:pPr>
            <w:r w:rsidRPr="00E62E87">
              <w:rPr>
                <w:rFonts w:cs="Arial"/>
                <w:sz w:val="20"/>
                <w:szCs w:val="20"/>
              </w:rPr>
              <w:t>White</w:t>
            </w:r>
          </w:p>
        </w:tc>
        <w:tc>
          <w:tcPr>
            <w:tcW w:w="678" w:type="pct"/>
            <w:hideMark/>
          </w:tcPr>
          <w:p w14:paraId="5928D9BC" w14:textId="77777777" w:rsidR="007A091D" w:rsidRPr="00E62E87" w:rsidRDefault="007A091D" w:rsidP="007A091D">
            <w:pPr>
              <w:spacing w:line="240" w:lineRule="auto"/>
              <w:rPr>
                <w:rFonts w:cs="Arial"/>
                <w:sz w:val="20"/>
                <w:szCs w:val="20"/>
              </w:rPr>
            </w:pPr>
            <w:r w:rsidRPr="00E62E87">
              <w:rPr>
                <w:rFonts w:cs="Arial"/>
                <w:sz w:val="20"/>
                <w:szCs w:val="20"/>
              </w:rPr>
              <w:t xml:space="preserve">88% </w:t>
            </w:r>
          </w:p>
        </w:tc>
        <w:tc>
          <w:tcPr>
            <w:tcW w:w="708" w:type="pct"/>
            <w:hideMark/>
          </w:tcPr>
          <w:p w14:paraId="0F35D525" w14:textId="77777777" w:rsidR="007A091D" w:rsidRPr="00E62E87" w:rsidRDefault="007A091D" w:rsidP="007A091D">
            <w:pPr>
              <w:spacing w:line="240" w:lineRule="auto"/>
              <w:rPr>
                <w:rFonts w:cs="Arial"/>
                <w:sz w:val="20"/>
                <w:szCs w:val="20"/>
              </w:rPr>
            </w:pPr>
            <w:r w:rsidRPr="00E62E87">
              <w:rPr>
                <w:rFonts w:cs="Arial"/>
                <w:sz w:val="20"/>
                <w:szCs w:val="20"/>
              </w:rPr>
              <w:t>89%</w:t>
            </w:r>
          </w:p>
        </w:tc>
        <w:tc>
          <w:tcPr>
            <w:tcW w:w="720" w:type="pct"/>
            <w:hideMark/>
          </w:tcPr>
          <w:p w14:paraId="1F3EA9BC" w14:textId="77777777" w:rsidR="007A091D" w:rsidRPr="00E62E87" w:rsidRDefault="007A091D" w:rsidP="007A091D">
            <w:pPr>
              <w:spacing w:line="240" w:lineRule="auto"/>
              <w:rPr>
                <w:rFonts w:cs="Arial"/>
                <w:sz w:val="20"/>
                <w:szCs w:val="20"/>
              </w:rPr>
            </w:pPr>
            <w:r w:rsidRPr="00E62E87">
              <w:rPr>
                <w:rFonts w:cs="Arial"/>
                <w:sz w:val="20"/>
                <w:szCs w:val="20"/>
              </w:rPr>
              <w:t>91%</w:t>
            </w:r>
          </w:p>
        </w:tc>
        <w:tc>
          <w:tcPr>
            <w:tcW w:w="742" w:type="pct"/>
            <w:hideMark/>
          </w:tcPr>
          <w:p w14:paraId="42025B1A" w14:textId="77777777" w:rsidR="007A091D" w:rsidRPr="00E62E87" w:rsidRDefault="007A091D" w:rsidP="007A091D">
            <w:pPr>
              <w:spacing w:line="240" w:lineRule="auto"/>
              <w:rPr>
                <w:rFonts w:cs="Arial"/>
                <w:sz w:val="20"/>
                <w:szCs w:val="20"/>
              </w:rPr>
            </w:pPr>
            <w:r w:rsidRPr="00E62E87">
              <w:rPr>
                <w:rFonts w:cs="Arial"/>
                <w:sz w:val="20"/>
                <w:szCs w:val="20"/>
              </w:rPr>
              <w:t>82%</w:t>
            </w:r>
          </w:p>
        </w:tc>
        <w:tc>
          <w:tcPr>
            <w:tcW w:w="665" w:type="pct"/>
            <w:hideMark/>
          </w:tcPr>
          <w:p w14:paraId="6F6DCB0F" w14:textId="77777777" w:rsidR="007A091D" w:rsidRPr="00E62E87" w:rsidRDefault="007A091D" w:rsidP="007A091D">
            <w:pPr>
              <w:spacing w:line="240" w:lineRule="auto"/>
              <w:rPr>
                <w:rFonts w:cs="Arial"/>
                <w:sz w:val="20"/>
                <w:szCs w:val="20"/>
              </w:rPr>
            </w:pPr>
            <w:r w:rsidRPr="00E62E87">
              <w:rPr>
                <w:rFonts w:cs="Arial"/>
                <w:sz w:val="20"/>
                <w:szCs w:val="20"/>
              </w:rPr>
              <w:t>87%</w:t>
            </w:r>
          </w:p>
        </w:tc>
        <w:tc>
          <w:tcPr>
            <w:tcW w:w="665" w:type="pct"/>
            <w:hideMark/>
          </w:tcPr>
          <w:p w14:paraId="6213FDC0" w14:textId="77777777" w:rsidR="007A091D" w:rsidRPr="00E62E87" w:rsidRDefault="007A091D" w:rsidP="007A091D">
            <w:pPr>
              <w:spacing w:line="240" w:lineRule="auto"/>
              <w:rPr>
                <w:rFonts w:cs="Arial"/>
                <w:sz w:val="20"/>
                <w:szCs w:val="20"/>
              </w:rPr>
            </w:pPr>
            <w:r w:rsidRPr="00E62E87">
              <w:rPr>
                <w:rFonts w:cs="Arial"/>
                <w:sz w:val="20"/>
                <w:szCs w:val="20"/>
              </w:rPr>
              <w:t>89%</w:t>
            </w:r>
          </w:p>
        </w:tc>
      </w:tr>
      <w:tr w:rsidR="007A091D" w:rsidRPr="00E62E87" w14:paraId="551DF818" w14:textId="77777777" w:rsidTr="00B41C16">
        <w:trPr>
          <w:trHeight w:val="20"/>
        </w:trPr>
        <w:tc>
          <w:tcPr>
            <w:tcW w:w="821" w:type="pct"/>
            <w:hideMark/>
          </w:tcPr>
          <w:p w14:paraId="30D7B22E" w14:textId="77777777" w:rsidR="007A091D" w:rsidRPr="00E62E87" w:rsidRDefault="007A091D" w:rsidP="007A091D">
            <w:pPr>
              <w:spacing w:line="240" w:lineRule="auto"/>
              <w:rPr>
                <w:rFonts w:cs="Arial"/>
                <w:sz w:val="20"/>
                <w:szCs w:val="20"/>
              </w:rPr>
            </w:pPr>
            <w:r w:rsidRPr="00E62E87">
              <w:rPr>
                <w:rFonts w:cs="Arial"/>
                <w:sz w:val="20"/>
                <w:szCs w:val="20"/>
              </w:rPr>
              <w:t>ECOG 0/1</w:t>
            </w:r>
          </w:p>
        </w:tc>
        <w:tc>
          <w:tcPr>
            <w:tcW w:w="678" w:type="pct"/>
            <w:hideMark/>
          </w:tcPr>
          <w:p w14:paraId="5DDB5451" w14:textId="77777777" w:rsidR="007A091D" w:rsidRPr="00E62E87" w:rsidRDefault="007A091D" w:rsidP="007A091D">
            <w:pPr>
              <w:spacing w:line="240" w:lineRule="auto"/>
              <w:rPr>
                <w:rFonts w:cs="Arial"/>
                <w:sz w:val="20"/>
                <w:szCs w:val="20"/>
              </w:rPr>
            </w:pPr>
            <w:r w:rsidRPr="00E62E87">
              <w:rPr>
                <w:rFonts w:cs="Arial"/>
                <w:sz w:val="20"/>
                <w:szCs w:val="20"/>
              </w:rPr>
              <w:t>62%</w:t>
            </w:r>
          </w:p>
        </w:tc>
        <w:tc>
          <w:tcPr>
            <w:tcW w:w="708" w:type="pct"/>
            <w:hideMark/>
          </w:tcPr>
          <w:p w14:paraId="423E9DD0" w14:textId="77777777" w:rsidR="007A091D" w:rsidRPr="00E62E87" w:rsidRDefault="007A091D" w:rsidP="007A091D">
            <w:pPr>
              <w:spacing w:line="240" w:lineRule="auto"/>
              <w:rPr>
                <w:rFonts w:cs="Arial"/>
                <w:sz w:val="20"/>
                <w:szCs w:val="20"/>
              </w:rPr>
            </w:pPr>
            <w:r w:rsidRPr="00E62E87">
              <w:rPr>
                <w:rFonts w:cs="Arial"/>
                <w:sz w:val="20"/>
                <w:szCs w:val="20"/>
              </w:rPr>
              <w:t>67%</w:t>
            </w:r>
          </w:p>
        </w:tc>
        <w:tc>
          <w:tcPr>
            <w:tcW w:w="720" w:type="pct"/>
            <w:hideMark/>
          </w:tcPr>
          <w:p w14:paraId="77390E19" w14:textId="77777777" w:rsidR="007A091D" w:rsidRPr="00E62E87" w:rsidRDefault="007A091D" w:rsidP="007A091D">
            <w:pPr>
              <w:spacing w:line="240" w:lineRule="auto"/>
              <w:rPr>
                <w:rFonts w:cs="Arial"/>
                <w:sz w:val="20"/>
                <w:szCs w:val="20"/>
              </w:rPr>
            </w:pPr>
            <w:r w:rsidRPr="00E62E87">
              <w:rPr>
                <w:rFonts w:cs="Arial"/>
                <w:sz w:val="20"/>
                <w:szCs w:val="20"/>
              </w:rPr>
              <w:t>67%</w:t>
            </w:r>
          </w:p>
        </w:tc>
        <w:tc>
          <w:tcPr>
            <w:tcW w:w="742" w:type="pct"/>
            <w:hideMark/>
          </w:tcPr>
          <w:p w14:paraId="62DED79B" w14:textId="77777777" w:rsidR="007A091D" w:rsidRPr="00E62E87" w:rsidRDefault="007A091D" w:rsidP="007A091D">
            <w:pPr>
              <w:spacing w:line="240" w:lineRule="auto"/>
              <w:rPr>
                <w:rFonts w:cs="Arial"/>
                <w:sz w:val="20"/>
                <w:szCs w:val="20"/>
              </w:rPr>
            </w:pPr>
            <w:r w:rsidRPr="00E62E87">
              <w:rPr>
                <w:rFonts w:cs="Arial"/>
                <w:sz w:val="20"/>
                <w:szCs w:val="20"/>
              </w:rPr>
              <w:t>45%</w:t>
            </w:r>
          </w:p>
        </w:tc>
        <w:tc>
          <w:tcPr>
            <w:tcW w:w="665" w:type="pct"/>
            <w:hideMark/>
          </w:tcPr>
          <w:p w14:paraId="1A023F56" w14:textId="77777777" w:rsidR="007A091D" w:rsidRPr="00E62E87" w:rsidRDefault="007A091D" w:rsidP="007A091D">
            <w:pPr>
              <w:spacing w:line="240" w:lineRule="auto"/>
              <w:rPr>
                <w:rFonts w:cs="Arial"/>
                <w:sz w:val="20"/>
                <w:szCs w:val="20"/>
              </w:rPr>
            </w:pPr>
            <w:r w:rsidRPr="00E62E87">
              <w:rPr>
                <w:rFonts w:cs="Arial"/>
                <w:sz w:val="20"/>
                <w:szCs w:val="20"/>
              </w:rPr>
              <w:t>63%</w:t>
            </w:r>
          </w:p>
        </w:tc>
        <w:tc>
          <w:tcPr>
            <w:tcW w:w="665" w:type="pct"/>
            <w:hideMark/>
          </w:tcPr>
          <w:p w14:paraId="63447A8A" w14:textId="77777777" w:rsidR="007A091D" w:rsidRPr="00E62E87" w:rsidRDefault="007A091D" w:rsidP="007A091D">
            <w:pPr>
              <w:spacing w:line="240" w:lineRule="auto"/>
              <w:rPr>
                <w:rFonts w:cs="Arial"/>
                <w:sz w:val="20"/>
                <w:szCs w:val="20"/>
              </w:rPr>
            </w:pPr>
            <w:r w:rsidRPr="00E62E87">
              <w:rPr>
                <w:rFonts w:cs="Arial"/>
                <w:sz w:val="20"/>
                <w:szCs w:val="20"/>
              </w:rPr>
              <w:t>61%</w:t>
            </w:r>
          </w:p>
        </w:tc>
      </w:tr>
      <w:tr w:rsidR="007A091D" w:rsidRPr="00E62E87" w14:paraId="1E930FA8" w14:textId="77777777" w:rsidTr="00B41C16">
        <w:trPr>
          <w:trHeight w:val="20"/>
        </w:trPr>
        <w:tc>
          <w:tcPr>
            <w:tcW w:w="821" w:type="pct"/>
            <w:hideMark/>
          </w:tcPr>
          <w:p w14:paraId="79C38323" w14:textId="77777777" w:rsidR="007A091D" w:rsidRPr="00E62E87" w:rsidRDefault="007A091D" w:rsidP="007A091D">
            <w:pPr>
              <w:spacing w:line="240" w:lineRule="auto"/>
              <w:rPr>
                <w:rFonts w:cs="Arial"/>
                <w:sz w:val="20"/>
                <w:szCs w:val="20"/>
              </w:rPr>
            </w:pPr>
            <w:r w:rsidRPr="00E62E87">
              <w:rPr>
                <w:rFonts w:cs="Arial"/>
                <w:sz w:val="20"/>
                <w:szCs w:val="20"/>
              </w:rPr>
              <w:t>Stage IV at initial diagnosis</w:t>
            </w:r>
          </w:p>
        </w:tc>
        <w:tc>
          <w:tcPr>
            <w:tcW w:w="678" w:type="pct"/>
            <w:hideMark/>
          </w:tcPr>
          <w:p w14:paraId="5C8ACE6C" w14:textId="77777777" w:rsidR="007A091D" w:rsidRPr="00E62E87" w:rsidRDefault="007A091D" w:rsidP="007A091D">
            <w:pPr>
              <w:spacing w:line="240" w:lineRule="auto"/>
              <w:rPr>
                <w:rFonts w:cs="Arial"/>
                <w:sz w:val="20"/>
                <w:szCs w:val="20"/>
              </w:rPr>
            </w:pPr>
            <w:r w:rsidRPr="00E62E87">
              <w:rPr>
                <w:rFonts w:cs="Arial"/>
                <w:sz w:val="20"/>
                <w:szCs w:val="20"/>
              </w:rPr>
              <w:t>28%</w:t>
            </w:r>
          </w:p>
        </w:tc>
        <w:tc>
          <w:tcPr>
            <w:tcW w:w="708" w:type="pct"/>
            <w:hideMark/>
          </w:tcPr>
          <w:p w14:paraId="541DF70D" w14:textId="77777777" w:rsidR="007A091D" w:rsidRPr="00E62E87" w:rsidRDefault="007A091D" w:rsidP="007A091D">
            <w:pPr>
              <w:spacing w:line="240" w:lineRule="auto"/>
              <w:rPr>
                <w:rFonts w:cs="Arial"/>
                <w:sz w:val="20"/>
                <w:szCs w:val="20"/>
              </w:rPr>
            </w:pPr>
            <w:r w:rsidRPr="00E62E87">
              <w:rPr>
                <w:rFonts w:cs="Arial"/>
                <w:sz w:val="20"/>
                <w:szCs w:val="20"/>
              </w:rPr>
              <w:t>26%</w:t>
            </w:r>
          </w:p>
        </w:tc>
        <w:tc>
          <w:tcPr>
            <w:tcW w:w="720" w:type="pct"/>
            <w:hideMark/>
          </w:tcPr>
          <w:p w14:paraId="1C9B8431" w14:textId="77777777" w:rsidR="007A091D" w:rsidRPr="00E62E87" w:rsidRDefault="007A091D" w:rsidP="007A091D">
            <w:pPr>
              <w:spacing w:line="240" w:lineRule="auto"/>
              <w:rPr>
                <w:rFonts w:cs="Arial"/>
                <w:sz w:val="20"/>
                <w:szCs w:val="20"/>
              </w:rPr>
            </w:pPr>
            <w:r w:rsidRPr="00E62E87">
              <w:rPr>
                <w:rFonts w:cs="Arial"/>
                <w:sz w:val="20"/>
                <w:szCs w:val="20"/>
              </w:rPr>
              <w:t>23%</w:t>
            </w:r>
          </w:p>
        </w:tc>
        <w:tc>
          <w:tcPr>
            <w:tcW w:w="742" w:type="pct"/>
            <w:hideMark/>
          </w:tcPr>
          <w:p w14:paraId="152B16CF" w14:textId="77777777" w:rsidR="007A091D" w:rsidRPr="00E62E87" w:rsidRDefault="007A091D" w:rsidP="007A091D">
            <w:pPr>
              <w:spacing w:line="240" w:lineRule="auto"/>
              <w:rPr>
                <w:rFonts w:cs="Arial"/>
                <w:sz w:val="20"/>
                <w:szCs w:val="20"/>
              </w:rPr>
            </w:pPr>
            <w:r w:rsidRPr="00E62E87">
              <w:rPr>
                <w:rFonts w:cs="Arial"/>
                <w:sz w:val="20"/>
                <w:szCs w:val="20"/>
              </w:rPr>
              <w:t>24%</w:t>
            </w:r>
          </w:p>
        </w:tc>
        <w:tc>
          <w:tcPr>
            <w:tcW w:w="665" w:type="pct"/>
            <w:hideMark/>
          </w:tcPr>
          <w:p w14:paraId="3116AFDC" w14:textId="77777777" w:rsidR="007A091D" w:rsidRPr="00E62E87" w:rsidRDefault="007A091D" w:rsidP="007A091D">
            <w:pPr>
              <w:spacing w:line="240" w:lineRule="auto"/>
              <w:rPr>
                <w:rFonts w:cs="Arial"/>
                <w:sz w:val="20"/>
                <w:szCs w:val="20"/>
              </w:rPr>
            </w:pPr>
            <w:r w:rsidRPr="00E62E87">
              <w:rPr>
                <w:rFonts w:cs="Arial"/>
                <w:sz w:val="20"/>
                <w:szCs w:val="20"/>
              </w:rPr>
              <w:t>27%</w:t>
            </w:r>
          </w:p>
        </w:tc>
        <w:tc>
          <w:tcPr>
            <w:tcW w:w="665" w:type="pct"/>
            <w:hideMark/>
          </w:tcPr>
          <w:p w14:paraId="4E65484A" w14:textId="77777777" w:rsidR="007A091D" w:rsidRPr="00E62E87" w:rsidRDefault="007A091D" w:rsidP="007A091D">
            <w:pPr>
              <w:spacing w:line="240" w:lineRule="auto"/>
              <w:rPr>
                <w:rFonts w:cs="Arial"/>
                <w:sz w:val="20"/>
                <w:szCs w:val="20"/>
              </w:rPr>
            </w:pPr>
            <w:r w:rsidRPr="00E62E87">
              <w:rPr>
                <w:rFonts w:cs="Arial"/>
                <w:sz w:val="20"/>
                <w:szCs w:val="20"/>
              </w:rPr>
              <w:t>41%</w:t>
            </w:r>
          </w:p>
        </w:tc>
      </w:tr>
      <w:tr w:rsidR="007A091D" w:rsidRPr="00E62E87" w14:paraId="2F183520" w14:textId="77777777" w:rsidTr="00B41C16">
        <w:trPr>
          <w:trHeight w:val="20"/>
        </w:trPr>
        <w:tc>
          <w:tcPr>
            <w:tcW w:w="821" w:type="pct"/>
            <w:hideMark/>
          </w:tcPr>
          <w:p w14:paraId="0ACC7288" w14:textId="77777777" w:rsidR="007A091D" w:rsidRPr="00E62E87" w:rsidRDefault="007A091D" w:rsidP="007A091D">
            <w:pPr>
              <w:spacing w:line="240" w:lineRule="auto"/>
              <w:rPr>
                <w:rFonts w:cs="Arial"/>
                <w:sz w:val="20"/>
                <w:szCs w:val="20"/>
              </w:rPr>
            </w:pPr>
            <w:r w:rsidRPr="00E62E87">
              <w:rPr>
                <w:rFonts w:cs="Arial"/>
                <w:sz w:val="20"/>
                <w:szCs w:val="20"/>
              </w:rPr>
              <w:t>Brain Mets</w:t>
            </w:r>
          </w:p>
        </w:tc>
        <w:tc>
          <w:tcPr>
            <w:tcW w:w="678" w:type="pct"/>
            <w:hideMark/>
          </w:tcPr>
          <w:p w14:paraId="60527E5B" w14:textId="77777777" w:rsidR="007A091D" w:rsidRPr="00E62E87" w:rsidRDefault="007A091D" w:rsidP="007A091D">
            <w:pPr>
              <w:spacing w:line="240" w:lineRule="auto"/>
              <w:rPr>
                <w:rFonts w:cs="Arial"/>
                <w:sz w:val="20"/>
                <w:szCs w:val="20"/>
              </w:rPr>
            </w:pPr>
            <w:r w:rsidRPr="00E62E87">
              <w:rPr>
                <w:rFonts w:cs="Arial"/>
                <w:sz w:val="20"/>
                <w:szCs w:val="20"/>
              </w:rPr>
              <w:t>28%</w:t>
            </w:r>
          </w:p>
        </w:tc>
        <w:tc>
          <w:tcPr>
            <w:tcW w:w="708" w:type="pct"/>
            <w:hideMark/>
          </w:tcPr>
          <w:p w14:paraId="57C656AD" w14:textId="77777777" w:rsidR="007A091D" w:rsidRPr="00E62E87" w:rsidRDefault="007A091D" w:rsidP="007A091D">
            <w:pPr>
              <w:spacing w:line="240" w:lineRule="auto"/>
              <w:rPr>
                <w:rFonts w:cs="Arial"/>
                <w:sz w:val="20"/>
                <w:szCs w:val="20"/>
              </w:rPr>
            </w:pPr>
            <w:r w:rsidRPr="00E62E87">
              <w:rPr>
                <w:rFonts w:cs="Arial"/>
                <w:sz w:val="20"/>
                <w:szCs w:val="20"/>
              </w:rPr>
              <w:t>26%</w:t>
            </w:r>
          </w:p>
        </w:tc>
        <w:tc>
          <w:tcPr>
            <w:tcW w:w="720" w:type="pct"/>
            <w:hideMark/>
          </w:tcPr>
          <w:p w14:paraId="6EF82115" w14:textId="77777777" w:rsidR="007A091D" w:rsidRPr="00E62E87" w:rsidRDefault="007A091D" w:rsidP="007A091D">
            <w:pPr>
              <w:spacing w:line="240" w:lineRule="auto"/>
              <w:rPr>
                <w:rFonts w:cs="Arial"/>
                <w:sz w:val="20"/>
                <w:szCs w:val="20"/>
              </w:rPr>
            </w:pPr>
            <w:r w:rsidRPr="00E62E87">
              <w:rPr>
                <w:rFonts w:cs="Arial"/>
                <w:sz w:val="20"/>
                <w:szCs w:val="20"/>
              </w:rPr>
              <w:t>27%</w:t>
            </w:r>
          </w:p>
        </w:tc>
        <w:tc>
          <w:tcPr>
            <w:tcW w:w="742" w:type="pct"/>
            <w:hideMark/>
          </w:tcPr>
          <w:p w14:paraId="401A1498" w14:textId="77777777" w:rsidR="007A091D" w:rsidRPr="00E62E87" w:rsidRDefault="007A091D" w:rsidP="007A091D">
            <w:pPr>
              <w:spacing w:line="240" w:lineRule="auto"/>
              <w:rPr>
                <w:rFonts w:cs="Arial"/>
                <w:sz w:val="20"/>
                <w:szCs w:val="20"/>
              </w:rPr>
            </w:pPr>
            <w:r w:rsidRPr="00E62E87">
              <w:rPr>
                <w:rFonts w:cs="Arial"/>
                <w:sz w:val="20"/>
                <w:szCs w:val="20"/>
              </w:rPr>
              <w:t>27%</w:t>
            </w:r>
          </w:p>
        </w:tc>
        <w:tc>
          <w:tcPr>
            <w:tcW w:w="665" w:type="pct"/>
            <w:hideMark/>
          </w:tcPr>
          <w:p w14:paraId="4394EFB3" w14:textId="77777777" w:rsidR="007A091D" w:rsidRPr="00E62E87" w:rsidRDefault="007A091D" w:rsidP="007A091D">
            <w:pPr>
              <w:spacing w:line="240" w:lineRule="auto"/>
              <w:rPr>
                <w:rFonts w:cs="Arial"/>
                <w:sz w:val="20"/>
                <w:szCs w:val="20"/>
              </w:rPr>
            </w:pPr>
            <w:r w:rsidRPr="00E62E87">
              <w:rPr>
                <w:rFonts w:cs="Arial"/>
                <w:sz w:val="20"/>
                <w:szCs w:val="20"/>
              </w:rPr>
              <w:t>26%</w:t>
            </w:r>
          </w:p>
        </w:tc>
        <w:tc>
          <w:tcPr>
            <w:tcW w:w="665" w:type="pct"/>
            <w:hideMark/>
          </w:tcPr>
          <w:p w14:paraId="43BC6FC2" w14:textId="77777777" w:rsidR="007A091D" w:rsidRPr="00E62E87" w:rsidRDefault="007A091D" w:rsidP="007A091D">
            <w:pPr>
              <w:spacing w:line="240" w:lineRule="auto"/>
              <w:rPr>
                <w:rFonts w:cs="Arial"/>
                <w:sz w:val="20"/>
                <w:szCs w:val="20"/>
              </w:rPr>
            </w:pPr>
            <w:r w:rsidRPr="00E62E87">
              <w:rPr>
                <w:rFonts w:cs="Arial"/>
                <w:sz w:val="20"/>
                <w:szCs w:val="20"/>
              </w:rPr>
              <w:t>34%</w:t>
            </w:r>
          </w:p>
        </w:tc>
      </w:tr>
      <w:tr w:rsidR="007A091D" w:rsidRPr="00E62E87" w14:paraId="541893F4" w14:textId="77777777" w:rsidTr="00B41C16">
        <w:trPr>
          <w:trHeight w:val="20"/>
        </w:trPr>
        <w:tc>
          <w:tcPr>
            <w:tcW w:w="821" w:type="pct"/>
            <w:hideMark/>
          </w:tcPr>
          <w:p w14:paraId="4EBAE9AF" w14:textId="77777777" w:rsidR="007A091D" w:rsidRPr="00E62E87" w:rsidRDefault="007A091D" w:rsidP="007A091D">
            <w:pPr>
              <w:spacing w:line="240" w:lineRule="auto"/>
              <w:rPr>
                <w:rFonts w:cs="Arial"/>
                <w:sz w:val="20"/>
                <w:szCs w:val="20"/>
              </w:rPr>
            </w:pPr>
            <w:r w:rsidRPr="00E62E87">
              <w:rPr>
                <w:rFonts w:cs="Arial"/>
                <w:sz w:val="20"/>
                <w:szCs w:val="20"/>
              </w:rPr>
              <w:t>LDH elevated</w:t>
            </w:r>
          </w:p>
        </w:tc>
        <w:tc>
          <w:tcPr>
            <w:tcW w:w="678" w:type="pct"/>
            <w:hideMark/>
          </w:tcPr>
          <w:p w14:paraId="73A3CF57" w14:textId="77777777" w:rsidR="007A091D" w:rsidRPr="00E62E87" w:rsidRDefault="007A091D" w:rsidP="007A091D">
            <w:pPr>
              <w:spacing w:line="240" w:lineRule="auto"/>
              <w:rPr>
                <w:rFonts w:cs="Arial"/>
                <w:sz w:val="20"/>
                <w:szCs w:val="20"/>
              </w:rPr>
            </w:pPr>
            <w:r w:rsidRPr="00E62E87">
              <w:rPr>
                <w:rFonts w:cs="Arial"/>
                <w:sz w:val="20"/>
                <w:szCs w:val="20"/>
              </w:rPr>
              <w:t>33%</w:t>
            </w:r>
          </w:p>
        </w:tc>
        <w:tc>
          <w:tcPr>
            <w:tcW w:w="708" w:type="pct"/>
            <w:hideMark/>
          </w:tcPr>
          <w:p w14:paraId="6E56249A" w14:textId="77777777" w:rsidR="007A091D" w:rsidRPr="00E62E87" w:rsidRDefault="007A091D" w:rsidP="007A091D">
            <w:pPr>
              <w:spacing w:line="240" w:lineRule="auto"/>
              <w:rPr>
                <w:rFonts w:cs="Arial"/>
                <w:sz w:val="20"/>
                <w:szCs w:val="20"/>
              </w:rPr>
            </w:pPr>
            <w:r w:rsidRPr="00E62E87">
              <w:rPr>
                <w:rFonts w:cs="Arial"/>
                <w:sz w:val="20"/>
                <w:szCs w:val="20"/>
              </w:rPr>
              <w:t>33%</w:t>
            </w:r>
          </w:p>
        </w:tc>
        <w:tc>
          <w:tcPr>
            <w:tcW w:w="720" w:type="pct"/>
            <w:hideMark/>
          </w:tcPr>
          <w:p w14:paraId="79C72CA4" w14:textId="77777777" w:rsidR="007A091D" w:rsidRPr="00E62E87" w:rsidRDefault="007A091D" w:rsidP="007A091D">
            <w:pPr>
              <w:spacing w:line="240" w:lineRule="auto"/>
              <w:rPr>
                <w:rFonts w:cs="Arial"/>
                <w:sz w:val="20"/>
                <w:szCs w:val="20"/>
              </w:rPr>
            </w:pPr>
            <w:r w:rsidRPr="00E62E87">
              <w:rPr>
                <w:rFonts w:cs="Arial"/>
                <w:sz w:val="20"/>
                <w:szCs w:val="20"/>
              </w:rPr>
              <w:t>27%</w:t>
            </w:r>
          </w:p>
        </w:tc>
        <w:tc>
          <w:tcPr>
            <w:tcW w:w="742" w:type="pct"/>
            <w:hideMark/>
          </w:tcPr>
          <w:p w14:paraId="690883CA" w14:textId="77777777" w:rsidR="007A091D" w:rsidRPr="00E62E87" w:rsidRDefault="007A091D" w:rsidP="007A091D">
            <w:pPr>
              <w:spacing w:line="240" w:lineRule="auto"/>
              <w:rPr>
                <w:rFonts w:cs="Arial"/>
                <w:sz w:val="20"/>
                <w:szCs w:val="20"/>
              </w:rPr>
            </w:pPr>
            <w:r w:rsidRPr="00E62E87">
              <w:rPr>
                <w:rFonts w:cs="Arial"/>
                <w:sz w:val="20"/>
                <w:szCs w:val="20"/>
              </w:rPr>
              <w:t>24%</w:t>
            </w:r>
          </w:p>
        </w:tc>
        <w:tc>
          <w:tcPr>
            <w:tcW w:w="665" w:type="pct"/>
            <w:hideMark/>
          </w:tcPr>
          <w:p w14:paraId="06B4D219" w14:textId="77777777" w:rsidR="007A091D" w:rsidRPr="00E62E87" w:rsidRDefault="007A091D" w:rsidP="007A091D">
            <w:pPr>
              <w:spacing w:line="240" w:lineRule="auto"/>
              <w:rPr>
                <w:rFonts w:cs="Arial"/>
                <w:sz w:val="20"/>
                <w:szCs w:val="20"/>
              </w:rPr>
            </w:pPr>
            <w:r w:rsidRPr="00E62E87">
              <w:rPr>
                <w:rFonts w:cs="Arial"/>
                <w:sz w:val="20"/>
                <w:szCs w:val="20"/>
              </w:rPr>
              <w:t>32%</w:t>
            </w:r>
          </w:p>
        </w:tc>
        <w:tc>
          <w:tcPr>
            <w:tcW w:w="665" w:type="pct"/>
            <w:hideMark/>
          </w:tcPr>
          <w:p w14:paraId="61ECCA45" w14:textId="77777777" w:rsidR="007A091D" w:rsidRPr="00E62E87" w:rsidRDefault="007A091D" w:rsidP="007A091D">
            <w:pPr>
              <w:spacing w:line="240" w:lineRule="auto"/>
              <w:rPr>
                <w:rFonts w:cs="Arial"/>
                <w:sz w:val="20"/>
                <w:szCs w:val="20"/>
              </w:rPr>
            </w:pPr>
            <w:r w:rsidRPr="00E62E87">
              <w:rPr>
                <w:rFonts w:cs="Arial"/>
                <w:sz w:val="20"/>
                <w:szCs w:val="20"/>
              </w:rPr>
              <w:t>50%</w:t>
            </w:r>
          </w:p>
        </w:tc>
      </w:tr>
      <w:tr w:rsidR="007A091D" w:rsidRPr="00E62E87" w14:paraId="0D325960" w14:textId="77777777" w:rsidTr="00B41C16">
        <w:trPr>
          <w:trHeight w:val="20"/>
        </w:trPr>
        <w:tc>
          <w:tcPr>
            <w:tcW w:w="821" w:type="pct"/>
            <w:hideMark/>
          </w:tcPr>
          <w:p w14:paraId="4DF0DE24" w14:textId="77777777" w:rsidR="007A091D" w:rsidRPr="00E62E87" w:rsidRDefault="007A091D" w:rsidP="007A091D">
            <w:pPr>
              <w:spacing w:line="240" w:lineRule="auto"/>
              <w:rPr>
                <w:rFonts w:cs="Arial"/>
                <w:sz w:val="20"/>
                <w:szCs w:val="20"/>
              </w:rPr>
            </w:pPr>
            <w:r w:rsidRPr="00E62E87">
              <w:rPr>
                <w:rFonts w:cs="Arial"/>
                <w:sz w:val="20"/>
                <w:szCs w:val="20"/>
              </w:rPr>
              <w:t>BRAF mutation</w:t>
            </w:r>
          </w:p>
        </w:tc>
        <w:tc>
          <w:tcPr>
            <w:tcW w:w="678" w:type="pct"/>
            <w:hideMark/>
          </w:tcPr>
          <w:p w14:paraId="2C86F780" w14:textId="77777777" w:rsidR="007A091D" w:rsidRPr="00E62E87" w:rsidRDefault="007A091D" w:rsidP="007A091D">
            <w:pPr>
              <w:spacing w:line="240" w:lineRule="auto"/>
              <w:rPr>
                <w:rFonts w:cs="Arial"/>
                <w:sz w:val="20"/>
                <w:szCs w:val="20"/>
              </w:rPr>
            </w:pPr>
            <w:r w:rsidRPr="00E62E87">
              <w:rPr>
                <w:rFonts w:cs="Arial"/>
                <w:sz w:val="20"/>
                <w:szCs w:val="20"/>
              </w:rPr>
              <w:t>50%</w:t>
            </w:r>
          </w:p>
        </w:tc>
        <w:tc>
          <w:tcPr>
            <w:tcW w:w="708" w:type="pct"/>
            <w:hideMark/>
          </w:tcPr>
          <w:p w14:paraId="50D1BCF8" w14:textId="77777777" w:rsidR="007A091D" w:rsidRPr="00E62E87" w:rsidRDefault="007A091D" w:rsidP="007A091D">
            <w:pPr>
              <w:spacing w:line="240" w:lineRule="auto"/>
              <w:rPr>
                <w:rFonts w:cs="Arial"/>
                <w:sz w:val="20"/>
                <w:szCs w:val="20"/>
              </w:rPr>
            </w:pPr>
            <w:r w:rsidRPr="00E62E87">
              <w:rPr>
                <w:rFonts w:cs="Arial"/>
                <w:sz w:val="20"/>
                <w:szCs w:val="20"/>
              </w:rPr>
              <w:t>15%</w:t>
            </w:r>
          </w:p>
        </w:tc>
        <w:tc>
          <w:tcPr>
            <w:tcW w:w="720" w:type="pct"/>
            <w:hideMark/>
          </w:tcPr>
          <w:p w14:paraId="194B5D46" w14:textId="77777777" w:rsidR="007A091D" w:rsidRPr="00E62E87" w:rsidRDefault="007A091D" w:rsidP="007A091D">
            <w:pPr>
              <w:spacing w:line="240" w:lineRule="auto"/>
              <w:rPr>
                <w:rFonts w:cs="Arial"/>
                <w:sz w:val="20"/>
                <w:szCs w:val="20"/>
              </w:rPr>
            </w:pPr>
            <w:r w:rsidRPr="00E62E87">
              <w:rPr>
                <w:rFonts w:cs="Arial"/>
                <w:sz w:val="20"/>
                <w:szCs w:val="20"/>
              </w:rPr>
              <w:t>23%</w:t>
            </w:r>
          </w:p>
        </w:tc>
        <w:tc>
          <w:tcPr>
            <w:tcW w:w="742" w:type="pct"/>
            <w:hideMark/>
          </w:tcPr>
          <w:p w14:paraId="7B45FE79" w14:textId="77777777" w:rsidR="007A091D" w:rsidRPr="00E62E87" w:rsidRDefault="007A091D" w:rsidP="007A091D">
            <w:pPr>
              <w:spacing w:line="240" w:lineRule="auto"/>
              <w:rPr>
                <w:rFonts w:cs="Arial"/>
                <w:sz w:val="20"/>
                <w:szCs w:val="20"/>
              </w:rPr>
            </w:pPr>
            <w:r w:rsidRPr="00E62E87">
              <w:rPr>
                <w:rFonts w:cs="Arial"/>
                <w:sz w:val="20"/>
                <w:szCs w:val="20"/>
              </w:rPr>
              <w:t>21%</w:t>
            </w:r>
          </w:p>
        </w:tc>
        <w:tc>
          <w:tcPr>
            <w:tcW w:w="665" w:type="pct"/>
            <w:hideMark/>
          </w:tcPr>
          <w:p w14:paraId="47406310" w14:textId="77777777" w:rsidR="007A091D" w:rsidRPr="00E62E87" w:rsidRDefault="007A091D" w:rsidP="007A091D">
            <w:pPr>
              <w:spacing w:line="240" w:lineRule="auto"/>
              <w:rPr>
                <w:rFonts w:cs="Arial"/>
                <w:sz w:val="20"/>
                <w:szCs w:val="20"/>
              </w:rPr>
            </w:pPr>
            <w:r w:rsidRPr="00E62E87">
              <w:rPr>
                <w:rFonts w:cs="Arial"/>
                <w:sz w:val="20"/>
                <w:szCs w:val="20"/>
              </w:rPr>
              <w:t>96%</w:t>
            </w:r>
            <w:r w:rsidRPr="00521B71">
              <w:rPr>
                <w:rFonts w:cs="Arial"/>
                <w:sz w:val="20"/>
                <w:szCs w:val="20"/>
                <w:vertAlign w:val="superscript"/>
              </w:rPr>
              <w:t xml:space="preserve"> </w:t>
            </w:r>
            <w:r>
              <w:rPr>
                <w:rFonts w:cs="Arial"/>
                <w:sz w:val="20"/>
                <w:szCs w:val="20"/>
                <w:vertAlign w:val="superscript"/>
              </w:rPr>
              <w:t>b</w:t>
            </w:r>
          </w:p>
        </w:tc>
        <w:tc>
          <w:tcPr>
            <w:tcW w:w="665" w:type="pct"/>
            <w:hideMark/>
          </w:tcPr>
          <w:p w14:paraId="0C254770" w14:textId="77777777" w:rsidR="007A091D" w:rsidRPr="00E62E87" w:rsidRDefault="007A091D" w:rsidP="007A091D">
            <w:pPr>
              <w:spacing w:line="240" w:lineRule="auto"/>
              <w:rPr>
                <w:rFonts w:cs="Arial"/>
                <w:sz w:val="20"/>
                <w:szCs w:val="20"/>
              </w:rPr>
            </w:pPr>
            <w:r w:rsidRPr="00E62E87">
              <w:rPr>
                <w:rFonts w:cs="Arial"/>
                <w:sz w:val="20"/>
                <w:szCs w:val="20"/>
              </w:rPr>
              <w:t>18%</w:t>
            </w:r>
          </w:p>
        </w:tc>
      </w:tr>
      <w:tr w:rsidR="007A091D" w:rsidRPr="00E62E87" w14:paraId="1A7D16B7" w14:textId="77777777" w:rsidTr="00B41C16">
        <w:trPr>
          <w:trHeight w:val="20"/>
        </w:trPr>
        <w:tc>
          <w:tcPr>
            <w:tcW w:w="821" w:type="pct"/>
            <w:hideMark/>
          </w:tcPr>
          <w:p w14:paraId="5F9B6880" w14:textId="77777777" w:rsidR="007A091D" w:rsidRPr="00E62E87" w:rsidRDefault="007A091D" w:rsidP="007A091D">
            <w:pPr>
              <w:spacing w:line="240" w:lineRule="auto"/>
              <w:rPr>
                <w:rFonts w:cs="Arial"/>
                <w:sz w:val="20"/>
                <w:szCs w:val="20"/>
              </w:rPr>
            </w:pPr>
            <w:r w:rsidRPr="00E62E87">
              <w:rPr>
                <w:rFonts w:cs="Arial"/>
                <w:sz w:val="20"/>
                <w:szCs w:val="20"/>
              </w:rPr>
              <w:t>2L / 3L use</w:t>
            </w:r>
          </w:p>
        </w:tc>
        <w:tc>
          <w:tcPr>
            <w:tcW w:w="678" w:type="pct"/>
            <w:hideMark/>
          </w:tcPr>
          <w:p w14:paraId="6804F248" w14:textId="77777777" w:rsidR="007A091D" w:rsidRPr="00E62E87" w:rsidRDefault="007A091D" w:rsidP="007A091D">
            <w:pPr>
              <w:spacing w:line="240" w:lineRule="auto"/>
              <w:rPr>
                <w:rFonts w:cs="Arial"/>
                <w:sz w:val="20"/>
                <w:szCs w:val="20"/>
              </w:rPr>
            </w:pPr>
            <w:r w:rsidRPr="00E62E87">
              <w:rPr>
                <w:rFonts w:cs="Arial"/>
                <w:sz w:val="20"/>
                <w:szCs w:val="20"/>
              </w:rPr>
              <w:t>76%/24%</w:t>
            </w:r>
          </w:p>
        </w:tc>
        <w:tc>
          <w:tcPr>
            <w:tcW w:w="708" w:type="pct"/>
            <w:hideMark/>
          </w:tcPr>
          <w:p w14:paraId="20CF90B2" w14:textId="77777777" w:rsidR="007A091D" w:rsidRPr="00E62E87" w:rsidRDefault="007A091D" w:rsidP="007A091D">
            <w:pPr>
              <w:spacing w:line="240" w:lineRule="auto"/>
              <w:rPr>
                <w:rFonts w:cs="Arial"/>
                <w:sz w:val="20"/>
                <w:szCs w:val="20"/>
              </w:rPr>
            </w:pPr>
            <w:r w:rsidRPr="00E62E87">
              <w:rPr>
                <w:rFonts w:cs="Arial"/>
                <w:sz w:val="20"/>
                <w:szCs w:val="20"/>
              </w:rPr>
              <w:t>56%/ 44%</w:t>
            </w:r>
          </w:p>
        </w:tc>
        <w:tc>
          <w:tcPr>
            <w:tcW w:w="720" w:type="pct"/>
            <w:hideMark/>
          </w:tcPr>
          <w:p w14:paraId="55EEBCA7" w14:textId="77777777" w:rsidR="007A091D" w:rsidRPr="00E62E87" w:rsidRDefault="007A091D" w:rsidP="007A091D">
            <w:pPr>
              <w:spacing w:line="240" w:lineRule="auto"/>
              <w:rPr>
                <w:rFonts w:cs="Arial"/>
                <w:sz w:val="20"/>
                <w:szCs w:val="20"/>
              </w:rPr>
            </w:pPr>
            <w:r w:rsidRPr="00E62E87">
              <w:rPr>
                <w:rFonts w:cs="Arial"/>
                <w:sz w:val="20"/>
                <w:szCs w:val="20"/>
              </w:rPr>
              <w:t>82% / 18%</w:t>
            </w:r>
          </w:p>
        </w:tc>
        <w:tc>
          <w:tcPr>
            <w:tcW w:w="742" w:type="pct"/>
            <w:hideMark/>
          </w:tcPr>
          <w:p w14:paraId="42C83127" w14:textId="77777777" w:rsidR="007A091D" w:rsidRPr="00E62E87" w:rsidRDefault="007A091D" w:rsidP="007A091D">
            <w:pPr>
              <w:spacing w:line="240" w:lineRule="auto"/>
              <w:rPr>
                <w:rFonts w:cs="Arial"/>
                <w:sz w:val="20"/>
                <w:szCs w:val="20"/>
              </w:rPr>
            </w:pPr>
            <w:r w:rsidRPr="00E62E87">
              <w:rPr>
                <w:rFonts w:cs="Arial"/>
                <w:sz w:val="20"/>
                <w:szCs w:val="20"/>
              </w:rPr>
              <w:t>82%/ 18%</w:t>
            </w:r>
          </w:p>
        </w:tc>
        <w:tc>
          <w:tcPr>
            <w:tcW w:w="665" w:type="pct"/>
            <w:hideMark/>
          </w:tcPr>
          <w:p w14:paraId="151280E2" w14:textId="77777777" w:rsidR="007A091D" w:rsidRPr="00E62E87" w:rsidRDefault="007A091D" w:rsidP="007A091D">
            <w:pPr>
              <w:spacing w:line="240" w:lineRule="auto"/>
              <w:rPr>
                <w:rFonts w:cs="Arial"/>
                <w:sz w:val="20"/>
                <w:szCs w:val="20"/>
              </w:rPr>
            </w:pPr>
            <w:r w:rsidRPr="00E62E87">
              <w:rPr>
                <w:rFonts w:cs="Arial"/>
                <w:sz w:val="20"/>
                <w:szCs w:val="20"/>
              </w:rPr>
              <w:t>80%/ 20%</w:t>
            </w:r>
          </w:p>
        </w:tc>
        <w:tc>
          <w:tcPr>
            <w:tcW w:w="665" w:type="pct"/>
            <w:hideMark/>
          </w:tcPr>
          <w:p w14:paraId="01E71E2B" w14:textId="77777777" w:rsidR="007A091D" w:rsidRPr="00E62E87" w:rsidRDefault="007A091D" w:rsidP="007A091D">
            <w:pPr>
              <w:spacing w:line="240" w:lineRule="auto"/>
              <w:rPr>
                <w:rFonts w:cs="Arial"/>
                <w:sz w:val="20"/>
                <w:szCs w:val="20"/>
              </w:rPr>
            </w:pPr>
            <w:r w:rsidRPr="00E62E87">
              <w:rPr>
                <w:rFonts w:cs="Arial"/>
                <w:sz w:val="20"/>
                <w:szCs w:val="20"/>
              </w:rPr>
              <w:t>64%/ 36%</w:t>
            </w:r>
          </w:p>
        </w:tc>
      </w:tr>
      <w:tr w:rsidR="007A091D" w:rsidRPr="0056527F" w14:paraId="1954CFE3" w14:textId="77777777" w:rsidTr="00B41C16">
        <w:trPr>
          <w:trHeight w:val="20"/>
        </w:trPr>
        <w:tc>
          <w:tcPr>
            <w:tcW w:w="5000" w:type="pct"/>
            <w:gridSpan w:val="7"/>
          </w:tcPr>
          <w:p w14:paraId="4BDD1BB6" w14:textId="77777777" w:rsidR="007A091D" w:rsidRPr="00E62E87" w:rsidRDefault="007A091D" w:rsidP="007A091D">
            <w:pPr>
              <w:spacing w:line="240" w:lineRule="auto"/>
              <w:rPr>
                <w:rFonts w:cs="Arial"/>
                <w:sz w:val="20"/>
                <w:szCs w:val="20"/>
              </w:rPr>
            </w:pPr>
            <w:r w:rsidRPr="00E62E87">
              <w:rPr>
                <w:rFonts w:cs="Arial"/>
                <w:sz w:val="20"/>
                <w:szCs w:val="20"/>
              </w:rPr>
              <w:t>2L: second line; 3L: third line; anti-</w:t>
            </w:r>
            <w:r>
              <w:rPr>
                <w:rFonts w:cs="Arial"/>
                <w:sz w:val="20"/>
                <w:szCs w:val="20"/>
              </w:rPr>
              <w:t>PD-1</w:t>
            </w:r>
            <w:r w:rsidRPr="00E62E87">
              <w:rPr>
                <w:rFonts w:cs="Arial"/>
                <w:sz w:val="20"/>
                <w:szCs w:val="20"/>
              </w:rPr>
              <w:t>: Programmed cell death protein 1; BRAF: a human gene that encodes the protein B-Raf; BRAFi: BRAF inhibitor; CTLA-4: cytotoxic T-lymphocyte-associated protein 4; ECOG: Eastern Cooperative Oncology Group; LDH: Lactate dehydrogenase; MEKi: MEK inhibitor</w:t>
            </w:r>
          </w:p>
          <w:p w14:paraId="7C7CEC8E" w14:textId="77777777" w:rsidR="007A091D" w:rsidRPr="00E62E87" w:rsidRDefault="007A091D" w:rsidP="007A091D">
            <w:pPr>
              <w:spacing w:line="240" w:lineRule="auto"/>
              <w:rPr>
                <w:rFonts w:cs="Arial"/>
                <w:sz w:val="20"/>
                <w:szCs w:val="20"/>
              </w:rPr>
            </w:pPr>
            <w:r w:rsidRPr="00521B71">
              <w:rPr>
                <w:rFonts w:cs="Arial"/>
                <w:sz w:val="20"/>
                <w:szCs w:val="20"/>
                <w:vertAlign w:val="superscript"/>
              </w:rPr>
              <w:t>a</w:t>
            </w:r>
            <w:r w:rsidRPr="00E62E87">
              <w:rPr>
                <w:rFonts w:cs="Arial"/>
                <w:sz w:val="20"/>
                <w:szCs w:val="20"/>
              </w:rPr>
              <w:t>: 25 patients with anti-PD-1/other as index therapy were not shown in this table</w:t>
            </w:r>
          </w:p>
          <w:p w14:paraId="5F8C02D0" w14:textId="77777777" w:rsidR="007A091D" w:rsidRPr="004D6982" w:rsidRDefault="007A091D" w:rsidP="007A091D">
            <w:pPr>
              <w:spacing w:line="240" w:lineRule="auto"/>
              <w:rPr>
                <w:rFonts w:cs="Arial"/>
                <w:sz w:val="20"/>
                <w:szCs w:val="20"/>
              </w:rPr>
            </w:pPr>
            <w:r>
              <w:rPr>
                <w:rFonts w:cs="Arial"/>
                <w:sz w:val="20"/>
                <w:szCs w:val="20"/>
                <w:vertAlign w:val="superscript"/>
              </w:rPr>
              <w:t>b</w:t>
            </w:r>
            <w:r w:rsidRPr="00E62E87">
              <w:rPr>
                <w:rFonts w:cs="Arial"/>
                <w:sz w:val="20"/>
                <w:szCs w:val="20"/>
              </w:rPr>
              <w:t xml:space="preserve">: 3 patients with BRAF </w:t>
            </w:r>
            <w:r>
              <w:rPr>
                <w:rFonts w:cs="Arial"/>
                <w:sz w:val="20"/>
                <w:szCs w:val="20"/>
              </w:rPr>
              <w:t>wild-type tumor</w:t>
            </w:r>
            <w:r w:rsidRPr="00E62E87">
              <w:rPr>
                <w:rFonts w:cs="Arial"/>
                <w:sz w:val="20"/>
                <w:szCs w:val="20"/>
              </w:rPr>
              <w:t xml:space="preserve"> and 1 patient with missing </w:t>
            </w:r>
            <w:r>
              <w:rPr>
                <w:rFonts w:cs="Arial"/>
                <w:sz w:val="20"/>
                <w:szCs w:val="20"/>
              </w:rPr>
              <w:t xml:space="preserve">tumor </w:t>
            </w:r>
            <w:r w:rsidRPr="00E62E87">
              <w:rPr>
                <w:rFonts w:cs="Arial"/>
                <w:sz w:val="20"/>
                <w:szCs w:val="20"/>
              </w:rPr>
              <w:t>BRAF mutation status used BRAFi/MEKi. Among the 3 patients with BRAF</w:t>
            </w:r>
            <w:r>
              <w:rPr>
                <w:rFonts w:cs="Arial"/>
                <w:sz w:val="20"/>
                <w:szCs w:val="20"/>
              </w:rPr>
              <w:t>wild-type tumor</w:t>
            </w:r>
            <w:r w:rsidRPr="00E62E87">
              <w:rPr>
                <w:rFonts w:cs="Arial"/>
                <w:sz w:val="20"/>
                <w:szCs w:val="20"/>
              </w:rPr>
              <w:t xml:space="preserve">, 1 patient used MEKi only; 1 patient had a BRAF </w:t>
            </w:r>
            <w:r>
              <w:rPr>
                <w:rFonts w:cs="Arial"/>
                <w:sz w:val="20"/>
                <w:szCs w:val="20"/>
              </w:rPr>
              <w:t>wild-type</w:t>
            </w:r>
            <w:r w:rsidRPr="00E62E87">
              <w:rPr>
                <w:rFonts w:cs="Arial"/>
                <w:sz w:val="20"/>
                <w:szCs w:val="20"/>
              </w:rPr>
              <w:t xml:space="preserve"> result before index date and a positive BRAF </w:t>
            </w:r>
            <w:r>
              <w:rPr>
                <w:rFonts w:cs="Arial"/>
                <w:sz w:val="20"/>
                <w:szCs w:val="20"/>
              </w:rPr>
              <w:t xml:space="preserve">mutation </w:t>
            </w:r>
            <w:r w:rsidRPr="00E62E87">
              <w:rPr>
                <w:rFonts w:cs="Arial"/>
                <w:sz w:val="20"/>
                <w:szCs w:val="20"/>
              </w:rPr>
              <w:t>result after index date, as we only used BRAF result before index date, we categorized this patient as having negative BRAF mutation; 1 patient had both BRAF negative and positive results before index date, but the negative result was closer to the index date, so we categorized this patient as having negative BRAF mutation. However, a closer look at the data showed the negative result was from blood sample and the positive result was from tissue sample. This patient might have been misclassified as having negative BRAF mutation. As only 3% of biomarker results were from blood, we speculated the misclassification of gene mutation status in this study was minimal.</w:t>
            </w:r>
            <w:r w:rsidRPr="004D6982">
              <w:rPr>
                <w:rFonts w:cs="Arial"/>
                <w:sz w:val="20"/>
                <w:szCs w:val="20"/>
              </w:rPr>
              <w:t xml:space="preserve">   </w:t>
            </w:r>
          </w:p>
        </w:tc>
      </w:tr>
    </w:tbl>
    <w:p w14:paraId="65B807A3" w14:textId="77777777" w:rsidR="007A091D" w:rsidRPr="0056527F" w:rsidRDefault="007A091D" w:rsidP="007A091D"/>
    <w:p w14:paraId="753EA08E" w14:textId="77777777" w:rsidR="00415248" w:rsidRDefault="001A4BF1"/>
    <w:sectPr w:rsidR="004152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78FE7" w14:textId="77777777" w:rsidR="007A091D" w:rsidRDefault="007A091D" w:rsidP="007A091D">
      <w:pPr>
        <w:spacing w:after="0" w:line="240" w:lineRule="auto"/>
      </w:pPr>
      <w:r>
        <w:separator/>
      </w:r>
    </w:p>
  </w:endnote>
  <w:endnote w:type="continuationSeparator" w:id="0">
    <w:p w14:paraId="5A79943A" w14:textId="77777777" w:rsidR="007A091D" w:rsidRDefault="007A091D" w:rsidP="007A0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4133D" w14:textId="77777777" w:rsidR="007A091D" w:rsidRDefault="007A091D" w:rsidP="007A091D">
      <w:pPr>
        <w:spacing w:after="0" w:line="240" w:lineRule="auto"/>
      </w:pPr>
      <w:r>
        <w:separator/>
      </w:r>
    </w:p>
  </w:footnote>
  <w:footnote w:type="continuationSeparator" w:id="0">
    <w:p w14:paraId="3EF9406F" w14:textId="77777777" w:rsidR="007A091D" w:rsidRDefault="007A091D" w:rsidP="007A09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83D"/>
    <w:rsid w:val="001A4BF1"/>
    <w:rsid w:val="0079263D"/>
    <w:rsid w:val="007A091D"/>
    <w:rsid w:val="00A1383D"/>
    <w:rsid w:val="00BD0FDC"/>
    <w:rsid w:val="00DA63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A8F00F"/>
  <w15:chartTrackingRefBased/>
  <w15:docId w15:val="{EE9D6368-297D-4C27-BBDD-303B2FA9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91D"/>
    <w:pPr>
      <w:spacing w:after="120" w:line="480" w:lineRule="auto"/>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91D"/>
    <w:pPr>
      <w:tabs>
        <w:tab w:val="center" w:pos="4680"/>
        <w:tab w:val="right" w:pos="9360"/>
      </w:tabs>
      <w:spacing w:after="0" w:line="240" w:lineRule="auto"/>
    </w:pPr>
    <w:rPr>
      <w:rFonts w:asciiTheme="minorHAnsi" w:hAnsiTheme="minorHAnsi"/>
      <w:sz w:val="22"/>
      <w:lang w:eastAsia="zh-CN"/>
    </w:rPr>
  </w:style>
  <w:style w:type="character" w:customStyle="1" w:styleId="HeaderChar">
    <w:name w:val="Header Char"/>
    <w:basedOn w:val="DefaultParagraphFont"/>
    <w:link w:val="Header"/>
    <w:uiPriority w:val="99"/>
    <w:rsid w:val="007A091D"/>
  </w:style>
  <w:style w:type="paragraph" w:styleId="Footer">
    <w:name w:val="footer"/>
    <w:basedOn w:val="Normal"/>
    <w:link w:val="FooterChar"/>
    <w:uiPriority w:val="99"/>
    <w:unhideWhenUsed/>
    <w:rsid w:val="007A091D"/>
    <w:pPr>
      <w:tabs>
        <w:tab w:val="center" w:pos="4680"/>
        <w:tab w:val="right" w:pos="9360"/>
      </w:tabs>
      <w:spacing w:after="0" w:line="240" w:lineRule="auto"/>
    </w:pPr>
    <w:rPr>
      <w:rFonts w:asciiTheme="minorHAnsi" w:hAnsiTheme="minorHAnsi"/>
      <w:sz w:val="22"/>
      <w:lang w:eastAsia="zh-CN"/>
    </w:rPr>
  </w:style>
  <w:style w:type="character" w:customStyle="1" w:styleId="FooterChar">
    <w:name w:val="Footer Char"/>
    <w:basedOn w:val="DefaultParagraphFont"/>
    <w:link w:val="Footer"/>
    <w:uiPriority w:val="99"/>
    <w:rsid w:val="007A091D"/>
  </w:style>
  <w:style w:type="table" w:styleId="TableGrid">
    <w:name w:val="Table Grid"/>
    <w:basedOn w:val="TableNormal"/>
    <w:uiPriority w:val="39"/>
    <w:rsid w:val="007A091D"/>
    <w:pPr>
      <w:spacing w:after="0" w:line="240" w:lineRule="auto"/>
    </w:pPr>
    <w:rPr>
      <w:lang w:val="en-I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Props1.xml><?xml version="1.0" encoding="utf-8"?>
<ds:datastoreItem xmlns:ds="http://schemas.openxmlformats.org/officeDocument/2006/customXml" ds:itemID="{DF6593DC-441D-42E7-AC90-1E784C4D074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1941</Characters>
  <Application>Microsoft Office Word</Application>
  <DocSecurity>4</DocSecurity>
  <Lines>35</Lines>
  <Paragraphs>10</Paragraphs>
  <ScaleCrop>false</ScaleCrop>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Sarah</dc:creator>
  <cp:keywords/>
  <dc:description/>
  <cp:lastModifiedBy>Pinto, Cathy Anne</cp:lastModifiedBy>
  <cp:revision>2</cp:revision>
  <dcterms:created xsi:type="dcterms:W3CDTF">2021-08-03T22:36:00Z</dcterms:created>
  <dcterms:modified xsi:type="dcterms:W3CDTF">2021-08-03T22:36:00Z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557340c6-e778-49e4-96db-b146e1c4f7c5</vt:lpwstr>
  </property>
  <property fmtid="{D5CDD505-2E9C-101B-9397-08002B2CF9AE}" pid="3" name="bjSaver">
    <vt:lpwstr>AoD4Qgj7pCDM7FK+Lu8larH6hLrq69JL</vt:lpwstr>
  </property>
  <property fmtid="{D5CDD505-2E9C-101B-9397-08002B2CF9AE}" pid="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5" name="bjDocumentLabelXML-0">
    <vt:lpwstr>ames.com/2008/01/sie/internal/label"&gt;&lt;element uid="9920fcc9-9f43-4d43-9e3e-b98a219cfd55" value="" /&gt;&lt;/sisl&gt;</vt:lpwstr>
  </property>
  <property fmtid="{D5CDD505-2E9C-101B-9397-08002B2CF9AE}" pid="6" name="bjDocumentSecurityLabel">
    <vt:lpwstr>Not Classified</vt:lpwstr>
  </property>
  <property fmtid="{D5CDD505-2E9C-101B-9397-08002B2CF9AE}" pid="7" name="_AdHocReviewCycleID">
    <vt:i4>1021547129</vt:i4>
  </property>
  <property fmtid="{D5CDD505-2E9C-101B-9397-08002B2CF9AE}" pid="8" name="_NewReviewCycle">
    <vt:lpwstr/>
  </property>
  <property fmtid="{D5CDD505-2E9C-101B-9397-08002B2CF9AE}" pid="9" name="_EmailSubject">
    <vt:lpwstr>Most updated tables &amp; figures submitted to Cancer Medicine</vt:lpwstr>
  </property>
  <property fmtid="{D5CDD505-2E9C-101B-9397-08002B2CF9AE}" pid="10" name="_AuthorEmail">
    <vt:lpwstr>xinyue.liu1@merck.com</vt:lpwstr>
  </property>
  <property fmtid="{D5CDD505-2E9C-101B-9397-08002B2CF9AE}" pid="11" name="_AuthorEmailDisplayName">
    <vt:lpwstr>Liu, Sarah</vt:lpwstr>
  </property>
  <property fmtid="{D5CDD505-2E9C-101B-9397-08002B2CF9AE}" pid="12" name="_ReviewingToolsShownOnce">
    <vt:lpwstr/>
  </property>
</Properties>
</file>