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6B" w:rsidRPr="00C9050E" w:rsidRDefault="0011726B" w:rsidP="0011726B">
      <w:pPr>
        <w:pStyle w:val="Paragraph"/>
        <w:spacing w:before="0" w:after="0"/>
        <w:rPr>
          <w:bCs/>
          <w:sz w:val="22"/>
          <w:szCs w:val="22"/>
          <w:lang w:val="en-GB"/>
        </w:rPr>
      </w:pPr>
      <w:bookmarkStart w:id="0" w:name="_GoBack"/>
      <w:bookmarkEnd w:id="0"/>
      <w:r>
        <w:rPr>
          <w:b/>
          <w:sz w:val="22"/>
          <w:szCs w:val="22"/>
        </w:rPr>
        <w:t>Supplementary T</w:t>
      </w:r>
      <w:r w:rsidRPr="00C9050E">
        <w:rPr>
          <w:b/>
          <w:sz w:val="22"/>
          <w:szCs w:val="22"/>
        </w:rPr>
        <w:t xml:space="preserve">able </w:t>
      </w:r>
      <w:r>
        <w:rPr>
          <w:b/>
          <w:sz w:val="22"/>
          <w:szCs w:val="22"/>
        </w:rPr>
        <w:t>A</w:t>
      </w:r>
      <w:r w:rsidRPr="00C9050E">
        <w:rPr>
          <w:b/>
          <w:sz w:val="22"/>
          <w:szCs w:val="22"/>
        </w:rPr>
        <w:t>.</w:t>
      </w:r>
      <w:r w:rsidRPr="00C9050E">
        <w:rPr>
          <w:sz w:val="22"/>
          <w:szCs w:val="22"/>
        </w:rPr>
        <w:t xml:space="preserve"> </w:t>
      </w:r>
      <w:bookmarkStart w:id="1" w:name="_Ref34383490"/>
      <w:bookmarkStart w:id="2" w:name="_Toc54513503"/>
      <w:r w:rsidRPr="00C9050E">
        <w:rPr>
          <w:bCs/>
          <w:sz w:val="22"/>
          <w:szCs w:val="22"/>
          <w:lang w:val="en-GB"/>
        </w:rPr>
        <w:t>Systemic treatment</w:t>
      </w:r>
      <w:bookmarkEnd w:id="1"/>
      <w:bookmarkEnd w:id="2"/>
      <w:r w:rsidRPr="00C9050E">
        <w:rPr>
          <w:bCs/>
          <w:sz w:val="22"/>
          <w:szCs w:val="22"/>
          <w:lang w:val="en-GB"/>
        </w:rPr>
        <w:t>: Characterization and description.</w:t>
      </w:r>
    </w:p>
    <w:tbl>
      <w:tblPr>
        <w:tblStyle w:val="TaulaQN-ADKNOMA"/>
        <w:tblpPr w:leftFromText="180" w:rightFromText="180" w:vertAnchor="page" w:horzAnchor="margin" w:tblpXSpec="center" w:tblpY="2128"/>
        <w:tblW w:w="11515" w:type="dxa"/>
        <w:jc w:val="lef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  <w:gridCol w:w="2070"/>
      </w:tblGrid>
      <w:tr w:rsidR="0011726B" w:rsidRPr="00C9050E" w:rsidTr="002D1637">
        <w:trPr>
          <w:trHeight w:val="800"/>
          <w:jc w:val="left"/>
        </w:trPr>
        <w:tc>
          <w:tcPr>
            <w:tcW w:w="9445" w:type="dxa"/>
            <w:shd w:val="clear" w:color="auto" w:fill="auto"/>
            <w:hideMark/>
          </w:tcPr>
          <w:p w:rsidR="0011726B" w:rsidRPr="00C9050E" w:rsidRDefault="0011726B" w:rsidP="002D1637">
            <w:pPr>
              <w:spacing w:before="0"/>
              <w:jc w:val="left"/>
              <w:rPr>
                <w:rFonts w:eastAsiaTheme="minorHAnsi"/>
                <w:b/>
                <w:bCs/>
                <w:sz w:val="20"/>
                <w:lang w:val="en-GB"/>
              </w:rPr>
            </w:pPr>
            <w:r w:rsidRPr="00C9050E">
              <w:rPr>
                <w:b/>
                <w:bCs/>
                <w:sz w:val="20"/>
                <w:lang w:val="en-GB"/>
              </w:rPr>
              <w:t>Systemic treatment for the Stage IV tumor</w:t>
            </w:r>
            <w:r w:rsidRPr="00C9050E">
              <w:rPr>
                <w:sz w:val="20"/>
                <w:lang w:val="en-GB"/>
              </w:rPr>
              <w:t xml:space="preserve">, n (%)   </w:t>
            </w:r>
          </w:p>
          <w:p w:rsidR="0011726B" w:rsidRPr="00C9050E" w:rsidRDefault="0011726B" w:rsidP="002D1637">
            <w:pPr>
              <w:spacing w:before="0"/>
              <w:jc w:val="left"/>
              <w:rPr>
                <w:rFonts w:eastAsiaTheme="minorHAnsi"/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 xml:space="preserve">    Yes</w:t>
            </w:r>
          </w:p>
          <w:p w:rsidR="0011726B" w:rsidRPr="00C9050E" w:rsidRDefault="0011726B" w:rsidP="002D1637">
            <w:pPr>
              <w:spacing w:before="0"/>
              <w:jc w:val="left"/>
              <w:rPr>
                <w:rFonts w:eastAsiaTheme="minorHAnsi"/>
                <w:b/>
                <w:bCs/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 xml:space="preserve">    No</w:t>
            </w:r>
          </w:p>
        </w:tc>
        <w:tc>
          <w:tcPr>
            <w:tcW w:w="2070" w:type="dxa"/>
            <w:shd w:val="clear" w:color="auto" w:fill="auto"/>
            <w:hideMark/>
          </w:tcPr>
          <w:p w:rsidR="0011726B" w:rsidRPr="00C9050E" w:rsidRDefault="0011726B" w:rsidP="002D1637">
            <w:pPr>
              <w:spacing w:before="0"/>
              <w:rPr>
                <w:b/>
                <w:bCs/>
                <w:color w:val="000000"/>
                <w:sz w:val="20"/>
              </w:rPr>
            </w:pPr>
            <w:r w:rsidRPr="00C9050E">
              <w:rPr>
                <w:b/>
                <w:bCs/>
                <w:color w:val="000000"/>
                <w:sz w:val="20"/>
              </w:rPr>
              <w:t>297 (100.0%)</w:t>
            </w:r>
          </w:p>
          <w:p w:rsidR="0011726B" w:rsidRPr="00C9050E" w:rsidRDefault="0011726B" w:rsidP="002D1637">
            <w:pPr>
              <w:spacing w:before="0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265 (89.2%)</w:t>
            </w:r>
          </w:p>
          <w:p w:rsidR="0011726B" w:rsidRPr="00C9050E" w:rsidRDefault="0011726B" w:rsidP="002D1637">
            <w:pPr>
              <w:spacing w:before="0"/>
              <w:rPr>
                <w:b/>
                <w:bCs/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32 (10.8%)</w:t>
            </w:r>
          </w:p>
        </w:tc>
      </w:tr>
      <w:tr w:rsidR="0011726B" w:rsidRPr="00C9050E" w:rsidTr="002D1637">
        <w:trPr>
          <w:trHeight w:val="527"/>
          <w:jc w:val="left"/>
        </w:trPr>
        <w:tc>
          <w:tcPr>
            <w:tcW w:w="9445" w:type="dxa"/>
            <w:shd w:val="clear" w:color="auto" w:fill="auto"/>
          </w:tcPr>
          <w:p w:rsidR="0011726B" w:rsidRPr="00C9050E" w:rsidRDefault="0011726B" w:rsidP="002D1637">
            <w:pPr>
              <w:spacing w:before="0"/>
              <w:jc w:val="left"/>
              <w:rPr>
                <w:i/>
                <w:iCs/>
                <w:color w:val="808080" w:themeColor="background1" w:themeShade="80"/>
                <w:sz w:val="20"/>
                <w:lang w:val="en-GB"/>
              </w:rPr>
            </w:pPr>
            <w:r w:rsidRPr="00C9050E">
              <w:rPr>
                <w:b/>
                <w:bCs/>
                <w:sz w:val="20"/>
                <w:lang w:val="en-GB"/>
              </w:rPr>
              <w:t>Time elapsed between start of systemic treatment and histologic diagnosis of Stage IV NSCLC (days)</w:t>
            </w:r>
            <w:r w:rsidRPr="00C9050E">
              <w:rPr>
                <w:sz w:val="20"/>
                <w:vertAlign w:val="superscript"/>
                <w:lang w:val="en-GB"/>
              </w:rPr>
              <w:t>1</w:t>
            </w:r>
            <w:r w:rsidRPr="00C9050E">
              <w:rPr>
                <w:sz w:val="20"/>
                <w:lang w:val="en-GB"/>
              </w:rPr>
              <w:t>, n (%)</w:t>
            </w:r>
          </w:p>
          <w:p w:rsidR="0011726B" w:rsidRPr="00C9050E" w:rsidRDefault="0011726B" w:rsidP="002D1637">
            <w:pPr>
              <w:spacing w:before="0"/>
              <w:jc w:val="left"/>
              <w:rPr>
                <w:i/>
                <w:iCs/>
                <w:color w:val="808080" w:themeColor="background1" w:themeShade="80"/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 xml:space="preserve">    Median (P25; P75)</w:t>
            </w:r>
          </w:p>
        </w:tc>
        <w:tc>
          <w:tcPr>
            <w:tcW w:w="2070" w:type="dxa"/>
            <w:shd w:val="clear" w:color="auto" w:fill="auto"/>
          </w:tcPr>
          <w:p w:rsidR="0011726B" w:rsidRPr="00C9050E" w:rsidRDefault="0011726B" w:rsidP="002D1637">
            <w:pPr>
              <w:spacing w:before="0"/>
              <w:rPr>
                <w:b/>
                <w:color w:val="000000"/>
                <w:sz w:val="20"/>
                <w:lang w:val="en-US"/>
              </w:rPr>
            </w:pPr>
            <w:r w:rsidRPr="00C9050E">
              <w:rPr>
                <w:b/>
                <w:color w:val="000000"/>
                <w:sz w:val="20"/>
                <w:lang w:val="en-US"/>
              </w:rPr>
              <w:t>260 (100%)</w:t>
            </w:r>
          </w:p>
          <w:p w:rsidR="0011726B" w:rsidRPr="00C9050E" w:rsidRDefault="0011726B" w:rsidP="002D1637">
            <w:pPr>
              <w:spacing w:before="0"/>
              <w:rPr>
                <w:b/>
                <w:color w:val="000000"/>
                <w:sz w:val="20"/>
                <w:lang w:val="en-US"/>
              </w:rPr>
            </w:pPr>
            <w:r w:rsidRPr="00C9050E">
              <w:rPr>
                <w:color w:val="000000"/>
                <w:sz w:val="20"/>
              </w:rPr>
              <w:t>31.00 (22.00 ; 43.00)</w:t>
            </w:r>
            <w:r w:rsidRPr="00C9050E" w:rsidDel="007C2150">
              <w:rPr>
                <w:color w:val="000000"/>
                <w:sz w:val="20"/>
              </w:rPr>
              <w:t xml:space="preserve"> </w:t>
            </w:r>
          </w:p>
        </w:tc>
      </w:tr>
      <w:tr w:rsidR="0011726B" w:rsidRPr="00C9050E" w:rsidTr="002D1637">
        <w:trPr>
          <w:trHeight w:val="617"/>
          <w:jc w:val="left"/>
        </w:trPr>
        <w:tc>
          <w:tcPr>
            <w:tcW w:w="9445" w:type="dxa"/>
            <w:shd w:val="clear" w:color="auto" w:fill="auto"/>
          </w:tcPr>
          <w:p w:rsidR="0011726B" w:rsidRPr="00C9050E" w:rsidRDefault="0011726B" w:rsidP="002D1637">
            <w:pPr>
              <w:spacing w:before="0" w:line="240" w:lineRule="exact"/>
              <w:jc w:val="left"/>
              <w:rPr>
                <w:b/>
                <w:bCs/>
                <w:sz w:val="20"/>
                <w:lang w:val="en-GB"/>
              </w:rPr>
            </w:pPr>
            <w:r w:rsidRPr="00C9050E">
              <w:rPr>
                <w:b/>
                <w:bCs/>
                <w:sz w:val="20"/>
                <w:lang w:val="en-GB"/>
              </w:rPr>
              <w:t>Treatment decision time</w:t>
            </w:r>
            <w:r w:rsidRPr="00C9050E">
              <w:rPr>
                <w:sz w:val="20"/>
                <w:vertAlign w:val="superscript"/>
                <w:lang w:val="en-GB"/>
              </w:rPr>
              <w:t>2</w:t>
            </w:r>
            <w:r w:rsidRPr="00C9050E">
              <w:rPr>
                <w:sz w:val="20"/>
                <w:lang w:val="en-GB"/>
              </w:rPr>
              <w:t>, n (%)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Previous to PD-L1 testing results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b/>
                <w:bCs/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After to PD-L1 testing results</w:t>
            </w:r>
          </w:p>
        </w:tc>
        <w:tc>
          <w:tcPr>
            <w:tcW w:w="2070" w:type="dxa"/>
            <w:shd w:val="clear" w:color="auto" w:fill="auto"/>
          </w:tcPr>
          <w:p w:rsidR="0011726B" w:rsidRPr="00C9050E" w:rsidRDefault="0011726B" w:rsidP="002D1637">
            <w:pPr>
              <w:spacing w:before="0" w:line="240" w:lineRule="exact"/>
              <w:rPr>
                <w:b/>
                <w:bCs/>
                <w:color w:val="000000"/>
                <w:sz w:val="20"/>
              </w:rPr>
            </w:pPr>
            <w:r w:rsidRPr="00C9050E">
              <w:rPr>
                <w:b/>
                <w:bCs/>
                <w:color w:val="000000"/>
                <w:sz w:val="20"/>
              </w:rPr>
              <w:t>257 (100.0%)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19 (7.4%)</w:t>
            </w:r>
          </w:p>
          <w:p w:rsidR="0011726B" w:rsidRPr="00C9050E" w:rsidRDefault="0011726B" w:rsidP="002D1637">
            <w:pPr>
              <w:spacing w:before="0" w:line="240" w:lineRule="exact"/>
              <w:rPr>
                <w:b/>
                <w:bCs/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238 (92.6%)</w:t>
            </w:r>
          </w:p>
        </w:tc>
      </w:tr>
      <w:tr w:rsidR="0011726B" w:rsidRPr="00C9050E" w:rsidTr="002D1637">
        <w:trPr>
          <w:trHeight w:val="1787"/>
          <w:jc w:val="left"/>
        </w:trPr>
        <w:tc>
          <w:tcPr>
            <w:tcW w:w="9445" w:type="dxa"/>
            <w:tcBorders>
              <w:bottom w:val="single" w:sz="4" w:space="0" w:color="auto"/>
            </w:tcBorders>
            <w:shd w:val="clear" w:color="auto" w:fill="auto"/>
          </w:tcPr>
          <w:p w:rsidR="0011726B" w:rsidRPr="00C9050E" w:rsidRDefault="0011726B" w:rsidP="002D1637">
            <w:pPr>
              <w:spacing w:before="0" w:line="240" w:lineRule="exact"/>
              <w:jc w:val="left"/>
              <w:rPr>
                <w:i/>
                <w:iCs/>
                <w:color w:val="808080" w:themeColor="background1" w:themeShade="80"/>
                <w:sz w:val="20"/>
                <w:lang w:val="en-GB"/>
              </w:rPr>
            </w:pPr>
            <w:r w:rsidRPr="00C9050E">
              <w:rPr>
                <w:b/>
                <w:bCs/>
                <w:sz w:val="20"/>
                <w:lang w:val="en-GB"/>
              </w:rPr>
              <w:t>Type of systemic treatment – categories</w:t>
            </w:r>
            <w:r w:rsidRPr="00C9050E">
              <w:rPr>
                <w:sz w:val="20"/>
                <w:vertAlign w:val="superscript"/>
                <w:lang w:val="en-GB"/>
              </w:rPr>
              <w:t>3</w:t>
            </w:r>
            <w:r w:rsidRPr="00C9050E">
              <w:rPr>
                <w:sz w:val="20"/>
                <w:lang w:val="en-GB"/>
              </w:rPr>
              <w:t xml:space="preserve">    n (%)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Platinum-doublets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Chemotherapy (CT) monotherapy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Platinum-</w:t>
            </w:r>
            <w:proofErr w:type="gramStart"/>
            <w:r w:rsidRPr="00C9050E">
              <w:rPr>
                <w:sz w:val="20"/>
                <w:lang w:val="en-GB"/>
              </w:rPr>
              <w:t>doublet</w:t>
            </w:r>
            <w:proofErr w:type="gramEnd"/>
            <w:r w:rsidRPr="00C9050E">
              <w:rPr>
                <w:sz w:val="20"/>
                <w:lang w:val="en-GB"/>
              </w:rPr>
              <w:t>-Antiangiogenic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IO monotherapy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Platinum-doublet- IO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b/>
                <w:bCs/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IO-IO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1726B" w:rsidRPr="00C9050E" w:rsidRDefault="0011726B" w:rsidP="002D1637">
            <w:pPr>
              <w:spacing w:before="0" w:line="240" w:lineRule="exact"/>
              <w:jc w:val="left"/>
              <w:rPr>
                <w:b/>
                <w:bCs/>
                <w:color w:val="000000"/>
                <w:sz w:val="20"/>
              </w:rPr>
            </w:pPr>
            <w:r w:rsidRPr="00C9050E">
              <w:rPr>
                <w:b/>
                <w:bCs/>
                <w:color w:val="000000"/>
                <w:sz w:val="20"/>
              </w:rPr>
              <w:t>265 (100.0%)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  <w:lang w:val="en-US"/>
              </w:rPr>
            </w:pPr>
            <w:r w:rsidRPr="00C9050E">
              <w:rPr>
                <w:color w:val="000000"/>
                <w:sz w:val="20"/>
                <w:lang w:val="en-US"/>
              </w:rPr>
              <w:t>142 (53.6%)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  <w:lang w:val="en-US"/>
              </w:rPr>
            </w:pPr>
            <w:r w:rsidRPr="00C9050E">
              <w:rPr>
                <w:color w:val="000000"/>
                <w:sz w:val="20"/>
                <w:lang w:val="en-US"/>
              </w:rPr>
              <w:t>5 (1.9%)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  <w:lang w:val="en-US"/>
              </w:rPr>
            </w:pPr>
            <w:r w:rsidRPr="00C9050E">
              <w:rPr>
                <w:color w:val="000000"/>
                <w:sz w:val="20"/>
                <w:lang w:val="en-US"/>
              </w:rPr>
              <w:t>1 (0.4%)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  <w:lang w:val="en-US"/>
              </w:rPr>
            </w:pPr>
            <w:r w:rsidRPr="00C9050E">
              <w:rPr>
                <w:color w:val="000000"/>
                <w:sz w:val="20"/>
                <w:lang w:val="en-US"/>
              </w:rPr>
              <w:t>71 (26.8%)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  <w:lang w:val="en-US"/>
              </w:rPr>
            </w:pPr>
            <w:r w:rsidRPr="00C9050E">
              <w:rPr>
                <w:color w:val="000000"/>
                <w:sz w:val="20"/>
                <w:lang w:val="en-US"/>
              </w:rPr>
              <w:t>39 (14.7%)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  <w:lang w:val="en-US"/>
              </w:rPr>
            </w:pPr>
            <w:r w:rsidRPr="00C9050E">
              <w:rPr>
                <w:color w:val="000000"/>
                <w:sz w:val="20"/>
                <w:lang w:val="en-US"/>
              </w:rPr>
              <w:t>6 (2.3%)</w:t>
            </w:r>
          </w:p>
          <w:p w:rsidR="0011726B" w:rsidRPr="00C9050E" w:rsidRDefault="0011726B" w:rsidP="002D1637">
            <w:pPr>
              <w:spacing w:line="240" w:lineRule="exact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11726B" w:rsidRPr="00C9050E" w:rsidTr="002D1637">
        <w:trPr>
          <w:trHeight w:val="3428"/>
          <w:jc w:val="left"/>
        </w:trPr>
        <w:tc>
          <w:tcPr>
            <w:tcW w:w="9445" w:type="dxa"/>
            <w:tcBorders>
              <w:bottom w:val="single" w:sz="4" w:space="0" w:color="auto"/>
            </w:tcBorders>
            <w:shd w:val="clear" w:color="auto" w:fill="auto"/>
          </w:tcPr>
          <w:p w:rsidR="0011726B" w:rsidRPr="00C9050E" w:rsidRDefault="0011726B" w:rsidP="002D1637">
            <w:pPr>
              <w:spacing w:before="0" w:line="240" w:lineRule="exact"/>
              <w:jc w:val="left"/>
              <w:rPr>
                <w:b/>
                <w:bCs/>
                <w:color w:val="808080" w:themeColor="background1" w:themeShade="80"/>
                <w:sz w:val="20"/>
                <w:lang w:val="en-GB"/>
              </w:rPr>
            </w:pPr>
            <w:r w:rsidRPr="00C9050E">
              <w:rPr>
                <w:b/>
                <w:bCs/>
                <w:sz w:val="20"/>
                <w:lang w:val="en-GB"/>
              </w:rPr>
              <w:t>Type of systemic treatment</w:t>
            </w:r>
            <w:r w:rsidRPr="00C9050E">
              <w:rPr>
                <w:sz w:val="20"/>
                <w:lang w:val="en-GB"/>
              </w:rPr>
              <w:t xml:space="preserve">    n (%)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Carboplatin + nab-paclitaxel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Cisplatin + pemetrexed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Carboplatin + pemetrexed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Cisplatin + paclitaxel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Carboplatin + paclitaxel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Cisplatin + gemcitabine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Carboplatin + gemcitabine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Vinorelbine monotherapy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Pembrolizumab monotherapy</w:t>
            </w:r>
          </w:p>
          <w:p w:rsidR="0011726B" w:rsidRPr="00C9050E" w:rsidRDefault="0011726B" w:rsidP="002D1637">
            <w:pPr>
              <w:spacing w:before="0" w:line="240" w:lineRule="exact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 xml:space="preserve">   Atezolizumab monotherapy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Combo immunotherapy + chemotherapy</w:t>
            </w:r>
            <w:r w:rsidRPr="00C9050E">
              <w:rPr>
                <w:sz w:val="20"/>
                <w:vertAlign w:val="superscript"/>
                <w:lang w:val="en-GB"/>
              </w:rPr>
              <w:t>4</w:t>
            </w:r>
          </w:p>
          <w:p w:rsidR="0011726B" w:rsidRPr="00C9050E" w:rsidRDefault="0011726B" w:rsidP="002D1637">
            <w:pPr>
              <w:spacing w:before="0" w:line="240" w:lineRule="exact"/>
              <w:ind w:left="159"/>
              <w:jc w:val="left"/>
              <w:rPr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>Combo immunotherapy + immunotherapy</w:t>
            </w:r>
            <w:r w:rsidRPr="00C9050E">
              <w:rPr>
                <w:sz w:val="20"/>
                <w:vertAlign w:val="superscript"/>
                <w:lang w:val="en-GB"/>
              </w:rPr>
              <w:t>5</w:t>
            </w:r>
          </w:p>
          <w:p w:rsidR="0011726B" w:rsidRPr="00C9050E" w:rsidRDefault="0011726B" w:rsidP="002D1637">
            <w:pPr>
              <w:spacing w:line="240" w:lineRule="exact"/>
              <w:jc w:val="left"/>
              <w:rPr>
                <w:b/>
                <w:bCs/>
                <w:sz w:val="20"/>
                <w:lang w:val="en-GB"/>
              </w:rPr>
            </w:pPr>
            <w:r w:rsidRPr="00C9050E">
              <w:rPr>
                <w:sz w:val="20"/>
                <w:lang w:val="en-GB"/>
              </w:rPr>
              <w:t xml:space="preserve">    Other</w:t>
            </w:r>
            <w:r w:rsidRPr="00C9050E">
              <w:rPr>
                <w:sz w:val="20"/>
                <w:vertAlign w:val="superscript"/>
                <w:lang w:val="en-GB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1726B" w:rsidRPr="00C9050E" w:rsidRDefault="0011726B" w:rsidP="002D1637">
            <w:pPr>
              <w:spacing w:before="0" w:line="240" w:lineRule="exact"/>
              <w:rPr>
                <w:b/>
                <w:bCs/>
                <w:color w:val="000000"/>
                <w:sz w:val="20"/>
              </w:rPr>
            </w:pPr>
          </w:p>
          <w:p w:rsidR="0011726B" w:rsidRPr="00C9050E" w:rsidRDefault="0011726B" w:rsidP="002D1637">
            <w:pPr>
              <w:spacing w:before="0" w:line="240" w:lineRule="exact"/>
              <w:rPr>
                <w:b/>
                <w:bCs/>
                <w:color w:val="000000"/>
                <w:sz w:val="20"/>
              </w:rPr>
            </w:pPr>
            <w:r w:rsidRPr="00C9050E">
              <w:rPr>
                <w:b/>
                <w:bCs/>
                <w:color w:val="000000"/>
                <w:sz w:val="20"/>
              </w:rPr>
              <w:t>265 (100.0%)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2 (0.8%)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38 (14.3%)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50 (18.9%)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1 (0.4%)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14 (5.3%)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8 (3.0%)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8 (3.0%)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1 (0.4%)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66 (24.9%)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2 (0.8%)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39 (14.7%)</w:t>
            </w:r>
          </w:p>
          <w:p w:rsidR="0011726B" w:rsidRPr="00C9050E" w:rsidRDefault="0011726B" w:rsidP="002D1637">
            <w:pPr>
              <w:spacing w:before="0" w:line="240" w:lineRule="exact"/>
              <w:rPr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6 (2.3%)</w:t>
            </w:r>
          </w:p>
          <w:p w:rsidR="0011726B" w:rsidRPr="00C9050E" w:rsidRDefault="0011726B" w:rsidP="002D1637">
            <w:pPr>
              <w:spacing w:line="240" w:lineRule="exact"/>
              <w:rPr>
                <w:b/>
                <w:bCs/>
                <w:color w:val="000000"/>
                <w:sz w:val="20"/>
              </w:rPr>
            </w:pPr>
            <w:r w:rsidRPr="00C9050E">
              <w:rPr>
                <w:color w:val="000000"/>
                <w:sz w:val="20"/>
              </w:rPr>
              <w:t>30 (11.3%)</w:t>
            </w:r>
          </w:p>
        </w:tc>
      </w:tr>
      <w:tr w:rsidR="0011726B" w:rsidRPr="002D1637" w:rsidTr="002D1637">
        <w:trPr>
          <w:trHeight w:val="243"/>
          <w:jc w:val="left"/>
        </w:trPr>
        <w:tc>
          <w:tcPr>
            <w:tcW w:w="11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26B" w:rsidRPr="00281932" w:rsidRDefault="0011726B" w:rsidP="002D1637">
            <w:pPr>
              <w:spacing w:before="0"/>
              <w:jc w:val="left"/>
              <w:rPr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color w:val="201F1E"/>
                <w:sz w:val="20"/>
                <w:szCs w:val="20"/>
                <w:highlight w:val="cyan"/>
                <w:lang w:val="en-US"/>
              </w:rPr>
              <w:t>Table A</w:t>
            </w:r>
            <w:r w:rsidRPr="002410C6">
              <w:rPr>
                <w:color w:val="201F1E"/>
                <w:sz w:val="20"/>
                <w:szCs w:val="20"/>
                <w:highlight w:val="cyan"/>
                <w:lang w:val="en-US"/>
              </w:rPr>
              <w:t xml:space="preserve"> summarizes all the treatment schemes used at the time of the study to show the different options and preferences in Spain:</w:t>
            </w:r>
          </w:p>
          <w:p w:rsidR="0011726B" w:rsidRPr="00C9050E" w:rsidRDefault="0011726B" w:rsidP="002D1637">
            <w:pPr>
              <w:spacing w:before="0"/>
              <w:jc w:val="left"/>
              <w:rPr>
                <w:i/>
                <w:sz w:val="16"/>
                <w:szCs w:val="16"/>
                <w:lang w:val="en-US"/>
              </w:rPr>
            </w:pPr>
            <w:r w:rsidRPr="00C9050E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C9050E">
              <w:rPr>
                <w:i/>
                <w:sz w:val="16"/>
                <w:szCs w:val="16"/>
                <w:lang w:val="en-US"/>
              </w:rPr>
              <w:t xml:space="preserve"> Difference in days between Date of systemic treatment start and Date of diagnosis (missing results, n = 5)</w:t>
            </w:r>
          </w:p>
          <w:p w:rsidR="0011726B" w:rsidRPr="00C9050E" w:rsidRDefault="0011726B" w:rsidP="002D1637">
            <w:pPr>
              <w:spacing w:before="0"/>
              <w:jc w:val="left"/>
              <w:rPr>
                <w:i/>
                <w:sz w:val="16"/>
                <w:szCs w:val="16"/>
                <w:lang w:val="en-US"/>
              </w:rPr>
            </w:pPr>
            <w:r w:rsidRPr="00C9050E">
              <w:rPr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C9050E">
              <w:rPr>
                <w:i/>
                <w:sz w:val="16"/>
                <w:szCs w:val="16"/>
                <w:lang w:val="en-US"/>
              </w:rPr>
              <w:t xml:space="preserve"> Treatment decision previous or after to PD-L1 testing results (missing results, n = 8)</w:t>
            </w:r>
          </w:p>
          <w:p w:rsidR="0011726B" w:rsidRPr="00C9050E" w:rsidRDefault="0011726B" w:rsidP="002D1637">
            <w:pPr>
              <w:spacing w:before="0"/>
              <w:jc w:val="left"/>
              <w:rPr>
                <w:i/>
                <w:sz w:val="16"/>
                <w:szCs w:val="16"/>
                <w:lang w:val="en-US"/>
              </w:rPr>
            </w:pPr>
            <w:r w:rsidRPr="00C9050E">
              <w:rPr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Pr="00C9050E">
              <w:rPr>
                <w:i/>
                <w:sz w:val="16"/>
                <w:szCs w:val="16"/>
                <w:lang w:val="en-US"/>
              </w:rPr>
              <w:t>Based on the following grouping:</w:t>
            </w:r>
            <w:r w:rsidRPr="00C9050E">
              <w:rPr>
                <w:i/>
                <w:sz w:val="16"/>
                <w:szCs w:val="16"/>
                <w:lang w:val="en-US"/>
              </w:rPr>
              <w:br/>
              <w:t>-</w:t>
            </w:r>
            <w:r w:rsidRPr="00C9050E">
              <w:rPr>
                <w:i/>
                <w:sz w:val="16"/>
                <w:szCs w:val="16"/>
                <w:lang w:val="en-US"/>
              </w:rPr>
              <w:tab/>
              <w:t xml:space="preserve">Platinum-doublets: cisplatin + nab-paclitaxel; carboplatin + nab-paclitaxel; cisplatin + pemetrexed; carboplatin + pemetrexed; cisplatin + paclitaxel; carboplatin + paclitaxel; cisplatin + gemcitabine; carboplatin + gemcitabine; carboplatin + vinorelbine; cisplatin + vinorelbine; carboplatin + etoposide; cisplatin + etoposide; carboplatin + docetaxel </w:t>
            </w:r>
            <w:r w:rsidRPr="00C9050E">
              <w:rPr>
                <w:i/>
                <w:sz w:val="16"/>
                <w:szCs w:val="16"/>
                <w:lang w:val="en-US"/>
              </w:rPr>
              <w:br/>
              <w:t>-</w:t>
            </w:r>
            <w:r w:rsidRPr="00C9050E">
              <w:rPr>
                <w:i/>
                <w:sz w:val="16"/>
                <w:szCs w:val="16"/>
                <w:lang w:val="en-US"/>
              </w:rPr>
              <w:tab/>
              <w:t>Chemotherapy (CT) monotherapy:  gemcitabine monotherapy; vinorelbine monotherapy; paclitaxel monotherapy; docetaxel; pemetrexed, carboplatin</w:t>
            </w:r>
            <w:r w:rsidRPr="00C9050E">
              <w:rPr>
                <w:i/>
                <w:sz w:val="16"/>
                <w:szCs w:val="16"/>
                <w:lang w:val="en-US"/>
              </w:rPr>
              <w:br/>
              <w:t>-</w:t>
            </w:r>
            <w:r w:rsidRPr="00C9050E">
              <w:rPr>
                <w:i/>
                <w:sz w:val="16"/>
                <w:szCs w:val="16"/>
                <w:lang w:val="en-US"/>
              </w:rPr>
              <w:tab/>
              <w:t>Platinum-doublet-Antiangiogenic: cisplatin + paclitaxel + bevacizumab; carboplatin +  paclitaxel + bevacizumab; cisplatin + gemcitabine + bevacizumab; carboplatin + gemcitabine + bevacizumab; carboplatin + pemetrexed + bevacizumab</w:t>
            </w:r>
            <w:r w:rsidRPr="00C9050E">
              <w:rPr>
                <w:i/>
                <w:sz w:val="16"/>
                <w:szCs w:val="16"/>
                <w:lang w:val="en-US"/>
              </w:rPr>
              <w:br/>
              <w:t>-</w:t>
            </w:r>
            <w:r w:rsidRPr="00C9050E">
              <w:rPr>
                <w:i/>
                <w:sz w:val="16"/>
                <w:szCs w:val="16"/>
                <w:lang w:val="en-US"/>
              </w:rPr>
              <w:tab/>
              <w:t>IO monotherapy: pembrolizumab monotherapy; nivolumab monotherapy; atezolizumab monotherapy; eftilagimod monotherapy</w:t>
            </w:r>
            <w:r w:rsidRPr="00C9050E">
              <w:rPr>
                <w:i/>
                <w:sz w:val="16"/>
                <w:szCs w:val="16"/>
                <w:lang w:val="en-US"/>
              </w:rPr>
              <w:br/>
              <w:t>-</w:t>
            </w:r>
            <w:r w:rsidRPr="00C9050E">
              <w:rPr>
                <w:i/>
                <w:sz w:val="16"/>
                <w:szCs w:val="16"/>
                <w:lang w:val="en-US"/>
              </w:rPr>
              <w:tab/>
              <w:t>Platinum-doublet-IO</w:t>
            </w:r>
            <w:r w:rsidRPr="00C9050E">
              <w:rPr>
                <w:i/>
                <w:sz w:val="16"/>
                <w:szCs w:val="16"/>
                <w:lang w:val="en-US"/>
              </w:rPr>
              <w:br/>
              <w:t>-</w:t>
            </w:r>
            <w:r w:rsidRPr="00C9050E">
              <w:rPr>
                <w:i/>
                <w:sz w:val="16"/>
                <w:szCs w:val="16"/>
                <w:lang w:val="en-US"/>
              </w:rPr>
              <w:tab/>
              <w:t>IO-IO</w:t>
            </w:r>
            <w:r w:rsidRPr="00C9050E">
              <w:rPr>
                <w:i/>
                <w:sz w:val="16"/>
                <w:szCs w:val="16"/>
                <w:lang w:val="en-US"/>
              </w:rPr>
              <w:br/>
              <w:t>-</w:t>
            </w:r>
            <w:r w:rsidRPr="00C9050E">
              <w:rPr>
                <w:i/>
                <w:sz w:val="16"/>
                <w:szCs w:val="16"/>
                <w:lang w:val="en-US"/>
              </w:rPr>
              <w:tab/>
              <w:t>Platinum-doublet-Antiangiogenic-IO: cisplatin + paclitaxel + bevacizumab + atezolizumab; carboplatin + paclitaxel + bevacizumab + atezolizumab</w:t>
            </w:r>
            <w:r w:rsidRPr="00C9050E">
              <w:rPr>
                <w:i/>
                <w:sz w:val="16"/>
                <w:szCs w:val="16"/>
                <w:lang w:val="en-US"/>
              </w:rPr>
              <w:br/>
              <w:t>-</w:t>
            </w:r>
            <w:r w:rsidRPr="00C9050E">
              <w:rPr>
                <w:i/>
                <w:sz w:val="16"/>
                <w:szCs w:val="16"/>
                <w:lang w:val="en-US"/>
              </w:rPr>
              <w:tab/>
              <w:t>IO-Antiangiogenic: atezolizumab + bevacizumab</w:t>
            </w:r>
          </w:p>
          <w:p w:rsidR="0011726B" w:rsidRPr="00C9050E" w:rsidRDefault="0011726B" w:rsidP="002D1637">
            <w:pPr>
              <w:spacing w:before="0"/>
              <w:jc w:val="left"/>
              <w:rPr>
                <w:i/>
                <w:sz w:val="16"/>
                <w:szCs w:val="16"/>
                <w:lang w:val="en-US"/>
              </w:rPr>
            </w:pPr>
            <w:r w:rsidRPr="00C9050E">
              <w:rPr>
                <w:i/>
                <w:sz w:val="16"/>
                <w:szCs w:val="16"/>
                <w:vertAlign w:val="superscript"/>
                <w:lang w:val="en-US"/>
              </w:rPr>
              <w:t>4</w:t>
            </w:r>
            <w:r w:rsidRPr="00C9050E">
              <w:rPr>
                <w:i/>
                <w:sz w:val="16"/>
                <w:szCs w:val="16"/>
                <w:lang w:val="en-US"/>
              </w:rPr>
              <w:t xml:space="preserve"> Combo immunotherapy + chemotherapy (n=39): n=24 Carboplatin + Pemetrexed + Pembrolizumab; n=11 Cisplatin + Pemetrexed + Pembrolizumab; n=1 Carboplatin + Paclitaxel + Pembrolizumab; n=1 Carboplatin + Pemetrexed + Atezolizumab; n=1 Cisplatin + Pemetrexed + Pembrolizumab + Canakinumab; n=1 Pemetrexed + Pembrolizumab</w:t>
            </w:r>
          </w:p>
          <w:p w:rsidR="0011726B" w:rsidRPr="00C9050E" w:rsidRDefault="0011726B" w:rsidP="002D1637">
            <w:pPr>
              <w:spacing w:before="0"/>
              <w:jc w:val="left"/>
              <w:rPr>
                <w:i/>
                <w:sz w:val="16"/>
                <w:szCs w:val="16"/>
                <w:lang w:val="en-US"/>
              </w:rPr>
            </w:pPr>
            <w:r w:rsidRPr="00C9050E">
              <w:rPr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Pr="00C9050E">
              <w:rPr>
                <w:i/>
                <w:sz w:val="16"/>
                <w:szCs w:val="16"/>
                <w:lang w:val="en-US"/>
              </w:rPr>
              <w:t xml:space="preserve"> Combo immunotherapy + immunotherapy (n=6): n=6 Pembrolizumab + Eftilagimod</w:t>
            </w:r>
          </w:p>
          <w:p w:rsidR="0011726B" w:rsidRPr="00C9050E" w:rsidRDefault="0011726B" w:rsidP="002D1637">
            <w:pPr>
              <w:spacing w:before="0"/>
              <w:jc w:val="left"/>
              <w:rPr>
                <w:i/>
                <w:sz w:val="16"/>
                <w:szCs w:val="16"/>
                <w:lang w:val="en-US"/>
              </w:rPr>
            </w:pPr>
            <w:r w:rsidRPr="00C9050E">
              <w:rPr>
                <w:i/>
                <w:sz w:val="16"/>
                <w:szCs w:val="16"/>
                <w:vertAlign w:val="superscript"/>
                <w:lang w:val="en-US"/>
              </w:rPr>
              <w:t>6</w:t>
            </w:r>
            <w:r w:rsidRPr="00C9050E">
              <w:rPr>
                <w:i/>
                <w:sz w:val="16"/>
                <w:szCs w:val="16"/>
                <w:lang w:val="en-US"/>
              </w:rPr>
              <w:t xml:space="preserve"> Other systemic treatments (n=30): n=14 Carboplatin + Vinorelbine; n=4 Cisplatin + Vinorelbine; n=1 Eftilagimod; n=2 Carboplatin; n=1 Carboplatin + Docetaxel; n=1 Carboplatin + Etoposide; n=1 Cisplatin + Etoposide; n=1 Docetaxel; n=1 INCMGA0012 (immunotherapy); n=1 NCMGA00012 (clinical trial immunotherapy); n=1 Pemetrexed; n=1 Carboplatin + Pemetrexed + Bevacizumab; n=1 Atezolizumab + Bevacizumab</w:t>
            </w:r>
          </w:p>
          <w:p w:rsidR="0011726B" w:rsidRPr="00C9050E" w:rsidRDefault="0011726B" w:rsidP="002D1637">
            <w:pPr>
              <w:spacing w:before="0"/>
              <w:ind w:left="454" w:hanging="454"/>
              <w:jc w:val="left"/>
              <w:rPr>
                <w:i/>
                <w:sz w:val="16"/>
                <w:szCs w:val="16"/>
                <w:lang w:val="en-US"/>
              </w:rPr>
            </w:pPr>
            <w:r w:rsidRPr="00C9050E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52CA8" w:rsidRDefault="00EB106C">
      <w:pPr>
        <w:rPr>
          <w:lang w:val="en-US"/>
        </w:rPr>
      </w:pPr>
    </w:p>
    <w:p w:rsidR="00281932" w:rsidRDefault="00281932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11726B" w:rsidRPr="00C9050E" w:rsidRDefault="0011726B" w:rsidP="0011726B">
      <w:pPr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C9050E">
        <w:rPr>
          <w:b/>
          <w:lang w:val="en-US"/>
        </w:rPr>
        <w:t>Table</w:t>
      </w:r>
      <w:r>
        <w:rPr>
          <w:b/>
          <w:lang w:val="en-US"/>
        </w:rPr>
        <w:t xml:space="preserve"> B</w:t>
      </w:r>
      <w:r w:rsidRPr="00C9050E">
        <w:rPr>
          <w:b/>
          <w:lang w:val="en-US"/>
        </w:rPr>
        <w:t>.</w:t>
      </w:r>
      <w:r w:rsidRPr="00C9050E">
        <w:rPr>
          <w:lang w:val="en-US"/>
        </w:rPr>
        <w:t xml:space="preserve"> PD-L1 expression by clinico-pathological characteristics.</w:t>
      </w:r>
    </w:p>
    <w:p w:rsidR="0011726B" w:rsidRPr="00C9050E" w:rsidRDefault="0011726B" w:rsidP="0011726B">
      <w:pPr>
        <w:rPr>
          <w:b/>
          <w:lang w:val="en-U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920"/>
        <w:gridCol w:w="1860"/>
        <w:gridCol w:w="1860"/>
        <w:gridCol w:w="1860"/>
        <w:gridCol w:w="1140"/>
      </w:tblGrid>
      <w:tr w:rsidR="0011726B" w:rsidRPr="00C9050E" w:rsidTr="002D1637">
        <w:trPr>
          <w:trHeight w:val="275"/>
        </w:trPr>
        <w:tc>
          <w:tcPr>
            <w:tcW w:w="292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  <w:lang w:val="en-US"/>
              </w:rPr>
            </w:pPr>
            <w:r w:rsidRPr="00C9050E">
              <w:rPr>
                <w:b/>
                <w:bCs/>
                <w:sz w:val="20"/>
                <w:szCs w:val="20"/>
                <w:lang w:val="en-US"/>
              </w:rPr>
              <w:br/>
              <w:t> 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>PD-L1</w:t>
            </w:r>
          </w:p>
          <w:p w:rsidR="0011726B" w:rsidRPr="00C9050E" w:rsidRDefault="0011726B" w:rsidP="002D1637">
            <w:pPr>
              <w:jc w:val="center"/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>&lt;1%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>PD-L1</w:t>
            </w:r>
          </w:p>
          <w:p w:rsidR="0011726B" w:rsidRPr="00C9050E" w:rsidRDefault="0011726B" w:rsidP="002D1637">
            <w:pPr>
              <w:jc w:val="center"/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>1-49%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>PD-L1</w:t>
            </w:r>
          </w:p>
          <w:p w:rsidR="0011726B" w:rsidRPr="00C9050E" w:rsidRDefault="0011726B" w:rsidP="002D1637">
            <w:pPr>
              <w:jc w:val="center"/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>≥50%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>p-</w:t>
            </w:r>
            <w:proofErr w:type="spellStart"/>
            <w:r w:rsidRPr="00C9050E">
              <w:rPr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11726B" w:rsidRPr="00C9050E" w:rsidTr="002D1637">
        <w:trPr>
          <w:trHeight w:val="203"/>
        </w:trPr>
        <w:tc>
          <w:tcPr>
            <w:tcW w:w="2920" w:type="dxa"/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C9050E">
              <w:rPr>
                <w:b/>
                <w:bCs/>
                <w:sz w:val="20"/>
                <w:szCs w:val="20"/>
              </w:rPr>
              <w:t>Patients</w:t>
            </w:r>
            <w:proofErr w:type="spellEnd"/>
            <w:r w:rsidRPr="00C9050E">
              <w:rPr>
                <w:b/>
                <w:bCs/>
                <w:sz w:val="20"/>
                <w:szCs w:val="20"/>
              </w:rPr>
              <w:t xml:space="preserve"> n=287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bCs/>
                <w:sz w:val="20"/>
                <w:szCs w:val="20"/>
              </w:rPr>
              <w:t>115 (40.1)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bCs/>
                <w:sz w:val="20"/>
                <w:szCs w:val="20"/>
              </w:rPr>
              <w:t>77 (26.8)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bCs/>
                <w:sz w:val="20"/>
                <w:szCs w:val="20"/>
              </w:rPr>
              <w:t>92 (32.1)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203"/>
        </w:trPr>
        <w:tc>
          <w:tcPr>
            <w:tcW w:w="9640" w:type="dxa"/>
            <w:gridSpan w:val="5"/>
            <w:shd w:val="clear" w:color="auto" w:fill="auto"/>
            <w:tcMar>
              <w:top w:w="57" w:type="dxa"/>
              <w:left w:w="113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50E">
              <w:rPr>
                <w:b/>
                <w:bCs/>
                <w:sz w:val="20"/>
                <w:szCs w:val="20"/>
              </w:rPr>
              <w:t>Gender</w:t>
            </w:r>
            <w:proofErr w:type="spellEnd"/>
            <w:r w:rsidRPr="00C9050E">
              <w:rPr>
                <w:b/>
                <w:bCs/>
                <w:sz w:val="20"/>
                <w:szCs w:val="20"/>
              </w:rPr>
              <w:t xml:space="preserve">, n=284 </w:t>
            </w:r>
            <w:r w:rsidRPr="00C9050E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</w:tr>
      <w:tr w:rsidR="0011726B" w:rsidRPr="00C9050E" w:rsidTr="002D1637">
        <w:trPr>
          <w:trHeight w:val="185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15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proofErr w:type="spellStart"/>
            <w:r w:rsidRPr="00C9050E">
              <w:rPr>
                <w:sz w:val="20"/>
                <w:szCs w:val="20"/>
              </w:rPr>
              <w:t>Male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89 (40.8)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61 (28)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68 (31.2)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0.7029</w:t>
            </w:r>
          </w:p>
        </w:tc>
      </w:tr>
      <w:tr w:rsidR="0011726B" w:rsidRPr="00C9050E" w:rsidTr="002D1637">
        <w:trPr>
          <w:trHeight w:val="185"/>
        </w:trPr>
        <w:tc>
          <w:tcPr>
            <w:tcW w:w="2920" w:type="dxa"/>
            <w:shd w:val="clear" w:color="auto" w:fill="auto"/>
            <w:tcMar>
              <w:top w:w="57" w:type="dxa"/>
              <w:left w:w="227" w:type="dxa"/>
              <w:bottom w:w="57" w:type="dxa"/>
              <w:right w:w="15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proofErr w:type="spellStart"/>
            <w:r w:rsidRPr="00C9050E">
              <w:rPr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26 (39.4)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16 (24.2)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24 (36.4)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176"/>
        </w:trPr>
        <w:tc>
          <w:tcPr>
            <w:tcW w:w="2920" w:type="dxa"/>
            <w:shd w:val="clear" w:color="auto" w:fill="auto"/>
            <w:tcMar>
              <w:top w:w="57" w:type="dxa"/>
              <w:left w:w="227" w:type="dxa"/>
              <w:bottom w:w="57" w:type="dxa"/>
              <w:right w:w="15" w:type="dxa"/>
            </w:tcMar>
            <w:vAlign w:val="center"/>
          </w:tcPr>
          <w:p w:rsidR="0011726B" w:rsidRPr="00C9050E" w:rsidRDefault="0011726B" w:rsidP="002D1637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C9050E">
              <w:rPr>
                <w:b/>
                <w:bCs/>
                <w:sz w:val="20"/>
                <w:szCs w:val="20"/>
              </w:rPr>
              <w:t>p-value</w:t>
            </w:r>
            <w:r w:rsidRPr="00C9050E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0.8352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0.5492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0.4319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248"/>
        </w:trPr>
        <w:tc>
          <w:tcPr>
            <w:tcW w:w="9640" w:type="dxa"/>
            <w:gridSpan w:val="5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50E">
              <w:rPr>
                <w:b/>
                <w:bCs/>
                <w:sz w:val="20"/>
                <w:szCs w:val="20"/>
              </w:rPr>
              <w:t>Age</w:t>
            </w:r>
            <w:proofErr w:type="spellEnd"/>
            <w:r w:rsidRPr="00C9050E">
              <w:rPr>
                <w:b/>
                <w:bCs/>
                <w:sz w:val="20"/>
                <w:szCs w:val="20"/>
              </w:rPr>
              <w:t xml:space="preserve">, n=284 </w:t>
            </w:r>
            <w:r w:rsidRPr="00C9050E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</w:tr>
      <w:tr w:rsidR="0011726B" w:rsidRPr="00C9050E" w:rsidTr="002D1637">
        <w:trPr>
          <w:trHeight w:val="158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≤75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93 (41.3)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63 (28)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69 (30.7)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0.4720</w:t>
            </w:r>
          </w:p>
        </w:tc>
      </w:tr>
      <w:tr w:rsidR="0011726B" w:rsidRPr="00C9050E" w:rsidTr="002D1637">
        <w:trPr>
          <w:trHeight w:val="140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&gt;75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22 (37.3)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14 (23.7)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23 (39)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397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C9050E">
              <w:rPr>
                <w:b/>
                <w:bCs/>
                <w:sz w:val="20"/>
                <w:szCs w:val="20"/>
              </w:rPr>
              <w:t>p-value</w:t>
            </w:r>
            <w:r w:rsidRPr="00C9050E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0.5734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0.5112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0.2244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248"/>
        </w:trPr>
        <w:tc>
          <w:tcPr>
            <w:tcW w:w="9640" w:type="dxa"/>
            <w:gridSpan w:val="5"/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 xml:space="preserve">Smoking </w:t>
            </w:r>
            <w:proofErr w:type="spellStart"/>
            <w:r w:rsidRPr="00C9050E">
              <w:rPr>
                <w:b/>
                <w:bCs/>
                <w:sz w:val="20"/>
                <w:szCs w:val="20"/>
              </w:rPr>
              <w:t>history</w:t>
            </w:r>
            <w:proofErr w:type="spellEnd"/>
            <w:r w:rsidRPr="00C9050E">
              <w:rPr>
                <w:b/>
                <w:bCs/>
                <w:sz w:val="20"/>
                <w:szCs w:val="20"/>
              </w:rPr>
              <w:t xml:space="preserve">, n=284 </w:t>
            </w:r>
            <w:r w:rsidRPr="00C9050E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</w:tr>
      <w:tr w:rsidR="0011726B" w:rsidRPr="00C9050E" w:rsidTr="002D1637">
        <w:trPr>
          <w:trHeight w:val="230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proofErr w:type="spellStart"/>
            <w:r w:rsidRPr="00C9050E">
              <w:rPr>
                <w:sz w:val="20"/>
                <w:szCs w:val="20"/>
              </w:rPr>
              <w:t>Never</w:t>
            </w:r>
            <w:proofErr w:type="spellEnd"/>
            <w:r w:rsidRPr="00C9050E">
              <w:rPr>
                <w:sz w:val="20"/>
                <w:szCs w:val="20"/>
              </w:rPr>
              <w:t xml:space="preserve"> </w:t>
            </w:r>
            <w:proofErr w:type="spellStart"/>
            <w:r w:rsidRPr="00C9050E">
              <w:rPr>
                <w:sz w:val="20"/>
                <w:szCs w:val="20"/>
              </w:rPr>
              <w:t>smoked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11 (39.3)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6 (21.4)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11 (39.3)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0.6989</w:t>
            </w:r>
          </w:p>
        </w:tc>
      </w:tr>
      <w:tr w:rsidR="0011726B" w:rsidRPr="00C9050E" w:rsidTr="002D1637">
        <w:trPr>
          <w:trHeight w:val="140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proofErr w:type="spellStart"/>
            <w:r w:rsidRPr="00C9050E">
              <w:rPr>
                <w:sz w:val="20"/>
                <w:szCs w:val="20"/>
              </w:rPr>
              <w:t>Smoker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48 (42.1)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34 (29.8)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32 (28.1)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131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144" w:type="dxa"/>
            </w:tcMar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proofErr w:type="spellStart"/>
            <w:r w:rsidRPr="00C9050E">
              <w:rPr>
                <w:sz w:val="20"/>
                <w:szCs w:val="20"/>
              </w:rPr>
              <w:t>Former</w:t>
            </w:r>
            <w:proofErr w:type="spellEnd"/>
            <w:r w:rsidRPr="00C9050E">
              <w:rPr>
                <w:sz w:val="20"/>
                <w:szCs w:val="20"/>
              </w:rPr>
              <w:t xml:space="preserve"> </w:t>
            </w:r>
            <w:proofErr w:type="spellStart"/>
            <w:r w:rsidRPr="00C9050E">
              <w:rPr>
                <w:sz w:val="20"/>
                <w:szCs w:val="20"/>
              </w:rPr>
              <w:t>smoker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54 (38.8)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36 (25.9)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49 (35.3)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203"/>
        </w:trPr>
        <w:tc>
          <w:tcPr>
            <w:tcW w:w="9640" w:type="dxa"/>
            <w:gridSpan w:val="5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 xml:space="preserve">ECOG, n=282 </w:t>
            </w:r>
            <w:r w:rsidRPr="00C9050E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</w:tr>
      <w:tr w:rsidR="0011726B" w:rsidRPr="00C9050E" w:rsidTr="002D1637">
        <w:trPr>
          <w:trHeight w:val="203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0-1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78 (37.3)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59 (28.2)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72 (34.4)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0.1196</w:t>
            </w:r>
          </w:p>
        </w:tc>
      </w:tr>
      <w:tr w:rsidR="0011726B" w:rsidRPr="00C9050E" w:rsidTr="002D1637">
        <w:trPr>
          <w:trHeight w:val="185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≥2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37 (50.7)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18 (24.7)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18 (24.7)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185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C9050E">
              <w:rPr>
                <w:b/>
                <w:bCs/>
                <w:sz w:val="20"/>
                <w:szCs w:val="20"/>
              </w:rPr>
              <w:t>p-value</w:t>
            </w:r>
            <w:r w:rsidRPr="00C9050E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0.0455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0.5552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0.1223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86"/>
        </w:trPr>
        <w:tc>
          <w:tcPr>
            <w:tcW w:w="9640" w:type="dxa"/>
            <w:gridSpan w:val="5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50E">
              <w:rPr>
                <w:b/>
                <w:bCs/>
                <w:sz w:val="20"/>
                <w:szCs w:val="20"/>
              </w:rPr>
              <w:t>Histology</w:t>
            </w:r>
            <w:proofErr w:type="spellEnd"/>
            <w:r w:rsidRPr="00C9050E">
              <w:rPr>
                <w:b/>
                <w:bCs/>
                <w:sz w:val="20"/>
                <w:szCs w:val="20"/>
              </w:rPr>
              <w:t xml:space="preserve">, n=284 </w:t>
            </w:r>
            <w:r w:rsidRPr="00C9050E"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</w:tr>
      <w:tr w:rsidR="0011726B" w:rsidRPr="00C9050E" w:rsidTr="002D1637">
        <w:trPr>
          <w:trHeight w:val="266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proofErr w:type="spellStart"/>
            <w:r w:rsidRPr="00C9050E">
              <w:rPr>
                <w:sz w:val="20"/>
                <w:szCs w:val="20"/>
              </w:rPr>
              <w:t>Squamous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16 (31.4)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21 (41.2)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14 (27.5)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b/>
                <w:sz w:val="20"/>
                <w:szCs w:val="20"/>
              </w:rPr>
            </w:pPr>
            <w:r w:rsidRPr="00C9050E">
              <w:rPr>
                <w:b/>
                <w:bCs/>
                <w:sz w:val="20"/>
                <w:szCs w:val="20"/>
              </w:rPr>
              <w:t>0.0433</w:t>
            </w:r>
          </w:p>
        </w:tc>
      </w:tr>
      <w:tr w:rsidR="0011726B" w:rsidRPr="00C9050E" w:rsidTr="002D1637">
        <w:trPr>
          <w:trHeight w:val="230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Non-</w:t>
            </w:r>
            <w:proofErr w:type="spellStart"/>
            <w:r w:rsidRPr="00C9050E">
              <w:rPr>
                <w:sz w:val="20"/>
                <w:szCs w:val="20"/>
              </w:rPr>
              <w:t>squamous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99 (42.5)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56 (24)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  <w:hideMark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78 (33.5)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  <w:tr w:rsidR="0011726B" w:rsidRPr="00C9050E" w:rsidTr="002D1637">
        <w:trPr>
          <w:trHeight w:val="131"/>
        </w:trPr>
        <w:tc>
          <w:tcPr>
            <w:tcW w:w="2920" w:type="dxa"/>
            <w:shd w:val="clear" w:color="auto" w:fill="auto"/>
            <w:tcMar>
              <w:top w:w="57" w:type="dxa"/>
              <w:left w:w="283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C9050E">
              <w:rPr>
                <w:b/>
                <w:bCs/>
                <w:sz w:val="20"/>
                <w:szCs w:val="20"/>
              </w:rPr>
              <w:t>p-value</w:t>
            </w:r>
            <w:r w:rsidRPr="00C9050E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0.1429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0.0126</w:t>
            </w:r>
          </w:p>
        </w:tc>
        <w:tc>
          <w:tcPr>
            <w:tcW w:w="1860" w:type="dxa"/>
            <w:shd w:val="clear" w:color="auto" w:fill="auto"/>
            <w:tcMar>
              <w:top w:w="57" w:type="dxa"/>
              <w:left w:w="64" w:type="dxa"/>
              <w:bottom w:w="57" w:type="dxa"/>
              <w:right w:w="64" w:type="dxa"/>
            </w:tcMar>
            <w:vAlign w:val="center"/>
          </w:tcPr>
          <w:p w:rsidR="0011726B" w:rsidRPr="00C9050E" w:rsidRDefault="0011726B" w:rsidP="002D1637">
            <w:pPr>
              <w:jc w:val="center"/>
              <w:rPr>
                <w:sz w:val="20"/>
                <w:szCs w:val="20"/>
              </w:rPr>
            </w:pPr>
            <w:r w:rsidRPr="00C9050E">
              <w:rPr>
                <w:sz w:val="20"/>
                <w:szCs w:val="20"/>
              </w:rPr>
              <w:t>0.4048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26B" w:rsidRPr="00C9050E" w:rsidRDefault="0011726B" w:rsidP="002D1637">
            <w:pPr>
              <w:rPr>
                <w:b/>
                <w:sz w:val="20"/>
                <w:szCs w:val="20"/>
              </w:rPr>
            </w:pPr>
          </w:p>
        </w:tc>
      </w:tr>
    </w:tbl>
    <w:p w:rsidR="0011726B" w:rsidRPr="00C9050E" w:rsidRDefault="0011726B" w:rsidP="0011726B">
      <w:pPr>
        <w:rPr>
          <w:bCs/>
          <w:lang w:val="fr-FR"/>
        </w:rPr>
      </w:pPr>
      <w:r w:rsidRPr="00C9050E">
        <w:rPr>
          <w:i/>
          <w:iCs/>
          <w:sz w:val="20"/>
          <w:vertAlign w:val="superscript"/>
          <w:lang w:val="en-GB"/>
        </w:rPr>
        <w:t>1</w:t>
      </w:r>
      <w:r w:rsidRPr="00C9050E">
        <w:rPr>
          <w:i/>
          <w:iCs/>
          <w:sz w:val="20"/>
          <w:lang w:val="en-GB"/>
        </w:rPr>
        <w:t xml:space="preserve"> </w:t>
      </w:r>
      <w:r w:rsidRPr="00C9050E">
        <w:rPr>
          <w:i/>
          <w:iCs/>
          <w:sz w:val="20"/>
          <w:szCs w:val="20"/>
        </w:rPr>
        <w:t xml:space="preserve">z-ratio, </w:t>
      </w:r>
      <w:proofErr w:type="spellStart"/>
      <w:r w:rsidRPr="00C9050E">
        <w:rPr>
          <w:i/>
          <w:iCs/>
          <w:sz w:val="20"/>
          <w:szCs w:val="20"/>
        </w:rPr>
        <w:t>two</w:t>
      </w:r>
      <w:proofErr w:type="spellEnd"/>
      <w:r w:rsidRPr="00C9050E">
        <w:rPr>
          <w:i/>
          <w:iCs/>
          <w:sz w:val="20"/>
          <w:szCs w:val="20"/>
        </w:rPr>
        <w:t xml:space="preserve"> </w:t>
      </w:r>
      <w:proofErr w:type="spellStart"/>
      <w:r w:rsidRPr="00C9050E">
        <w:rPr>
          <w:i/>
          <w:iCs/>
          <w:sz w:val="20"/>
          <w:szCs w:val="20"/>
        </w:rPr>
        <w:t>independent</w:t>
      </w:r>
      <w:proofErr w:type="spellEnd"/>
      <w:r w:rsidRPr="00C9050E">
        <w:rPr>
          <w:i/>
          <w:iCs/>
          <w:sz w:val="20"/>
          <w:szCs w:val="20"/>
        </w:rPr>
        <w:t xml:space="preserve"> </w:t>
      </w:r>
      <w:proofErr w:type="spellStart"/>
      <w:r w:rsidRPr="00C9050E">
        <w:rPr>
          <w:i/>
          <w:iCs/>
          <w:sz w:val="20"/>
          <w:szCs w:val="20"/>
        </w:rPr>
        <w:t>proportions</w:t>
      </w:r>
      <w:proofErr w:type="spellEnd"/>
    </w:p>
    <w:p w:rsidR="0011726B" w:rsidRPr="00C9050E" w:rsidRDefault="0011726B" w:rsidP="0011726B">
      <w:pPr>
        <w:rPr>
          <w:bCs/>
          <w:lang w:val="fr-FR"/>
        </w:rPr>
      </w:pPr>
    </w:p>
    <w:p w:rsidR="0011726B" w:rsidRPr="0011726B" w:rsidRDefault="0011726B" w:rsidP="0011726B">
      <w:pPr>
        <w:rPr>
          <w:lang w:val="en-US"/>
        </w:rPr>
      </w:pPr>
    </w:p>
    <w:sectPr w:rsidR="0011726B" w:rsidRPr="0011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B"/>
    <w:rsid w:val="0011726B"/>
    <w:rsid w:val="00281932"/>
    <w:rsid w:val="00CB5CCD"/>
    <w:rsid w:val="00E27284"/>
    <w:rsid w:val="00E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55908-7561-418F-8E85-D67E20C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ulaQN-ADKNOMA">
    <w:name w:val="Taula QN-ADKNOMA"/>
    <w:basedOn w:val="TableNormal"/>
    <w:rsid w:val="0011726B"/>
    <w:pPr>
      <w:spacing w:before="20" w:after="20" w:line="240" w:lineRule="auto"/>
      <w:jc w:val="center"/>
    </w:pPr>
    <w:rPr>
      <w:rFonts w:ascii="Arial" w:eastAsia="Times New Roman" w:hAnsi="Arial" w:cs="Times New Roman"/>
      <w:szCs w:val="20"/>
      <w:lang w:val="es-ES" w:eastAsia="es-ES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cPr>
      <w:vAlign w:val="center"/>
    </w:tcPr>
  </w:style>
  <w:style w:type="paragraph" w:customStyle="1" w:styleId="Paragraph">
    <w:name w:val="Paragraph"/>
    <w:link w:val="ParagraphChar"/>
    <w:rsid w:val="0011726B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11726B"/>
    <w:rPr>
      <w:rFonts w:ascii="Times New Roman" w:eastAsia="MS Gothic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Perea Del Pino,Sofia ( BIDMC - Medicine - Genetics )</dc:creator>
  <cp:keywords/>
  <dc:description/>
  <cp:lastModifiedBy>Perea Del Pino,Sofia ( BIDMC - Medicine - Genetics )</cp:lastModifiedBy>
  <cp:revision>2</cp:revision>
  <dcterms:created xsi:type="dcterms:W3CDTF">2021-10-12T14:38:00Z</dcterms:created>
  <dcterms:modified xsi:type="dcterms:W3CDTF">2021-10-12T14:38:00Z</dcterms:modified>
</cp:coreProperties>
</file>