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2C9F6" w14:textId="77777777" w:rsidR="00433DF3" w:rsidRPr="00854503" w:rsidRDefault="00433DF3" w:rsidP="00433DF3">
      <w:pPr>
        <w:spacing w:after="0"/>
        <w:rPr>
          <w:rFonts w:cstheme="minorHAnsi"/>
          <w:b/>
          <w:i/>
        </w:rPr>
      </w:pPr>
      <w:bookmarkStart w:id="0" w:name="_Toc14452996"/>
      <w:bookmarkStart w:id="1" w:name="_Toc1726930"/>
      <w:bookmarkStart w:id="2" w:name="_Toc1733342"/>
      <w:bookmarkStart w:id="3" w:name="_Toc1893982"/>
      <w:r w:rsidRPr="00854503">
        <w:rPr>
          <w:rFonts w:cstheme="minorHAnsi"/>
          <w:b/>
          <w:i/>
        </w:rPr>
        <w:t>APPENDICES</w:t>
      </w:r>
    </w:p>
    <w:p w14:paraId="24BAC400" w14:textId="77777777" w:rsidR="00433DF3" w:rsidRPr="00854503" w:rsidRDefault="00433DF3" w:rsidP="00433DF3">
      <w:pPr>
        <w:spacing w:after="0"/>
        <w:rPr>
          <w:rFonts w:cstheme="minorHAnsi"/>
          <w:b/>
          <w:i/>
        </w:rPr>
      </w:pPr>
    </w:p>
    <w:p w14:paraId="2BFE017A" w14:textId="77777777" w:rsidR="00433DF3" w:rsidRPr="00854503" w:rsidRDefault="00433DF3" w:rsidP="00433DF3">
      <w:pPr>
        <w:spacing w:after="0"/>
        <w:rPr>
          <w:rFonts w:cstheme="minorHAnsi"/>
          <w:i/>
        </w:rPr>
      </w:pPr>
      <w:r w:rsidRPr="00854503">
        <w:rPr>
          <w:rFonts w:cstheme="minorHAnsi"/>
          <w:b/>
          <w:i/>
        </w:rPr>
        <w:t>Appendix A. Parameter Values and Distributions</w:t>
      </w:r>
      <w:bookmarkEnd w:id="0"/>
    </w:p>
    <w:p w14:paraId="4A8B781E" w14:textId="77777777" w:rsidR="00433DF3" w:rsidRPr="00854503" w:rsidRDefault="00433DF3" w:rsidP="00433DF3">
      <w:pPr>
        <w:pStyle w:val="BodyText-IPR"/>
        <w:rPr>
          <w:rFonts w:asciiTheme="minorHAnsi" w:hAnsiTheme="minorHAnsi" w:cstheme="minorHAnsi"/>
        </w:rPr>
      </w:pPr>
      <w:r w:rsidRPr="00854503">
        <w:rPr>
          <w:rFonts w:asciiTheme="minorHAnsi" w:hAnsiTheme="minorHAnsi" w:cstheme="minorHAnsi"/>
        </w:rPr>
        <w:t>Table A-1 details the input values used in the model and respective sources. Ranges used for one-way sensitivity analysis and distributions used for probabilistic sensitivity analysis appear in table A-2.</w:t>
      </w:r>
    </w:p>
    <w:p w14:paraId="638BE5B9" w14:textId="77777777" w:rsidR="00433DF3" w:rsidRPr="00854503" w:rsidRDefault="00433DF3" w:rsidP="00433DF3">
      <w:pPr>
        <w:pStyle w:val="AppTableTitle-IPR"/>
        <w:rPr>
          <w:rFonts w:asciiTheme="minorHAnsi" w:hAnsiTheme="minorHAnsi" w:cstheme="minorHAnsi"/>
          <w:szCs w:val="22"/>
        </w:rPr>
      </w:pPr>
      <w:r w:rsidRPr="00854503">
        <w:rPr>
          <w:rFonts w:asciiTheme="minorHAnsi" w:hAnsiTheme="minorHAnsi" w:cstheme="minorHAnsi"/>
          <w:szCs w:val="22"/>
        </w:rPr>
        <w:t>Table A-1. Complete Set of Parameters Used in the Model</w:t>
      </w:r>
    </w:p>
    <w:tbl>
      <w:tblPr>
        <w:tblStyle w:val="InsightTable"/>
        <w:tblW w:w="4956" w:type="pct"/>
        <w:tblCellMar>
          <w:left w:w="58" w:type="dxa"/>
          <w:right w:w="58" w:type="dxa"/>
        </w:tblCellMar>
        <w:tblLook w:val="04A0" w:firstRow="1" w:lastRow="0" w:firstColumn="1" w:lastColumn="0" w:noHBand="0" w:noVBand="1"/>
      </w:tblPr>
      <w:tblGrid>
        <w:gridCol w:w="4000"/>
        <w:gridCol w:w="1548"/>
        <w:gridCol w:w="3730"/>
      </w:tblGrid>
      <w:tr w:rsidR="00433DF3" w:rsidRPr="00377D8B" w14:paraId="133438C2" w14:textId="77777777" w:rsidTr="00377D8B">
        <w:trPr>
          <w:cnfStyle w:val="100000000000" w:firstRow="1" w:lastRow="0" w:firstColumn="0" w:lastColumn="0" w:oddVBand="0" w:evenVBand="0" w:oddHBand="0" w:evenHBand="0" w:firstRowFirstColumn="0" w:firstRowLastColumn="0" w:lastRowFirstColumn="0" w:lastRowLastColumn="0"/>
          <w:trHeight w:val="232"/>
          <w:tblHeader/>
        </w:trPr>
        <w:tc>
          <w:tcPr>
            <w:tcW w:w="2156" w:type="pct"/>
            <w:tcBorders>
              <w:top w:val="single" w:sz="8" w:space="0" w:color="auto"/>
              <w:bottom w:val="single" w:sz="8" w:space="0" w:color="auto"/>
            </w:tcBorders>
          </w:tcPr>
          <w:p w14:paraId="08F8C759" w14:textId="77777777" w:rsidR="00433DF3" w:rsidRPr="00377D8B" w:rsidRDefault="00433DF3" w:rsidP="000679F5">
            <w:pPr>
              <w:spacing w:after="0" w:line="240" w:lineRule="auto"/>
              <w:contextualSpacing/>
              <w:rPr>
                <w:rFonts w:asciiTheme="minorHAnsi" w:eastAsia="Times New Roman" w:hAnsiTheme="minorHAnsi" w:cstheme="minorHAnsi"/>
                <w:b/>
                <w:sz w:val="22"/>
              </w:rPr>
            </w:pPr>
            <w:r w:rsidRPr="00377D8B">
              <w:rPr>
                <w:rFonts w:asciiTheme="minorHAnsi" w:eastAsia="Times New Roman" w:hAnsiTheme="minorHAnsi" w:cstheme="minorHAnsi"/>
                <w:b/>
                <w:sz w:val="22"/>
              </w:rPr>
              <w:t>Parameter Description</w:t>
            </w:r>
          </w:p>
        </w:tc>
        <w:tc>
          <w:tcPr>
            <w:tcW w:w="834" w:type="pct"/>
            <w:tcBorders>
              <w:top w:val="single" w:sz="8" w:space="0" w:color="auto"/>
              <w:bottom w:val="single" w:sz="8" w:space="0" w:color="auto"/>
            </w:tcBorders>
          </w:tcPr>
          <w:p w14:paraId="4B044C57" w14:textId="77777777" w:rsidR="00433DF3" w:rsidRPr="00377D8B" w:rsidRDefault="00433DF3" w:rsidP="000679F5">
            <w:pPr>
              <w:spacing w:after="0" w:line="240" w:lineRule="auto"/>
              <w:contextualSpacing/>
              <w:rPr>
                <w:rFonts w:asciiTheme="minorHAnsi" w:eastAsia="Times New Roman" w:hAnsiTheme="minorHAnsi" w:cstheme="minorHAnsi"/>
                <w:b/>
                <w:sz w:val="22"/>
              </w:rPr>
            </w:pPr>
            <w:r w:rsidRPr="00377D8B">
              <w:rPr>
                <w:rFonts w:asciiTheme="minorHAnsi" w:eastAsia="Times New Roman" w:hAnsiTheme="minorHAnsi" w:cstheme="minorHAnsi"/>
                <w:b/>
                <w:sz w:val="22"/>
              </w:rPr>
              <w:t>Value</w:t>
            </w:r>
          </w:p>
        </w:tc>
        <w:tc>
          <w:tcPr>
            <w:tcW w:w="2010" w:type="pct"/>
            <w:tcBorders>
              <w:top w:val="single" w:sz="8" w:space="0" w:color="auto"/>
              <w:bottom w:val="single" w:sz="8" w:space="0" w:color="auto"/>
            </w:tcBorders>
          </w:tcPr>
          <w:p w14:paraId="7EF1897B" w14:textId="77777777" w:rsidR="00433DF3" w:rsidRPr="00377D8B" w:rsidRDefault="00433DF3" w:rsidP="000679F5">
            <w:pPr>
              <w:spacing w:after="0" w:line="240" w:lineRule="auto"/>
              <w:contextualSpacing/>
              <w:rPr>
                <w:rFonts w:asciiTheme="minorHAnsi" w:eastAsia="Times New Roman" w:hAnsiTheme="minorHAnsi" w:cstheme="minorHAnsi"/>
                <w:b/>
                <w:sz w:val="22"/>
              </w:rPr>
            </w:pPr>
            <w:r w:rsidRPr="00377D8B">
              <w:rPr>
                <w:rFonts w:asciiTheme="minorHAnsi" w:eastAsia="Times New Roman" w:hAnsiTheme="minorHAnsi" w:cstheme="minorHAnsi"/>
                <w:b/>
                <w:sz w:val="22"/>
              </w:rPr>
              <w:t>Source</w:t>
            </w:r>
          </w:p>
        </w:tc>
      </w:tr>
      <w:tr w:rsidR="00433DF3" w:rsidRPr="00854503" w14:paraId="195DC400" w14:textId="77777777" w:rsidTr="00377D8B">
        <w:trPr>
          <w:trHeight w:val="288"/>
        </w:trPr>
        <w:tc>
          <w:tcPr>
            <w:tcW w:w="5000" w:type="pct"/>
            <w:gridSpan w:val="3"/>
            <w:tcBorders>
              <w:top w:val="single" w:sz="8" w:space="0" w:color="auto"/>
            </w:tcBorders>
            <w:shd w:val="clear" w:color="auto" w:fill="F2F2F2" w:themeFill="background1" w:themeFillShade="F2"/>
          </w:tcPr>
          <w:p w14:paraId="557234BB" w14:textId="77777777" w:rsidR="00433DF3" w:rsidRPr="00854503" w:rsidRDefault="00433DF3" w:rsidP="00F77A75">
            <w:pPr>
              <w:pStyle w:val="TableText-IPR"/>
              <w:rPr>
                <w:rFonts w:asciiTheme="minorHAnsi" w:hAnsiTheme="minorHAnsi" w:cstheme="minorHAnsi"/>
                <w:sz w:val="22"/>
                <w:szCs w:val="22"/>
              </w:rPr>
            </w:pPr>
            <w:r w:rsidRPr="00854503">
              <w:rPr>
                <w:rFonts w:asciiTheme="minorHAnsi" w:hAnsiTheme="minorHAnsi" w:cstheme="minorHAnsi"/>
                <w:b/>
                <w:sz w:val="22"/>
                <w:szCs w:val="22"/>
              </w:rPr>
              <w:t>Population Parameters</w:t>
            </w:r>
          </w:p>
        </w:tc>
      </w:tr>
      <w:tr w:rsidR="00433DF3" w:rsidRPr="00854503" w14:paraId="0F485375" w14:textId="77777777" w:rsidTr="00F77A75">
        <w:trPr>
          <w:trHeight w:val="288"/>
        </w:trPr>
        <w:tc>
          <w:tcPr>
            <w:tcW w:w="2156" w:type="pct"/>
          </w:tcPr>
          <w:p w14:paraId="3D34F437"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 xml:space="preserve">Pop 6 </w:t>
            </w:r>
            <w:proofErr w:type="spellStart"/>
            <w:r w:rsidRPr="000679F5">
              <w:rPr>
                <w:rFonts w:asciiTheme="minorHAnsi" w:hAnsiTheme="minorHAnsi" w:cstheme="minorHAnsi"/>
                <w:color w:val="000000"/>
                <w:sz w:val="22"/>
              </w:rPr>
              <w:t>mo</w:t>
            </w:r>
            <w:proofErr w:type="spellEnd"/>
            <w:r w:rsidRPr="000679F5">
              <w:rPr>
                <w:rFonts w:asciiTheme="minorHAnsi" w:hAnsiTheme="minorHAnsi" w:cstheme="minorHAnsi"/>
                <w:color w:val="000000"/>
                <w:sz w:val="22"/>
              </w:rPr>
              <w:t xml:space="preserve">–2 </w:t>
            </w:r>
            <w:proofErr w:type="spellStart"/>
            <w:r w:rsidRPr="000679F5">
              <w:rPr>
                <w:rFonts w:asciiTheme="minorHAnsi" w:hAnsiTheme="minorHAnsi" w:cstheme="minorHAnsi"/>
                <w:color w:val="000000"/>
                <w:sz w:val="22"/>
              </w:rPr>
              <w:t>yr</w:t>
            </w:r>
            <w:proofErr w:type="spellEnd"/>
          </w:p>
        </w:tc>
        <w:tc>
          <w:tcPr>
            <w:tcW w:w="834" w:type="pct"/>
          </w:tcPr>
          <w:p w14:paraId="3389AF02"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6,137,688</w:t>
            </w:r>
          </w:p>
        </w:tc>
        <w:tc>
          <w:tcPr>
            <w:tcW w:w="2010" w:type="pct"/>
          </w:tcPr>
          <w:p w14:paraId="440BAF13" w14:textId="7FAD9BBB" w:rsidR="00433DF3" w:rsidRPr="000679F5" w:rsidRDefault="00433DF3" w:rsidP="00F9740C">
            <w:pPr>
              <w:pStyle w:val="TableText-IPR"/>
              <w:ind w:left="10"/>
              <w:rPr>
                <w:rFonts w:asciiTheme="minorHAnsi" w:hAnsiTheme="minorHAnsi" w:cstheme="minorHAnsi"/>
                <w:sz w:val="22"/>
                <w:szCs w:val="22"/>
              </w:rPr>
            </w:pPr>
            <w:r w:rsidRPr="000679F5">
              <w:rPr>
                <w:rFonts w:asciiTheme="minorHAnsi" w:hAnsiTheme="minorHAnsi" w:cstheme="minorHAnsi"/>
                <w:sz w:val="22"/>
                <w:szCs w:val="22"/>
              </w:rPr>
              <w:t xml:space="preserve">U.S. Census Bureau (2018) </w:t>
            </w:r>
            <w:r w:rsidRPr="000679F5">
              <w:rPr>
                <w:rFonts w:asciiTheme="minorHAnsi" w:hAnsiTheme="minorHAnsi" w:cstheme="minorHAnsi"/>
                <w:sz w:val="22"/>
                <w:szCs w:val="22"/>
              </w:rPr>
              <w:fldChar w:fldCharType="begin" w:fldLock="1"/>
            </w:r>
            <w:r w:rsidRPr="000679F5">
              <w:rPr>
                <w:rFonts w:asciiTheme="minorHAnsi" w:hAnsiTheme="minorHAnsi" w:cstheme="minorHAnsi"/>
                <w:sz w:val="22"/>
                <w:szCs w:val="22"/>
              </w:rPr>
              <w:instrText>ADDIN CSL_CITATION {"citationItems":[{"id":"ITEM-1","itemData":{"URL":"https://www.census.gov/data/datasets/2017/demo/popproj/2017-popproj.html","accessed":{"date-parts":[["2020","4","9"]]},"author":[{"dropping-particle":"","family":"U.S. Census Bureau","given":"","non-dropping-particle":"","parse-names":false,"suffix":""}],"id":"ITEM-1","issued":{"date-parts":[["2018"]]},"title":"2017 National Population Projections Datasets: Projections for the United States, 2017 to 2060 [Datafile]","type":"webpage"},"uris":["http://www.mendeley.com/documents/?uuid=3dd5fa79-c529-41fd-a260-1be294c55fd1"]}],"mendeley":{"formattedCitation":"[9]","plainTextFormattedCitation":"[9]","previouslyFormattedCitation":"[9]"},"properties":{"noteIndex":0},"schema":"https://github.com/citation-style-language/schema/raw/master/csl-citation.json"}</w:instrText>
            </w:r>
            <w:r w:rsidRPr="000679F5">
              <w:rPr>
                <w:rFonts w:asciiTheme="minorHAnsi" w:hAnsiTheme="minorHAnsi" w:cstheme="minorHAnsi"/>
                <w:sz w:val="22"/>
                <w:szCs w:val="22"/>
              </w:rPr>
              <w:fldChar w:fldCharType="separate"/>
            </w:r>
            <w:r w:rsidR="005227D8">
              <w:rPr>
                <w:rFonts w:asciiTheme="minorHAnsi" w:hAnsiTheme="minorHAnsi" w:cstheme="minorHAnsi"/>
                <w:noProof/>
                <w:sz w:val="22"/>
                <w:szCs w:val="22"/>
              </w:rPr>
              <w:t>[1]</w:t>
            </w:r>
            <w:r w:rsidRPr="000679F5">
              <w:rPr>
                <w:rFonts w:asciiTheme="minorHAnsi" w:hAnsiTheme="minorHAnsi" w:cstheme="minorHAnsi"/>
                <w:sz w:val="22"/>
                <w:szCs w:val="22"/>
              </w:rPr>
              <w:fldChar w:fldCharType="end"/>
            </w:r>
          </w:p>
        </w:tc>
      </w:tr>
      <w:tr w:rsidR="00433DF3" w:rsidRPr="00854503" w14:paraId="521EA557" w14:textId="77777777" w:rsidTr="00F77A75">
        <w:trPr>
          <w:trHeight w:val="288"/>
        </w:trPr>
        <w:tc>
          <w:tcPr>
            <w:tcW w:w="2156" w:type="pct"/>
          </w:tcPr>
          <w:p w14:paraId="64B66407"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 xml:space="preserve">Pop 2 </w:t>
            </w:r>
            <w:proofErr w:type="spellStart"/>
            <w:r w:rsidRPr="000679F5">
              <w:rPr>
                <w:rFonts w:asciiTheme="minorHAnsi" w:hAnsiTheme="minorHAnsi" w:cstheme="minorHAnsi"/>
                <w:color w:val="000000"/>
                <w:sz w:val="22"/>
              </w:rPr>
              <w:t>yr</w:t>
            </w:r>
            <w:proofErr w:type="spellEnd"/>
            <w:r w:rsidRPr="000679F5">
              <w:rPr>
                <w:rFonts w:asciiTheme="minorHAnsi" w:hAnsiTheme="minorHAnsi" w:cstheme="minorHAnsi"/>
                <w:color w:val="000000"/>
                <w:sz w:val="22"/>
              </w:rPr>
              <w:t xml:space="preserve">–6 </w:t>
            </w:r>
            <w:proofErr w:type="spellStart"/>
            <w:r w:rsidRPr="000679F5">
              <w:rPr>
                <w:rFonts w:asciiTheme="minorHAnsi" w:hAnsiTheme="minorHAnsi" w:cstheme="minorHAnsi"/>
                <w:color w:val="000000"/>
                <w:sz w:val="22"/>
              </w:rPr>
              <w:t>yr</w:t>
            </w:r>
            <w:proofErr w:type="spellEnd"/>
          </w:p>
        </w:tc>
        <w:tc>
          <w:tcPr>
            <w:tcW w:w="834" w:type="pct"/>
          </w:tcPr>
          <w:p w14:paraId="4428470C"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16,142,086</w:t>
            </w:r>
          </w:p>
        </w:tc>
        <w:tc>
          <w:tcPr>
            <w:tcW w:w="2010" w:type="pct"/>
          </w:tcPr>
          <w:p w14:paraId="583A5D6B" w14:textId="218F1AF6" w:rsidR="00433DF3" w:rsidRPr="000679F5" w:rsidRDefault="00433DF3" w:rsidP="00F9740C">
            <w:pPr>
              <w:spacing w:after="0" w:line="240" w:lineRule="auto"/>
              <w:ind w:left="10"/>
              <w:rPr>
                <w:rFonts w:asciiTheme="minorHAnsi" w:hAnsiTheme="minorHAnsi" w:cstheme="minorHAnsi"/>
                <w:sz w:val="22"/>
              </w:rPr>
            </w:pPr>
            <w:r w:rsidRPr="000679F5">
              <w:rPr>
                <w:rFonts w:asciiTheme="minorHAnsi" w:hAnsiTheme="minorHAnsi" w:cstheme="minorHAnsi"/>
                <w:sz w:val="22"/>
              </w:rPr>
              <w:t xml:space="preserve">U.S. Census Bureau (2018) </w:t>
            </w:r>
            <w:r w:rsidRPr="000679F5">
              <w:rPr>
                <w:rFonts w:cstheme="minorHAnsi"/>
              </w:rPr>
              <w:fldChar w:fldCharType="begin" w:fldLock="1"/>
            </w:r>
            <w:r w:rsidRPr="000679F5">
              <w:rPr>
                <w:rFonts w:asciiTheme="minorHAnsi" w:hAnsiTheme="minorHAnsi" w:cstheme="minorHAnsi"/>
                <w:sz w:val="22"/>
              </w:rPr>
              <w:instrText>ADDIN CSL_CITATION {"citationItems":[{"id":"ITEM-1","itemData":{"URL":"https://www.census.gov/data/datasets/2017/demo/popproj/2017-popproj.html","accessed":{"date-parts":[["2020","4","9"]]},"author":[{"dropping-particle":"","family":"U.S. Census Bureau","given":"","non-dropping-particle":"","parse-names":false,"suffix":""}],"id":"ITEM-1","issued":{"date-parts":[["2018"]]},"title":"2017 National Population Projections Datasets: Projections for the United States, 2017 to 2060 [Datafile]","type":"webpage"},"uris":["http://www.mendeley.com/documents/?uuid=3dd5fa79-c529-41fd-a260-1be294c55fd1"]}],"mendeley":{"formattedCitation":"[9]","plainTextFormattedCitation":"[9]","previouslyFormattedCitation":"[9]"},"properties":{"noteIndex":0},"schema":"https://github.com/citation-style-language/schema/raw/master/csl-citation.json"}</w:instrText>
            </w:r>
            <w:r w:rsidRPr="000679F5">
              <w:rPr>
                <w:rFonts w:cstheme="minorHAnsi"/>
              </w:rPr>
              <w:fldChar w:fldCharType="separate"/>
            </w:r>
            <w:r w:rsidR="005227D8">
              <w:rPr>
                <w:rFonts w:asciiTheme="minorHAnsi" w:hAnsiTheme="minorHAnsi" w:cstheme="minorHAnsi"/>
                <w:noProof/>
                <w:sz w:val="22"/>
              </w:rPr>
              <w:t>[1]</w:t>
            </w:r>
            <w:r w:rsidRPr="000679F5">
              <w:rPr>
                <w:rFonts w:cstheme="minorHAnsi"/>
              </w:rPr>
              <w:fldChar w:fldCharType="end"/>
            </w:r>
          </w:p>
        </w:tc>
      </w:tr>
      <w:tr w:rsidR="00433DF3" w:rsidRPr="00854503" w14:paraId="30CD35EC" w14:textId="77777777" w:rsidTr="00F77A75">
        <w:trPr>
          <w:trHeight w:val="288"/>
        </w:trPr>
        <w:tc>
          <w:tcPr>
            <w:tcW w:w="2156" w:type="pct"/>
          </w:tcPr>
          <w:p w14:paraId="7CB9E1C7"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 xml:space="preserve">Pop 6 </w:t>
            </w:r>
            <w:proofErr w:type="spellStart"/>
            <w:r w:rsidRPr="000679F5">
              <w:rPr>
                <w:rFonts w:asciiTheme="minorHAnsi" w:hAnsiTheme="minorHAnsi" w:cstheme="minorHAnsi"/>
                <w:color w:val="000000"/>
                <w:sz w:val="22"/>
              </w:rPr>
              <w:t>yr</w:t>
            </w:r>
            <w:proofErr w:type="spellEnd"/>
            <w:r w:rsidRPr="000679F5">
              <w:rPr>
                <w:rFonts w:asciiTheme="minorHAnsi" w:hAnsiTheme="minorHAnsi" w:cstheme="minorHAnsi"/>
                <w:color w:val="000000"/>
                <w:sz w:val="22"/>
              </w:rPr>
              <w:t xml:space="preserve">–12 </w:t>
            </w:r>
            <w:proofErr w:type="spellStart"/>
            <w:r w:rsidRPr="000679F5">
              <w:rPr>
                <w:rFonts w:asciiTheme="minorHAnsi" w:hAnsiTheme="minorHAnsi" w:cstheme="minorHAnsi"/>
                <w:color w:val="000000"/>
                <w:sz w:val="22"/>
              </w:rPr>
              <w:t>yr</w:t>
            </w:r>
            <w:proofErr w:type="spellEnd"/>
          </w:p>
        </w:tc>
        <w:tc>
          <w:tcPr>
            <w:tcW w:w="834" w:type="pct"/>
          </w:tcPr>
          <w:p w14:paraId="02179412"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28,627,975</w:t>
            </w:r>
          </w:p>
        </w:tc>
        <w:tc>
          <w:tcPr>
            <w:tcW w:w="2010" w:type="pct"/>
          </w:tcPr>
          <w:p w14:paraId="5D9824EB" w14:textId="3FDC2A75" w:rsidR="00433DF3" w:rsidRPr="000679F5" w:rsidRDefault="00433DF3" w:rsidP="00F9740C">
            <w:pPr>
              <w:spacing w:after="0" w:line="240" w:lineRule="auto"/>
              <w:ind w:left="10"/>
              <w:rPr>
                <w:rFonts w:asciiTheme="minorHAnsi" w:hAnsiTheme="minorHAnsi" w:cstheme="minorHAnsi"/>
                <w:sz w:val="22"/>
              </w:rPr>
            </w:pPr>
            <w:r w:rsidRPr="000679F5">
              <w:rPr>
                <w:rFonts w:asciiTheme="minorHAnsi" w:hAnsiTheme="minorHAnsi" w:cstheme="minorHAnsi"/>
                <w:sz w:val="22"/>
              </w:rPr>
              <w:t xml:space="preserve">U.S. Census Bureau (2018) </w:t>
            </w:r>
            <w:r w:rsidRPr="000679F5">
              <w:rPr>
                <w:rFonts w:cstheme="minorHAnsi"/>
              </w:rPr>
              <w:fldChar w:fldCharType="begin" w:fldLock="1"/>
            </w:r>
            <w:r w:rsidRPr="000679F5">
              <w:rPr>
                <w:rFonts w:asciiTheme="minorHAnsi" w:hAnsiTheme="minorHAnsi" w:cstheme="minorHAnsi"/>
                <w:sz w:val="22"/>
              </w:rPr>
              <w:instrText>ADDIN CSL_CITATION {"citationItems":[{"id":"ITEM-1","itemData":{"URL":"https://www.census.gov/data/datasets/2017/demo/popproj/2017-popproj.html","accessed":{"date-parts":[["2020","4","9"]]},"author":[{"dropping-particle":"","family":"U.S. Census Bureau","given":"","non-dropping-particle":"","parse-names":false,"suffix":""}],"id":"ITEM-1","issued":{"date-parts":[["2018"]]},"title":"2017 National Population Projections Datasets: Projections for the United States, 2017 to 2060 [Datafile]","type":"webpage"},"uris":["http://www.mendeley.com/documents/?uuid=3dd5fa79-c529-41fd-a260-1be294c55fd1"]}],"mendeley":{"formattedCitation":"[9]","plainTextFormattedCitation":"[9]","previouslyFormattedCitation":"[9]"},"properties":{"noteIndex":0},"schema":"https://github.com/citation-style-language/schema/raw/master/csl-citation.json"}</w:instrText>
            </w:r>
            <w:r w:rsidRPr="000679F5">
              <w:rPr>
                <w:rFonts w:cstheme="minorHAnsi"/>
              </w:rPr>
              <w:fldChar w:fldCharType="separate"/>
            </w:r>
            <w:r w:rsidR="005227D8">
              <w:rPr>
                <w:rFonts w:asciiTheme="minorHAnsi" w:hAnsiTheme="minorHAnsi" w:cstheme="minorHAnsi"/>
                <w:noProof/>
                <w:sz w:val="22"/>
              </w:rPr>
              <w:t>[1]</w:t>
            </w:r>
            <w:r w:rsidRPr="000679F5">
              <w:rPr>
                <w:rFonts w:cstheme="minorHAnsi"/>
              </w:rPr>
              <w:fldChar w:fldCharType="end"/>
            </w:r>
          </w:p>
        </w:tc>
      </w:tr>
      <w:tr w:rsidR="00433DF3" w:rsidRPr="00854503" w14:paraId="0E283379" w14:textId="77777777" w:rsidTr="00F77A75">
        <w:trPr>
          <w:trHeight w:val="296"/>
        </w:trPr>
        <w:tc>
          <w:tcPr>
            <w:tcW w:w="2156" w:type="pct"/>
          </w:tcPr>
          <w:p w14:paraId="4B9A7474"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 xml:space="preserve">Pop 6 </w:t>
            </w:r>
            <w:proofErr w:type="spellStart"/>
            <w:r w:rsidRPr="000679F5">
              <w:rPr>
                <w:rFonts w:asciiTheme="minorHAnsi" w:hAnsiTheme="minorHAnsi" w:cstheme="minorHAnsi"/>
                <w:color w:val="000000"/>
                <w:sz w:val="22"/>
              </w:rPr>
              <w:t>mo</w:t>
            </w:r>
            <w:proofErr w:type="spellEnd"/>
            <w:r w:rsidRPr="000679F5">
              <w:rPr>
                <w:rFonts w:asciiTheme="minorHAnsi" w:hAnsiTheme="minorHAnsi" w:cstheme="minorHAnsi"/>
                <w:color w:val="000000"/>
                <w:sz w:val="22"/>
              </w:rPr>
              <w:t xml:space="preserve">–12 </w:t>
            </w:r>
            <w:proofErr w:type="spellStart"/>
            <w:r w:rsidRPr="000679F5">
              <w:rPr>
                <w:rFonts w:asciiTheme="minorHAnsi" w:hAnsiTheme="minorHAnsi" w:cstheme="minorHAnsi"/>
                <w:color w:val="000000"/>
                <w:sz w:val="22"/>
              </w:rPr>
              <w:t>yr</w:t>
            </w:r>
            <w:proofErr w:type="spellEnd"/>
          </w:p>
        </w:tc>
        <w:tc>
          <w:tcPr>
            <w:tcW w:w="834" w:type="pct"/>
          </w:tcPr>
          <w:p w14:paraId="7F72582F"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50,907,749</w:t>
            </w:r>
          </w:p>
        </w:tc>
        <w:tc>
          <w:tcPr>
            <w:tcW w:w="2010" w:type="pct"/>
          </w:tcPr>
          <w:p w14:paraId="60ADFF4E" w14:textId="7AA8CB7E" w:rsidR="00433DF3" w:rsidRPr="000679F5" w:rsidRDefault="00433DF3" w:rsidP="00F9740C">
            <w:pPr>
              <w:spacing w:after="0" w:line="240" w:lineRule="auto"/>
              <w:ind w:left="10"/>
              <w:rPr>
                <w:rFonts w:asciiTheme="minorHAnsi" w:hAnsiTheme="minorHAnsi" w:cstheme="minorHAnsi"/>
                <w:sz w:val="22"/>
              </w:rPr>
            </w:pPr>
            <w:r w:rsidRPr="000679F5">
              <w:rPr>
                <w:rFonts w:asciiTheme="minorHAnsi" w:hAnsiTheme="minorHAnsi" w:cstheme="minorHAnsi"/>
                <w:sz w:val="22"/>
              </w:rPr>
              <w:t xml:space="preserve">U.S. Census Bureau (2018) </w:t>
            </w:r>
            <w:r w:rsidRPr="000679F5">
              <w:rPr>
                <w:rFonts w:cstheme="minorHAnsi"/>
              </w:rPr>
              <w:fldChar w:fldCharType="begin" w:fldLock="1"/>
            </w:r>
            <w:r w:rsidRPr="000679F5">
              <w:rPr>
                <w:rFonts w:asciiTheme="minorHAnsi" w:hAnsiTheme="minorHAnsi" w:cstheme="minorHAnsi"/>
                <w:sz w:val="22"/>
              </w:rPr>
              <w:instrText>ADDIN CSL_CITATION {"citationItems":[{"id":"ITEM-1","itemData":{"URL":"https://www.census.gov/data/datasets/2017/demo/popproj/2017-popproj.html","accessed":{"date-parts":[["2020","4","9"]]},"author":[{"dropping-particle":"","family":"U.S. Census Bureau","given":"","non-dropping-particle":"","parse-names":false,"suffix":""}],"id":"ITEM-1","issued":{"date-parts":[["2018"]]},"title":"2017 National Population Projections Datasets: Projections for the United States, 2017 to 2060 [Datafile]","type":"webpage"},"uris":["http://www.mendeley.com/documents/?uuid=3dd5fa79-c529-41fd-a260-1be294c55fd1"]}],"mendeley":{"formattedCitation":"[9]","plainTextFormattedCitation":"[9]","previouslyFormattedCitation":"[9]"},"properties":{"noteIndex":0},"schema":"https://github.com/citation-style-language/schema/raw/master/csl-citation.json"}</w:instrText>
            </w:r>
            <w:r w:rsidRPr="000679F5">
              <w:rPr>
                <w:rFonts w:cstheme="minorHAnsi"/>
              </w:rPr>
              <w:fldChar w:fldCharType="separate"/>
            </w:r>
            <w:r w:rsidR="005227D8">
              <w:rPr>
                <w:rFonts w:asciiTheme="minorHAnsi" w:hAnsiTheme="minorHAnsi" w:cstheme="minorHAnsi"/>
                <w:noProof/>
                <w:sz w:val="22"/>
              </w:rPr>
              <w:t>[1]</w:t>
            </w:r>
            <w:r w:rsidRPr="000679F5">
              <w:rPr>
                <w:rFonts w:cstheme="minorHAnsi"/>
              </w:rPr>
              <w:fldChar w:fldCharType="end"/>
            </w:r>
          </w:p>
        </w:tc>
      </w:tr>
      <w:tr w:rsidR="00433DF3" w:rsidRPr="00854503" w14:paraId="7A34F66E" w14:textId="77777777" w:rsidTr="00F77A75">
        <w:trPr>
          <w:trHeight w:val="288"/>
        </w:trPr>
        <w:tc>
          <w:tcPr>
            <w:tcW w:w="2156" w:type="pct"/>
          </w:tcPr>
          <w:p w14:paraId="374B5E28"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 xml:space="preserve">Pop 3 </w:t>
            </w:r>
            <w:proofErr w:type="spellStart"/>
            <w:r w:rsidRPr="000679F5">
              <w:rPr>
                <w:rFonts w:asciiTheme="minorHAnsi" w:hAnsiTheme="minorHAnsi" w:cstheme="minorHAnsi"/>
                <w:color w:val="000000"/>
                <w:sz w:val="22"/>
              </w:rPr>
              <w:t>yr</w:t>
            </w:r>
            <w:proofErr w:type="spellEnd"/>
            <w:r w:rsidRPr="000679F5">
              <w:rPr>
                <w:rFonts w:asciiTheme="minorHAnsi" w:hAnsiTheme="minorHAnsi" w:cstheme="minorHAnsi"/>
                <w:color w:val="000000"/>
                <w:sz w:val="22"/>
              </w:rPr>
              <w:t xml:space="preserve">–12 </w:t>
            </w:r>
            <w:proofErr w:type="spellStart"/>
            <w:r w:rsidRPr="000679F5">
              <w:rPr>
                <w:rFonts w:asciiTheme="minorHAnsi" w:hAnsiTheme="minorHAnsi" w:cstheme="minorHAnsi"/>
                <w:color w:val="000000"/>
                <w:sz w:val="22"/>
              </w:rPr>
              <w:t>yr</w:t>
            </w:r>
            <w:proofErr w:type="spellEnd"/>
          </w:p>
        </w:tc>
        <w:tc>
          <w:tcPr>
            <w:tcW w:w="834" w:type="pct"/>
          </w:tcPr>
          <w:p w14:paraId="6167FD05"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40,687,830</w:t>
            </w:r>
          </w:p>
        </w:tc>
        <w:tc>
          <w:tcPr>
            <w:tcW w:w="2010" w:type="pct"/>
          </w:tcPr>
          <w:p w14:paraId="6D629682" w14:textId="13681F00" w:rsidR="00433DF3" w:rsidRPr="000679F5" w:rsidRDefault="00433DF3" w:rsidP="00F9740C">
            <w:pPr>
              <w:spacing w:after="0" w:line="240" w:lineRule="auto"/>
              <w:ind w:left="10"/>
              <w:rPr>
                <w:rFonts w:asciiTheme="minorHAnsi" w:hAnsiTheme="minorHAnsi" w:cstheme="minorHAnsi"/>
                <w:sz w:val="22"/>
              </w:rPr>
            </w:pPr>
            <w:r w:rsidRPr="000679F5">
              <w:rPr>
                <w:rFonts w:asciiTheme="minorHAnsi" w:hAnsiTheme="minorHAnsi" w:cstheme="minorHAnsi"/>
                <w:sz w:val="22"/>
              </w:rPr>
              <w:t xml:space="preserve">U.S. Census Bureau (2018) </w:t>
            </w:r>
            <w:r w:rsidRPr="000679F5">
              <w:rPr>
                <w:rFonts w:cstheme="minorHAnsi"/>
              </w:rPr>
              <w:fldChar w:fldCharType="begin" w:fldLock="1"/>
            </w:r>
            <w:r w:rsidRPr="000679F5">
              <w:rPr>
                <w:rFonts w:asciiTheme="minorHAnsi" w:hAnsiTheme="minorHAnsi" w:cstheme="minorHAnsi"/>
                <w:sz w:val="22"/>
              </w:rPr>
              <w:instrText>ADDIN CSL_CITATION {"citationItems":[{"id":"ITEM-1","itemData":{"URL":"https://www.census.gov/data/datasets/2017/demo/popproj/2017-popproj.html","accessed":{"date-parts":[["2020","4","9"]]},"author":[{"dropping-particle":"","family":"U.S. Census Bureau","given":"","non-dropping-particle":"","parse-names":false,"suffix":""}],"id":"ITEM-1","issued":{"date-parts":[["2018"]]},"title":"2017 National Population Projections Datasets: Projections for the United States, 2017 to 2060 [Datafile]","type":"webpage"},"uris":["http://www.mendeley.com/documents/?uuid=3dd5fa79-c529-41fd-a260-1be294c55fd1"]}],"mendeley":{"formattedCitation":"[9]","plainTextFormattedCitation":"[9]","previouslyFormattedCitation":"[9]"},"properties":{"noteIndex":0},"schema":"https://github.com/citation-style-language/schema/raw/master/csl-citation.json"}</w:instrText>
            </w:r>
            <w:r w:rsidRPr="000679F5">
              <w:rPr>
                <w:rFonts w:cstheme="minorHAnsi"/>
              </w:rPr>
              <w:fldChar w:fldCharType="separate"/>
            </w:r>
            <w:r w:rsidR="005227D8">
              <w:rPr>
                <w:rFonts w:asciiTheme="minorHAnsi" w:hAnsiTheme="minorHAnsi" w:cstheme="minorHAnsi"/>
                <w:noProof/>
                <w:sz w:val="22"/>
              </w:rPr>
              <w:t>[1]</w:t>
            </w:r>
            <w:r w:rsidRPr="000679F5">
              <w:rPr>
                <w:rFonts w:cstheme="minorHAnsi"/>
              </w:rPr>
              <w:fldChar w:fldCharType="end"/>
            </w:r>
          </w:p>
        </w:tc>
      </w:tr>
      <w:tr w:rsidR="00433DF3" w:rsidRPr="00854503" w14:paraId="532046D6" w14:textId="77777777" w:rsidTr="00F77A75">
        <w:trPr>
          <w:trHeight w:val="288"/>
        </w:trPr>
        <w:tc>
          <w:tcPr>
            <w:tcW w:w="2156" w:type="pct"/>
          </w:tcPr>
          <w:p w14:paraId="5CDEC7E1"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 xml:space="preserve">OM Incidence 6 </w:t>
            </w:r>
            <w:proofErr w:type="spellStart"/>
            <w:r w:rsidRPr="000679F5">
              <w:rPr>
                <w:rFonts w:asciiTheme="minorHAnsi" w:hAnsiTheme="minorHAnsi" w:cstheme="minorHAnsi"/>
                <w:color w:val="000000"/>
                <w:sz w:val="22"/>
              </w:rPr>
              <w:t>mo</w:t>
            </w:r>
            <w:proofErr w:type="spellEnd"/>
            <w:r w:rsidRPr="000679F5">
              <w:rPr>
                <w:rFonts w:asciiTheme="minorHAnsi" w:hAnsiTheme="minorHAnsi" w:cstheme="minorHAnsi"/>
                <w:color w:val="000000"/>
                <w:sz w:val="22"/>
              </w:rPr>
              <w:t xml:space="preserve">–2 </w:t>
            </w:r>
            <w:proofErr w:type="spellStart"/>
            <w:r w:rsidRPr="000679F5">
              <w:rPr>
                <w:rFonts w:asciiTheme="minorHAnsi" w:hAnsiTheme="minorHAnsi" w:cstheme="minorHAnsi"/>
                <w:color w:val="000000"/>
                <w:sz w:val="22"/>
              </w:rPr>
              <w:t>yr</w:t>
            </w:r>
            <w:proofErr w:type="spellEnd"/>
          </w:p>
        </w:tc>
        <w:tc>
          <w:tcPr>
            <w:tcW w:w="834" w:type="pct"/>
          </w:tcPr>
          <w:p w14:paraId="69A6EE8F"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50.10</w:t>
            </w:r>
          </w:p>
        </w:tc>
        <w:tc>
          <w:tcPr>
            <w:tcW w:w="2010" w:type="pct"/>
          </w:tcPr>
          <w:p w14:paraId="441ACC66" w14:textId="3E1446E5" w:rsidR="00433DF3" w:rsidRPr="000679F5" w:rsidRDefault="00433DF3" w:rsidP="00F9740C">
            <w:pPr>
              <w:spacing w:after="0" w:line="240" w:lineRule="auto"/>
              <w:ind w:left="10"/>
              <w:rPr>
                <w:rFonts w:asciiTheme="minorHAnsi" w:hAnsiTheme="minorHAnsi" w:cstheme="minorHAnsi"/>
                <w:color w:val="000000"/>
                <w:sz w:val="22"/>
              </w:rPr>
            </w:pPr>
            <w:r w:rsidRPr="000679F5">
              <w:rPr>
                <w:rFonts w:asciiTheme="minorHAnsi" w:hAnsiTheme="minorHAnsi" w:cstheme="minorHAnsi"/>
                <w:color w:val="000000"/>
                <w:sz w:val="22"/>
              </w:rPr>
              <w:t xml:space="preserve">Kawai et al. (2018) </w:t>
            </w:r>
            <w:r w:rsidRPr="000679F5">
              <w:rPr>
                <w:rFonts w:cstheme="minorHAnsi"/>
                <w:color w:val="000000"/>
              </w:rPr>
              <w:fldChar w:fldCharType="begin" w:fldLock="1"/>
            </w:r>
            <w:r w:rsidRPr="000679F5">
              <w:rPr>
                <w:rFonts w:asciiTheme="minorHAnsi" w:hAnsiTheme="minorHAnsi" w:cstheme="minorHAnsi"/>
                <w:color w:val="000000"/>
                <w:sz w:val="22"/>
              </w:rPr>
              <w:instrText>ADDIN CSL_CITATION {"citationItems":[{"id":"ITEM-1","itemData":{"DOI":"10.1016/j.jpeds.2018.05.047","ISSN":"10976833","abstract":"Objective: To examine the long-term trend of otitis media (OM)-associated ambulatory visits from 1997 to 2014 and to evaluate the impact of 7-valent and 13-valent pneumococcal conjugate vaccines (PCV7 and PCV13) on OM ambulatory visits. Study design: We examined OM-associated ambulatory visits in children, using the National Ambulatory Medical Care Survey and National Hospital Ambulatory Medical Care Survey. Results: A total of 24 148 OM-related visits were identified from 363 240 ambulatory visits. OM visits accounted for 9.5% of all ambulatory visits in 1997-1999, 7.1% in 2002-2009, and 5.5% in 2012-2014. Between the pre-PCV7 and the post-PCV13 period, annual physician's office visits for OM declined from 826 to 387 visits per 1000 children among children younger than 2 years of age. Compared with the pre-PCV7 period, office visit rates for OM significantly declined by 51% (95% CI 42%-58%) among children younger than 2 years of age and by 37% (95% CI 23%-48%) among children 2-4 years of age during the post-PCV13 period. Among children younger than 2 years of age, emergency department visits for OM declined by 47% (95% CI 36%-55%) during the post-PCV13 period, and hospital outpatient visits declined by 30% (95% CI 8%-48%) during the PCV13-transition period. OM-related visits declined across sex, race/ethnicity, health insurance status, and geographic region. Conclusion: Our nationwide study shows that ambulatory visits for OM have declined following the introduction of PCV7 and PCV13. Future research on the evolving microbiology of OM and continued monitoring of the epidemiology of pneumococcal disease are needed.","author":[{"dropping-particle":"","family":"Kawai","given":"Kosuke","non-dropping-particle":"","parse-names":false,"suffix":""},{"dropping-particle":"","family":"Adil","given":"Eelam A.","non-dropping-particle":"","parse-names":false,"suffix":""},{"dropping-particle":"","family":"Barrett","given":"Devon","non-dropping-particle":"","parse-names":false,"suffix":""},{"dropping-particle":"","family":"Manganella","given":"Juliana","non-dropping-particle":"","parse-names":false,"suffix":""},{"dropping-particle":"","family":"Kenna","given":"Margaret A.","non-dropping-particle":"","parse-names":false,"suffix":""}],"container-title":"Journal of Pediatrics","id":"ITEM-1","issued":{"date-parts":[["2018","10","1"]]},"page":"122-127.e1","publisher":"Mosby Inc.","title":"Ambulatory Visits for Otitis Media before and after the Introduction of Pneumococcal Conjugate Vaccination","type":"article-journal","volume":"201"},"uris":["http://www.mendeley.com/documents/?uuid=8d29b622-9075-340b-820b-cb11d02cb2aa"]}],"mendeley":{"formattedCitation":"[15]","plainTextFormattedCitation":"[15]","previouslyFormattedCitation":"[15]"},"properties":{"noteIndex":0},"schema":"https://github.com/citation-style-language/schema/raw/master/csl-citation.json"}</w:instrText>
            </w:r>
            <w:r w:rsidRPr="000679F5">
              <w:rPr>
                <w:rFonts w:cstheme="minorHAnsi"/>
                <w:color w:val="000000"/>
              </w:rPr>
              <w:fldChar w:fldCharType="separate"/>
            </w:r>
            <w:r w:rsidR="005227D8">
              <w:rPr>
                <w:rFonts w:asciiTheme="minorHAnsi" w:hAnsiTheme="minorHAnsi" w:cstheme="minorHAnsi"/>
                <w:noProof/>
                <w:color w:val="000000"/>
                <w:sz w:val="22"/>
              </w:rPr>
              <w:t>[2]</w:t>
            </w:r>
            <w:r w:rsidRPr="000679F5">
              <w:rPr>
                <w:rFonts w:cstheme="minorHAnsi"/>
                <w:color w:val="000000"/>
              </w:rPr>
              <w:fldChar w:fldCharType="end"/>
            </w:r>
          </w:p>
        </w:tc>
      </w:tr>
      <w:tr w:rsidR="00433DF3" w:rsidRPr="00854503" w14:paraId="7CAEF7EA" w14:textId="77777777" w:rsidTr="00F77A75">
        <w:trPr>
          <w:trHeight w:val="288"/>
        </w:trPr>
        <w:tc>
          <w:tcPr>
            <w:tcW w:w="2156" w:type="pct"/>
          </w:tcPr>
          <w:p w14:paraId="184A5B28"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 xml:space="preserve">OM Incidence 2 </w:t>
            </w:r>
            <w:proofErr w:type="spellStart"/>
            <w:r w:rsidRPr="000679F5">
              <w:rPr>
                <w:rFonts w:asciiTheme="minorHAnsi" w:hAnsiTheme="minorHAnsi" w:cstheme="minorHAnsi"/>
                <w:color w:val="000000"/>
                <w:sz w:val="22"/>
              </w:rPr>
              <w:t>yr</w:t>
            </w:r>
            <w:proofErr w:type="spellEnd"/>
            <w:r w:rsidRPr="000679F5">
              <w:rPr>
                <w:rFonts w:asciiTheme="minorHAnsi" w:hAnsiTheme="minorHAnsi" w:cstheme="minorHAnsi"/>
                <w:color w:val="000000"/>
                <w:sz w:val="22"/>
              </w:rPr>
              <w:t xml:space="preserve">–6 </w:t>
            </w:r>
            <w:proofErr w:type="spellStart"/>
            <w:r w:rsidRPr="000679F5">
              <w:rPr>
                <w:rFonts w:asciiTheme="minorHAnsi" w:hAnsiTheme="minorHAnsi" w:cstheme="minorHAnsi"/>
                <w:color w:val="000000"/>
                <w:sz w:val="22"/>
              </w:rPr>
              <w:t>yr</w:t>
            </w:r>
            <w:proofErr w:type="spellEnd"/>
          </w:p>
        </w:tc>
        <w:tc>
          <w:tcPr>
            <w:tcW w:w="834" w:type="pct"/>
          </w:tcPr>
          <w:p w14:paraId="7797D815"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19.20</w:t>
            </w:r>
          </w:p>
        </w:tc>
        <w:tc>
          <w:tcPr>
            <w:tcW w:w="2010" w:type="pct"/>
          </w:tcPr>
          <w:p w14:paraId="17499392" w14:textId="6A0386E5" w:rsidR="00433DF3" w:rsidRPr="000679F5" w:rsidRDefault="00433DF3" w:rsidP="00F9740C">
            <w:pPr>
              <w:spacing w:after="0" w:line="240" w:lineRule="auto"/>
              <w:ind w:left="10"/>
              <w:rPr>
                <w:rFonts w:asciiTheme="minorHAnsi" w:hAnsiTheme="minorHAnsi" w:cstheme="minorHAnsi"/>
                <w:color w:val="000000"/>
                <w:sz w:val="22"/>
              </w:rPr>
            </w:pPr>
            <w:r w:rsidRPr="000679F5">
              <w:rPr>
                <w:rFonts w:asciiTheme="minorHAnsi" w:hAnsiTheme="minorHAnsi" w:cstheme="minorHAnsi"/>
                <w:color w:val="000000"/>
                <w:sz w:val="22"/>
              </w:rPr>
              <w:t xml:space="preserve">Kawai et al. (2018) </w:t>
            </w:r>
            <w:r w:rsidRPr="000679F5">
              <w:rPr>
                <w:rFonts w:cstheme="minorHAnsi"/>
                <w:color w:val="000000"/>
              </w:rPr>
              <w:fldChar w:fldCharType="begin" w:fldLock="1"/>
            </w:r>
            <w:r w:rsidRPr="000679F5">
              <w:rPr>
                <w:rFonts w:asciiTheme="minorHAnsi" w:hAnsiTheme="minorHAnsi" w:cstheme="minorHAnsi"/>
                <w:color w:val="000000"/>
                <w:sz w:val="22"/>
              </w:rPr>
              <w:instrText>ADDIN CSL_CITATION {"citationItems":[{"id":"ITEM-1","itemData":{"DOI":"10.1016/j.jpeds.2018.05.047","ISSN":"10976833","abstract":"Objective: To examine the long-term trend of otitis media (OM)-associated ambulatory visits from 1997 to 2014 and to evaluate the impact of 7-valent and 13-valent pneumococcal conjugate vaccines (PCV7 and PCV13) on OM ambulatory visits. Study design: We examined OM-associated ambulatory visits in children, using the National Ambulatory Medical Care Survey and National Hospital Ambulatory Medical Care Survey. Results: A total of 24 148 OM-related visits were identified from 363 240 ambulatory visits. OM visits accounted for 9.5% of all ambulatory visits in 1997-1999, 7.1% in 2002-2009, and 5.5% in 2012-2014. Between the pre-PCV7 and the post-PCV13 period, annual physician's office visits for OM declined from 826 to 387 visits per 1000 children among children younger than 2 years of age. Compared with the pre-PCV7 period, office visit rates for OM significantly declined by 51% (95% CI 42%-58%) among children younger than 2 years of age and by 37% (95% CI 23%-48%) among children 2-4 years of age during the post-PCV13 period. Among children younger than 2 years of age, emergency department visits for OM declined by 47% (95% CI 36%-55%) during the post-PCV13 period, and hospital outpatient visits declined by 30% (95% CI 8%-48%) during the PCV13-transition period. OM-related visits declined across sex, race/ethnicity, health insurance status, and geographic region. Conclusion: Our nationwide study shows that ambulatory visits for OM have declined following the introduction of PCV7 and PCV13. Future research on the evolving microbiology of OM and continued monitoring of the epidemiology of pneumococcal disease are needed.","author":[{"dropping-particle":"","family":"Kawai","given":"Kosuke","non-dropping-particle":"","parse-names":false,"suffix":""},{"dropping-particle":"","family":"Adil","given":"Eelam A.","non-dropping-particle":"","parse-names":false,"suffix":""},{"dropping-particle":"","family":"Barrett","given":"Devon","non-dropping-particle":"","parse-names":false,"suffix":""},{"dropping-particle":"","family":"Manganella","given":"Juliana","non-dropping-particle":"","parse-names":false,"suffix":""},{"dropping-particle":"","family":"Kenna","given":"Margaret A.","non-dropping-particle":"","parse-names":false,"suffix":""}],"container-title":"Journal of Pediatrics","id":"ITEM-1","issued":{"date-parts":[["2018","10","1"]]},"page":"122-127.e1","publisher":"Mosby Inc.","title":"Ambulatory Visits for Otitis Media before and after the Introduction of Pneumococcal Conjugate Vaccination","type":"article-journal","volume":"201"},"uris":["http://www.mendeley.com/documents/?uuid=8d29b622-9075-340b-820b-cb11d02cb2aa"]}],"mendeley":{"formattedCitation":"[15]","plainTextFormattedCitation":"[15]","previouslyFormattedCitation":"[15]"},"properties":{"noteIndex":0},"schema":"https://github.com/citation-style-language/schema/raw/master/csl-citation.json"}</w:instrText>
            </w:r>
            <w:r w:rsidRPr="000679F5">
              <w:rPr>
                <w:rFonts w:cstheme="minorHAnsi"/>
                <w:color w:val="000000"/>
              </w:rPr>
              <w:fldChar w:fldCharType="separate"/>
            </w:r>
            <w:r w:rsidR="005227D8">
              <w:rPr>
                <w:rFonts w:asciiTheme="minorHAnsi" w:hAnsiTheme="minorHAnsi" w:cstheme="minorHAnsi"/>
                <w:noProof/>
                <w:color w:val="000000"/>
                <w:sz w:val="22"/>
              </w:rPr>
              <w:t>[2]</w:t>
            </w:r>
            <w:r w:rsidRPr="000679F5">
              <w:rPr>
                <w:rFonts w:cstheme="minorHAnsi"/>
                <w:color w:val="000000"/>
              </w:rPr>
              <w:fldChar w:fldCharType="end"/>
            </w:r>
            <w:r w:rsidRPr="000679F5">
              <w:rPr>
                <w:rFonts w:asciiTheme="minorHAnsi" w:hAnsiTheme="minorHAnsi" w:cstheme="minorHAnsi"/>
                <w:color w:val="000000"/>
                <w:sz w:val="22"/>
              </w:rPr>
              <w:t xml:space="preserve"> </w:t>
            </w:r>
          </w:p>
        </w:tc>
      </w:tr>
      <w:tr w:rsidR="00433DF3" w:rsidRPr="00854503" w14:paraId="034633B0" w14:textId="77777777" w:rsidTr="00F77A75">
        <w:trPr>
          <w:trHeight w:val="288"/>
        </w:trPr>
        <w:tc>
          <w:tcPr>
            <w:tcW w:w="2156" w:type="pct"/>
          </w:tcPr>
          <w:p w14:paraId="5F69CED5"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 xml:space="preserve">OM Incidence 6 </w:t>
            </w:r>
            <w:proofErr w:type="spellStart"/>
            <w:r w:rsidRPr="000679F5">
              <w:rPr>
                <w:rFonts w:asciiTheme="minorHAnsi" w:hAnsiTheme="minorHAnsi" w:cstheme="minorHAnsi"/>
                <w:color w:val="000000"/>
                <w:sz w:val="22"/>
              </w:rPr>
              <w:t>yr</w:t>
            </w:r>
            <w:proofErr w:type="spellEnd"/>
            <w:r w:rsidRPr="000679F5">
              <w:rPr>
                <w:rFonts w:asciiTheme="minorHAnsi" w:hAnsiTheme="minorHAnsi" w:cstheme="minorHAnsi"/>
                <w:color w:val="000000"/>
                <w:sz w:val="22"/>
              </w:rPr>
              <w:t xml:space="preserve">–12 </w:t>
            </w:r>
            <w:proofErr w:type="spellStart"/>
            <w:r w:rsidRPr="000679F5">
              <w:rPr>
                <w:rFonts w:asciiTheme="minorHAnsi" w:hAnsiTheme="minorHAnsi" w:cstheme="minorHAnsi"/>
                <w:color w:val="000000"/>
                <w:sz w:val="22"/>
              </w:rPr>
              <w:t>yr</w:t>
            </w:r>
            <w:proofErr w:type="spellEnd"/>
          </w:p>
        </w:tc>
        <w:tc>
          <w:tcPr>
            <w:tcW w:w="834" w:type="pct"/>
          </w:tcPr>
          <w:p w14:paraId="7930A0E9"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6.50</w:t>
            </w:r>
          </w:p>
        </w:tc>
        <w:tc>
          <w:tcPr>
            <w:tcW w:w="2010" w:type="pct"/>
          </w:tcPr>
          <w:p w14:paraId="5999FB30" w14:textId="21825392" w:rsidR="00433DF3" w:rsidRPr="000679F5" w:rsidRDefault="00433DF3" w:rsidP="00F9740C">
            <w:pPr>
              <w:spacing w:after="0" w:line="240" w:lineRule="auto"/>
              <w:ind w:left="10"/>
              <w:rPr>
                <w:rFonts w:asciiTheme="minorHAnsi" w:hAnsiTheme="minorHAnsi" w:cstheme="minorHAnsi"/>
                <w:color w:val="000000"/>
                <w:sz w:val="22"/>
              </w:rPr>
            </w:pPr>
            <w:r w:rsidRPr="000679F5">
              <w:rPr>
                <w:rFonts w:asciiTheme="minorHAnsi" w:hAnsiTheme="minorHAnsi" w:cstheme="minorHAnsi"/>
                <w:color w:val="000000"/>
                <w:sz w:val="22"/>
              </w:rPr>
              <w:t xml:space="preserve">Kawai et al. (2018) </w:t>
            </w:r>
            <w:r w:rsidRPr="000679F5">
              <w:rPr>
                <w:rFonts w:cstheme="minorHAnsi"/>
                <w:color w:val="000000"/>
              </w:rPr>
              <w:fldChar w:fldCharType="begin" w:fldLock="1"/>
            </w:r>
            <w:r w:rsidRPr="000679F5">
              <w:rPr>
                <w:rFonts w:asciiTheme="minorHAnsi" w:hAnsiTheme="minorHAnsi" w:cstheme="minorHAnsi"/>
                <w:color w:val="000000"/>
                <w:sz w:val="22"/>
              </w:rPr>
              <w:instrText>ADDIN CSL_CITATION {"citationItems":[{"id":"ITEM-1","itemData":{"DOI":"10.1016/j.jpeds.2018.05.047","ISSN":"10976833","abstract":"Objective: To examine the long-term trend of otitis media (OM)-associated ambulatory visits from 1997 to 2014 and to evaluate the impact of 7-valent and 13-valent pneumococcal conjugate vaccines (PCV7 and PCV13) on OM ambulatory visits. Study design: We examined OM-associated ambulatory visits in children, using the National Ambulatory Medical Care Survey and National Hospital Ambulatory Medical Care Survey. Results: A total of 24 148 OM-related visits were identified from 363 240 ambulatory visits. OM visits accounted for 9.5% of all ambulatory visits in 1997-1999, 7.1% in 2002-2009, and 5.5% in 2012-2014. Between the pre-PCV7 and the post-PCV13 period, annual physician's office visits for OM declined from 826 to 387 visits per 1000 children among children younger than 2 years of age. Compared with the pre-PCV7 period, office visit rates for OM significantly declined by 51% (95% CI 42%-58%) among children younger than 2 years of age and by 37% (95% CI 23%-48%) among children 2-4 years of age during the post-PCV13 period. Among children younger than 2 years of age, emergency department visits for OM declined by 47% (95% CI 36%-55%) during the post-PCV13 period, and hospital outpatient visits declined by 30% (95% CI 8%-48%) during the PCV13-transition period. OM-related visits declined across sex, race/ethnicity, health insurance status, and geographic region. Conclusion: Our nationwide study shows that ambulatory visits for OM have declined following the introduction of PCV7 and PCV13. Future research on the evolving microbiology of OM and continued monitoring of the epidemiology of pneumococcal disease are needed.","author":[{"dropping-particle":"","family":"Kawai","given":"Kosuke","non-dropping-particle":"","parse-names":false,"suffix":""},{"dropping-particle":"","family":"Adil","given":"Eelam A.","non-dropping-particle":"","parse-names":false,"suffix":""},{"dropping-particle":"","family":"Barrett","given":"Devon","non-dropping-particle":"","parse-names":false,"suffix":""},{"dropping-particle":"","family":"Manganella","given":"Juliana","non-dropping-particle":"","parse-names":false,"suffix":""},{"dropping-particle":"","family":"Kenna","given":"Margaret A.","non-dropping-particle":"","parse-names":false,"suffix":""}],"container-title":"Journal of Pediatrics","id":"ITEM-1","issued":{"date-parts":[["2018","10","1"]]},"page":"122-127.e1","publisher":"Mosby Inc.","title":"Ambulatory Visits for Otitis Media before and after the Introduction of Pneumococcal Conjugate Vaccination","type":"article-journal","volume":"201"},"uris":["http://www.mendeley.com/documents/?uuid=8d29b622-9075-340b-820b-cb11d02cb2aa"]}],"mendeley":{"formattedCitation":"[15]","plainTextFormattedCitation":"[15]","previouslyFormattedCitation":"[15]"},"properties":{"noteIndex":0},"schema":"https://github.com/citation-style-language/schema/raw/master/csl-citation.json"}</w:instrText>
            </w:r>
            <w:r w:rsidRPr="000679F5">
              <w:rPr>
                <w:rFonts w:cstheme="minorHAnsi"/>
                <w:color w:val="000000"/>
              </w:rPr>
              <w:fldChar w:fldCharType="separate"/>
            </w:r>
            <w:r w:rsidR="005227D8">
              <w:rPr>
                <w:rFonts w:asciiTheme="minorHAnsi" w:hAnsiTheme="minorHAnsi" w:cstheme="minorHAnsi"/>
                <w:noProof/>
                <w:color w:val="000000"/>
                <w:sz w:val="22"/>
              </w:rPr>
              <w:t>[2]</w:t>
            </w:r>
            <w:r w:rsidRPr="000679F5">
              <w:rPr>
                <w:rFonts w:cstheme="minorHAnsi"/>
                <w:color w:val="000000"/>
              </w:rPr>
              <w:fldChar w:fldCharType="end"/>
            </w:r>
          </w:p>
        </w:tc>
      </w:tr>
      <w:tr w:rsidR="00433DF3" w:rsidRPr="00854503" w14:paraId="5EA4E37D" w14:textId="77777777" w:rsidTr="00F77A75">
        <w:trPr>
          <w:trHeight w:val="288"/>
        </w:trPr>
        <w:tc>
          <w:tcPr>
            <w:tcW w:w="2156" w:type="pct"/>
          </w:tcPr>
          <w:p w14:paraId="373992D9"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AS incidence</w:t>
            </w:r>
          </w:p>
        </w:tc>
        <w:tc>
          <w:tcPr>
            <w:tcW w:w="834" w:type="pct"/>
          </w:tcPr>
          <w:p w14:paraId="36C3533F"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1.13</w:t>
            </w:r>
          </w:p>
        </w:tc>
        <w:tc>
          <w:tcPr>
            <w:tcW w:w="2010" w:type="pct"/>
          </w:tcPr>
          <w:p w14:paraId="7E5D5C25" w14:textId="270E634A" w:rsidR="00433DF3" w:rsidRPr="000679F5" w:rsidRDefault="00433DF3" w:rsidP="00F9740C">
            <w:pPr>
              <w:spacing w:after="0" w:line="240" w:lineRule="auto"/>
              <w:ind w:left="10"/>
              <w:rPr>
                <w:rFonts w:asciiTheme="minorHAnsi" w:hAnsiTheme="minorHAnsi" w:cstheme="minorHAnsi"/>
                <w:color w:val="000000"/>
                <w:sz w:val="22"/>
              </w:rPr>
            </w:pPr>
            <w:r w:rsidRPr="000679F5">
              <w:rPr>
                <w:rFonts w:asciiTheme="minorHAnsi" w:hAnsiTheme="minorHAnsi" w:cstheme="minorHAnsi"/>
                <w:color w:val="000000"/>
                <w:sz w:val="22"/>
              </w:rPr>
              <w:t xml:space="preserve">Shapiro et al. (2011) </w:t>
            </w:r>
            <w:r w:rsidRPr="000679F5">
              <w:rPr>
                <w:rFonts w:cstheme="minorHAnsi"/>
                <w:color w:val="000000"/>
              </w:rPr>
              <w:fldChar w:fldCharType="begin" w:fldLock="1"/>
            </w:r>
            <w:r w:rsidRPr="000679F5">
              <w:rPr>
                <w:rFonts w:asciiTheme="minorHAnsi" w:hAnsiTheme="minorHAnsi" w:cstheme="minorHAnsi"/>
                <w:color w:val="000000"/>
                <w:sz w:val="22"/>
              </w:rPr>
              <w:instrText>ADDIN CSL_CITATION {"citationItems":[{"id":"ITEM-1","itemData":{"DOI":"10.1542/peds.2010-1340","ISSN":"00314005","abstract":"OBJECTIVE The heptavalent pneumococcal conjugate vaccine contributed to a substantial decrease in the number of ambulatory visits attributable to acute otitis media (AOM) and amoxicillin use for AOM increased after publication of American Academy of Pediatrics guidelines regarding AOM. Our objective was to determine whether similar trends occurred for children with acute sinusitis. METHODS We analyzed data from the National Ambulatory Medical Care Survey and National Hospital Ambulatory Medical Care Survey (1998-2007), which are nationally representative surveys of office and emergency department visits. For children younger than 18 years with diagnosed acute sinusitis (N = 538), we examined time trends in visit rates and antibiotic prescribing. Multivariate logistic regression analyses were used to identify factors associated with narrow-spectrum antibiotic prescribing. RESULTS Between 1998 and 2007, the annual visit rate for acute sinusitis remained stable, ranging from 11 to 14 visits per 1000 children (P = .67). No change occurred in the proportion of visits with receipt of an antibiotic (82%; P = .71); however, the proportion with receipt of amoxicillin increased from 19% to 58% during the study period (P &lt; .01). Prescriptions for broader-spectrum agents, especially macrolides (18% overall), remained common. CONCLUSIONS Unlike the visit rate for AOM, the visit rate for acute sinusitis among children did not decrease after introduction of the pneumococcal conjugate vaccine. Although prescriptions for amoxicillin increased in accordance with the guidelines, reducing unnecessary prescriptions for macrolides remains an important target for campaigns promoting judicious antibiotic use.","author":[{"dropping-particle":"","family":"Shapiro","given":"Daniel J.","non-dropping-particle":"","parse-names":false,"suffix":""},{"dropping-particle":"","family":"Gonzales","given":"Ralph","non-dropping-particle":"","parse-names":false,"suffix":""},{"dropping-particle":"","family":"Cabana","given":"Michael D.","non-dropping-particle":"","parse-names":false,"suffix":""},{"dropping-particle":"","family":"Hersh","given":"Adam L","non-dropping-particle":"","parse-names":false,"suffix":""}],"container-title":"Pediatrics","id":"ITEM-1","issue":"1","issued":{"date-parts":[["2011"]]},"page":"28-34","title":"National trends in visit rates and antibiotic prescribing for children with acute sinusitis","type":"article-journal","volume":"127"},"uris":["http://www.mendeley.com/documents/?uuid=82951813-f93f-4cc4-aa8b-5c6868a36369"]}],"mendeley":{"formattedCitation":"[16]","plainTextFormattedCitation":"[16]","previouslyFormattedCitation":"[16]"},"properties":{"noteIndex":0},"schema":"https://github.com/citation-style-language/schema/raw/master/csl-citation.json"}</w:instrText>
            </w:r>
            <w:r w:rsidRPr="000679F5">
              <w:rPr>
                <w:rFonts w:cstheme="minorHAnsi"/>
                <w:color w:val="000000"/>
              </w:rPr>
              <w:fldChar w:fldCharType="separate"/>
            </w:r>
            <w:r w:rsidRPr="000679F5">
              <w:rPr>
                <w:rFonts w:asciiTheme="minorHAnsi" w:hAnsiTheme="minorHAnsi" w:cstheme="minorHAnsi"/>
                <w:noProof/>
                <w:color w:val="000000"/>
                <w:sz w:val="22"/>
              </w:rPr>
              <w:t>[</w:t>
            </w:r>
            <w:r w:rsidR="005227D8">
              <w:rPr>
                <w:rFonts w:asciiTheme="minorHAnsi" w:hAnsiTheme="minorHAnsi" w:cstheme="minorHAnsi"/>
                <w:noProof/>
                <w:color w:val="000000"/>
                <w:sz w:val="22"/>
              </w:rPr>
              <w:t>3</w:t>
            </w:r>
            <w:r w:rsidRPr="000679F5">
              <w:rPr>
                <w:rFonts w:asciiTheme="minorHAnsi" w:hAnsiTheme="minorHAnsi" w:cstheme="minorHAnsi"/>
                <w:noProof/>
                <w:color w:val="000000"/>
                <w:sz w:val="22"/>
              </w:rPr>
              <w:t>]</w:t>
            </w:r>
            <w:r w:rsidRPr="000679F5">
              <w:rPr>
                <w:rFonts w:cstheme="minorHAnsi"/>
                <w:color w:val="000000"/>
              </w:rPr>
              <w:fldChar w:fldCharType="end"/>
            </w:r>
            <w:r w:rsidRPr="000679F5">
              <w:rPr>
                <w:rFonts w:asciiTheme="minorHAnsi" w:hAnsiTheme="minorHAnsi" w:cstheme="minorHAnsi"/>
                <w:color w:val="000000"/>
                <w:sz w:val="22"/>
              </w:rPr>
              <w:t xml:space="preserve"> </w:t>
            </w:r>
          </w:p>
        </w:tc>
      </w:tr>
      <w:tr w:rsidR="00433DF3" w:rsidRPr="00854503" w14:paraId="1361F14C" w14:textId="77777777" w:rsidTr="00F77A75">
        <w:trPr>
          <w:trHeight w:val="288"/>
        </w:trPr>
        <w:tc>
          <w:tcPr>
            <w:tcW w:w="2156" w:type="pct"/>
          </w:tcPr>
          <w:p w14:paraId="76B8098C"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GAS incidence</w:t>
            </w:r>
          </w:p>
        </w:tc>
        <w:tc>
          <w:tcPr>
            <w:tcW w:w="834" w:type="pct"/>
          </w:tcPr>
          <w:p w14:paraId="0D534995"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4.95</w:t>
            </w:r>
          </w:p>
        </w:tc>
        <w:tc>
          <w:tcPr>
            <w:tcW w:w="2010" w:type="pct"/>
          </w:tcPr>
          <w:p w14:paraId="4F3A8736" w14:textId="39BAFE05" w:rsidR="00433DF3" w:rsidRPr="000679F5" w:rsidRDefault="00433DF3" w:rsidP="00F9740C">
            <w:pPr>
              <w:spacing w:after="0" w:line="240" w:lineRule="auto"/>
              <w:ind w:left="10"/>
              <w:rPr>
                <w:rFonts w:asciiTheme="minorHAnsi" w:hAnsiTheme="minorHAnsi" w:cstheme="minorHAnsi"/>
                <w:color w:val="000000"/>
                <w:sz w:val="22"/>
              </w:rPr>
            </w:pPr>
            <w:r w:rsidRPr="000679F5">
              <w:rPr>
                <w:rFonts w:asciiTheme="minorHAnsi" w:hAnsiTheme="minorHAnsi" w:cstheme="minorHAnsi"/>
                <w:color w:val="000000"/>
                <w:sz w:val="22"/>
              </w:rPr>
              <w:t xml:space="preserve">Dooling et al. (2014) </w:t>
            </w:r>
            <w:r w:rsidRPr="000679F5">
              <w:rPr>
                <w:rFonts w:cstheme="minorHAnsi"/>
                <w:color w:val="000000"/>
              </w:rPr>
              <w:fldChar w:fldCharType="begin" w:fldLock="1"/>
            </w:r>
            <w:r w:rsidRPr="000679F5">
              <w:rPr>
                <w:rFonts w:asciiTheme="minorHAnsi" w:hAnsiTheme="minorHAnsi" w:cstheme="minorHAnsi"/>
                <w:color w:val="000000"/>
                <w:sz w:val="22"/>
              </w:rPr>
              <w:instrText>ADDIN CSL_CITATION {"citationItems":[{"id":"ITEM-1","itemData":{"DOI":"10.1001/jamapediatrics.2014.1582.Author","author":[{"dropping-particle":"","family":"Dooling","given":"Kathleen L","non-dropping-particle":"","parse-names":false,"suffix":""},{"dropping-particle":"","family":"Shapiro","given":"Daniel J","non-dropping-particle":"","parse-names":false,"suffix":""},{"dropping-particle":"","family":"Beneden","given":"Chris","non-dropping-particle":"Van","parse-names":false,"suffix":""},{"dropping-particle":"","family":"Hersh","given":"Adam L","non-dropping-particle":"","parse-names":false,"suffix":""},{"dropping-particle":"","family":"Hicks","given":"Lauri A","non-dropping-particle":"","parse-names":false,"suffix":""}],"container-title":"JAMA Pediatrics","id":"ITEM-1","issue":"11","issued":{"date-parts":[["2014"]]},"page":"1073-1074","title":"Overprescribing and Inappropriate Antibiotic Selection for ChildrenWith Pharyngitis in the United States, 1997-2010","type":"article-journal","volume":"168"},"uris":["http://www.mendeley.com/documents/?uuid=0c8ca387-7294-4091-83d7-18b4e7f0faae"]}],"mendeley":{"formattedCitation":"[17]","plainTextFormattedCitation":"[17]","previouslyFormattedCitation":"[17]"},"properties":{"noteIndex":0},"schema":"https://github.com/citation-style-language/schema/raw/master/csl-citation.json"}</w:instrText>
            </w:r>
            <w:r w:rsidRPr="000679F5">
              <w:rPr>
                <w:rFonts w:cstheme="minorHAnsi"/>
                <w:color w:val="000000"/>
              </w:rPr>
              <w:fldChar w:fldCharType="separate"/>
            </w:r>
            <w:r w:rsidR="00BC4FB1">
              <w:rPr>
                <w:rFonts w:asciiTheme="minorHAnsi" w:hAnsiTheme="minorHAnsi" w:cstheme="minorHAnsi"/>
                <w:noProof/>
                <w:color w:val="000000"/>
                <w:sz w:val="22"/>
              </w:rPr>
              <w:t>[4]</w:t>
            </w:r>
            <w:r w:rsidRPr="000679F5">
              <w:rPr>
                <w:rFonts w:cstheme="minorHAnsi"/>
                <w:color w:val="000000"/>
              </w:rPr>
              <w:fldChar w:fldCharType="end"/>
            </w:r>
          </w:p>
        </w:tc>
      </w:tr>
      <w:tr w:rsidR="00433DF3" w:rsidRPr="00854503" w14:paraId="4569233D" w14:textId="77777777" w:rsidTr="00F77A75">
        <w:trPr>
          <w:trHeight w:val="288"/>
        </w:trPr>
        <w:tc>
          <w:tcPr>
            <w:tcW w:w="2156" w:type="pct"/>
          </w:tcPr>
          <w:p w14:paraId="2F729972"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Proportion on antibiotics, OM</w:t>
            </w:r>
          </w:p>
        </w:tc>
        <w:tc>
          <w:tcPr>
            <w:tcW w:w="834" w:type="pct"/>
          </w:tcPr>
          <w:p w14:paraId="5A758407" w14:textId="77777777" w:rsidR="00433DF3" w:rsidRPr="000679F5" w:rsidRDefault="00433DF3" w:rsidP="000679F5">
            <w:pPr>
              <w:spacing w:after="0" w:line="240" w:lineRule="auto"/>
              <w:jc w:val="center"/>
              <w:rPr>
                <w:rFonts w:asciiTheme="minorHAnsi" w:hAnsiTheme="minorHAnsi" w:cstheme="minorHAnsi"/>
                <w:color w:val="000000"/>
                <w:sz w:val="22"/>
              </w:rPr>
            </w:pPr>
            <w:r w:rsidRPr="000679F5">
              <w:rPr>
                <w:rFonts w:asciiTheme="minorHAnsi" w:hAnsiTheme="minorHAnsi" w:cstheme="minorHAnsi"/>
                <w:color w:val="000000"/>
                <w:sz w:val="22"/>
              </w:rPr>
              <w:t>0.86</w:t>
            </w:r>
          </w:p>
        </w:tc>
        <w:tc>
          <w:tcPr>
            <w:tcW w:w="2010" w:type="pct"/>
          </w:tcPr>
          <w:p w14:paraId="6956E3AC" w14:textId="01E6BEAF" w:rsidR="00433DF3" w:rsidRPr="000679F5" w:rsidRDefault="00433DF3" w:rsidP="00F9740C">
            <w:pPr>
              <w:spacing w:after="0" w:line="240" w:lineRule="auto"/>
              <w:ind w:left="10"/>
              <w:rPr>
                <w:rFonts w:asciiTheme="minorHAnsi" w:hAnsiTheme="minorHAnsi" w:cstheme="minorHAnsi"/>
                <w:sz w:val="22"/>
              </w:rPr>
            </w:pPr>
            <w:proofErr w:type="spellStart"/>
            <w:r w:rsidRPr="000679F5">
              <w:rPr>
                <w:rFonts w:asciiTheme="minorHAnsi" w:hAnsiTheme="minorHAnsi" w:cstheme="minorHAnsi"/>
                <w:sz w:val="22"/>
              </w:rPr>
              <w:t>Suaya</w:t>
            </w:r>
            <w:proofErr w:type="spellEnd"/>
            <w:r w:rsidRPr="000679F5">
              <w:rPr>
                <w:rFonts w:asciiTheme="minorHAnsi" w:hAnsiTheme="minorHAnsi" w:cstheme="minorHAnsi"/>
                <w:sz w:val="22"/>
              </w:rPr>
              <w:t xml:space="preserve"> et al. (2018) </w:t>
            </w:r>
            <w:r w:rsidRPr="000679F5">
              <w:rPr>
                <w:rFonts w:cstheme="minorHAnsi"/>
              </w:rPr>
              <w:fldChar w:fldCharType="begin" w:fldLock="1"/>
            </w:r>
            <w:r w:rsidRPr="000679F5">
              <w:rPr>
                <w:rFonts w:asciiTheme="minorHAnsi" w:hAnsiTheme="minorHAnsi" w:cstheme="minorHAnsi"/>
                <w:sz w:val="22"/>
              </w:rPr>
              <w:instrText xml:space="preserve">ADDIN CSL_CITATION {"citationItems":[{"id":"ITEM-1","itemData":{"DOI":"10.1016/j.vaccine.2018.10.060","ISSN":"18732518","abstract":"Introduction: We analyzed outpatient visits, incidence, antimicrobial prescriptions, and medical expenditures for acute otitis media (AOM) in the United States during 2011–2016. Methods: Data sources included the National Disease and Therapeutic Index (NDTI™) projections by IQVIA (for AOM cases), The Medical Expenditure Panel Survey (for medical expenditures) and the US Census (for population estimates). Analyses focused on children aged ≤9 years between 2011 and 2016. We used the 2014 medical expenditure estimate per otitis media episode ($520) as proxy for all years. Results: In 2011, there were an estimated 11.5 million AOM episodes in children aged 0–9 years in the US with AOM incidence rates (IR) of 476, 204, and 284 episodes per 1000 children aged 0–2, 3–9, and 0–9 years, respectively. All subsequent years had lower IRs, and by 2016, IR was 25.1% lower than in 2011 in children 0–9 years. In addition, there were estimates of 10.8 million and 9.2 million fewer cumulative AOM episodes and antimicrobial prescriptions for AOM nationwide between 2012 and 2016, compared to annual 2011 estimates, representing a </w:instrText>
            </w:r>
            <w:r w:rsidRPr="000679F5">
              <w:rPr>
                <w:rFonts w:ascii="Cambria Math" w:hAnsi="Cambria Math" w:cs="Cambria Math"/>
                <w:sz w:val="22"/>
              </w:rPr>
              <w:instrText>∼</w:instrText>
            </w:r>
            <w:r w:rsidRPr="000679F5">
              <w:rPr>
                <w:rFonts w:asciiTheme="minorHAnsi" w:hAnsiTheme="minorHAnsi" w:cstheme="minorHAnsi"/>
                <w:sz w:val="22"/>
              </w:rPr>
              <w:instrText>$5.6 billion decrease in direct medical expenditures. The average number of antibiotic prescriptions per AOM visit remained stable with 0.89 and 0.86 prescriptions per visit in 2011 and 2016, respectively. Conclusions: AOM incidence, antimicrobial prescriptions, and associated medical expenses decreased substantially between 2011 and 2016 in the United States. Antimicrobial prescribing practices remain unchanged. Additional studies are warranted to assess causality.","author":[{"dropping-particle":"","family":"Suaya","given":"José A.","non-dropping-particle":"","parse-names":false,"suffix":""},{"dropping-particle":"","family":"Gessner","given":"Bradford D.","non-dropping-particle":"","parse-names":false,"suffix":""},{"dropping-particle":"","family":"Fung","given":"Shirley","non-dropping-particle":"","parse-names":false,"suffix":""},{"dropping-particle":"","family":"Vuocolo","given":"Scott","non-dropping-particle":"","parse-names":false,"suffix":""},{"dropping-particle":"","family":"Scaife","given":"John","non-dropping-particle":"","parse-names":false,"suffix":""},{"dropping-particle":"","family":"Swerdlow","given":"David L.","non-dropping-particle":"","parse-names":false,"suffix":""},{"dropping-particle":"","family":"Isturiz","given":"Raúl E.","non-dropping-particle":"","parse-names":false,"suffix":""},{"dropping-particle":"","family":"Arguedas","given":"Adriano G.","non-dropping-particle":"","parse-names":false,"suffix":""}],"container-title":"Vaccine","id":"ITEM-1","issue":"49","issued":{"date-parts":[["2018"]]},"page":"7479-7486","title":"Acute otitis media, antimicrobial prescriptions, and medical expenses among children in the United States during 2011–2016","type":"article-journal","volume":"36"},"uris":["http://www.mendeley.com/documents/?uuid=6d527ddd-29f9-4f3e-abdf-6d85b1a89920"]}],"mendeley":{"formattedCitation":"[18]","plainTextFormattedCitation":"[18]","previouslyFormattedCitation":"[18]"},"properties":{"noteIndex":0},"schema":"https://github.com/citation-style-language/schema/raw/master/csl-citation.json"}</w:instrText>
            </w:r>
            <w:r w:rsidRPr="000679F5">
              <w:rPr>
                <w:rFonts w:cstheme="minorHAnsi"/>
              </w:rPr>
              <w:fldChar w:fldCharType="separate"/>
            </w:r>
            <w:r w:rsidR="00BC4FB1">
              <w:rPr>
                <w:rFonts w:asciiTheme="minorHAnsi" w:hAnsiTheme="minorHAnsi" w:cstheme="minorHAnsi"/>
                <w:noProof/>
                <w:sz w:val="22"/>
              </w:rPr>
              <w:t>[5]</w:t>
            </w:r>
            <w:r w:rsidRPr="000679F5">
              <w:rPr>
                <w:rFonts w:cstheme="minorHAnsi"/>
              </w:rPr>
              <w:fldChar w:fldCharType="end"/>
            </w:r>
          </w:p>
        </w:tc>
      </w:tr>
      <w:tr w:rsidR="00433DF3" w:rsidRPr="00854503" w14:paraId="0D488235" w14:textId="77777777" w:rsidTr="00F77A75">
        <w:trPr>
          <w:trHeight w:val="288"/>
        </w:trPr>
        <w:tc>
          <w:tcPr>
            <w:tcW w:w="2156" w:type="pct"/>
          </w:tcPr>
          <w:p w14:paraId="6D79A842"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Proportion on antibiotics, AS</w:t>
            </w:r>
          </w:p>
        </w:tc>
        <w:tc>
          <w:tcPr>
            <w:tcW w:w="834" w:type="pct"/>
          </w:tcPr>
          <w:p w14:paraId="6F38E8A8" w14:textId="77777777" w:rsidR="00433DF3" w:rsidRPr="000679F5" w:rsidRDefault="00433DF3" w:rsidP="000679F5">
            <w:pPr>
              <w:spacing w:after="0" w:line="240" w:lineRule="auto"/>
              <w:jc w:val="center"/>
              <w:rPr>
                <w:rFonts w:asciiTheme="minorHAnsi" w:hAnsiTheme="minorHAnsi" w:cstheme="minorHAnsi"/>
                <w:color w:val="000000"/>
                <w:sz w:val="22"/>
              </w:rPr>
            </w:pPr>
            <w:r w:rsidRPr="000679F5">
              <w:rPr>
                <w:rFonts w:asciiTheme="minorHAnsi" w:hAnsiTheme="minorHAnsi" w:cstheme="minorHAnsi"/>
                <w:color w:val="000000"/>
                <w:sz w:val="22"/>
              </w:rPr>
              <w:t>0.82</w:t>
            </w:r>
          </w:p>
        </w:tc>
        <w:tc>
          <w:tcPr>
            <w:tcW w:w="2010" w:type="pct"/>
          </w:tcPr>
          <w:p w14:paraId="75425875" w14:textId="501A9C70" w:rsidR="00433DF3" w:rsidRPr="000679F5" w:rsidRDefault="00433DF3" w:rsidP="00F9740C">
            <w:pPr>
              <w:spacing w:after="0" w:line="240" w:lineRule="auto"/>
              <w:ind w:left="10"/>
              <w:rPr>
                <w:rFonts w:asciiTheme="minorHAnsi" w:hAnsiTheme="minorHAnsi" w:cstheme="minorHAnsi"/>
                <w:color w:val="000000"/>
                <w:sz w:val="22"/>
              </w:rPr>
            </w:pPr>
            <w:r w:rsidRPr="000679F5">
              <w:rPr>
                <w:rFonts w:asciiTheme="minorHAnsi" w:hAnsiTheme="minorHAnsi" w:cstheme="minorHAnsi"/>
                <w:color w:val="000000"/>
                <w:sz w:val="22"/>
              </w:rPr>
              <w:t xml:space="preserve">Shapiro et al. (2011) </w:t>
            </w:r>
            <w:r w:rsidRPr="000679F5">
              <w:rPr>
                <w:rFonts w:cstheme="minorHAnsi"/>
                <w:color w:val="000000"/>
              </w:rPr>
              <w:fldChar w:fldCharType="begin" w:fldLock="1"/>
            </w:r>
            <w:r w:rsidRPr="000679F5">
              <w:rPr>
                <w:rFonts w:asciiTheme="minorHAnsi" w:hAnsiTheme="minorHAnsi" w:cstheme="minorHAnsi"/>
                <w:color w:val="000000"/>
                <w:sz w:val="22"/>
              </w:rPr>
              <w:instrText>ADDIN CSL_CITATION {"citationItems":[{"id":"ITEM-1","itemData":{"DOI":"10.1542/peds.2010-1340","ISSN":"00314005","abstract":"OBJECTIVE The heptavalent pneumococcal conjugate vaccine contributed to a substantial decrease in the number of ambulatory visits attributable to acute otitis media (AOM) and amoxicillin use for AOM increased after publication of American Academy of Pediatrics guidelines regarding AOM. Our objective was to determine whether similar trends occurred for children with acute sinusitis. METHODS We analyzed data from the National Ambulatory Medical Care Survey and National Hospital Ambulatory Medical Care Survey (1998-2007), which are nationally representative surveys of office and emergency department visits. For children younger than 18 years with diagnosed acute sinusitis (N = 538), we examined time trends in visit rates and antibiotic prescribing. Multivariate logistic regression analyses were used to identify factors associated with narrow-spectrum antibiotic prescribing. RESULTS Between 1998 and 2007, the annual visit rate for acute sinusitis remained stable, ranging from 11 to 14 visits per 1000 children (P = .67). No change occurred in the proportion of visits with receipt of an antibiotic (82%; P = .71); however, the proportion with receipt of amoxicillin increased from 19% to 58% during the study period (P &lt; .01). Prescriptions for broader-spectrum agents, especially macrolides (18% overall), remained common. CONCLUSIONS Unlike the visit rate for AOM, the visit rate for acute sinusitis among children did not decrease after introduction of the pneumococcal conjugate vaccine. Although prescriptions for amoxicillin increased in accordance with the guidelines, reducing unnecessary prescriptions for macrolides remains an important target for campaigns promoting judicious antibiotic use.","author":[{"dropping-particle":"","family":"Shapiro","given":"Daniel J.","non-dropping-particle":"","parse-names":false,"suffix":""},{"dropping-particle":"","family":"Gonzales","given":"Ralph","non-dropping-particle":"","parse-names":false,"suffix":""},{"dropping-particle":"","family":"Cabana","given":"Michael D.","non-dropping-particle":"","parse-names":false,"suffix":""},{"dropping-particle":"","family":"Hersh","given":"Adam L","non-dropping-particle":"","parse-names":false,"suffix":""}],"container-title":"Pediatrics","id":"ITEM-1","issue":"1","issued":{"date-parts":[["2011"]]},"page":"28-34","title":"National trends in visit rates and antibiotic prescribing for children with acute sinusitis","type":"article-journal","volume":"127"},"uris":["http://www.mendeley.com/documents/?uuid=82951813-f93f-4cc4-aa8b-5c6868a36369"]}],"mendeley":{"formattedCitation":"[16]","plainTextFormattedCitation":"[16]","previouslyFormattedCitation":"[16]"},"properties":{"noteIndex":0},"schema":"https://github.com/citation-style-language/schema/raw/master/csl-citation.json"}</w:instrText>
            </w:r>
            <w:r w:rsidRPr="000679F5">
              <w:rPr>
                <w:rFonts w:cstheme="minorHAnsi"/>
                <w:color w:val="000000"/>
              </w:rPr>
              <w:fldChar w:fldCharType="separate"/>
            </w:r>
            <w:r w:rsidR="00BC4FB1">
              <w:rPr>
                <w:rFonts w:asciiTheme="minorHAnsi" w:hAnsiTheme="minorHAnsi" w:cstheme="minorHAnsi"/>
                <w:noProof/>
                <w:color w:val="000000"/>
                <w:sz w:val="22"/>
              </w:rPr>
              <w:t>[3]</w:t>
            </w:r>
            <w:r w:rsidRPr="000679F5">
              <w:rPr>
                <w:rFonts w:cstheme="minorHAnsi"/>
                <w:color w:val="000000"/>
              </w:rPr>
              <w:fldChar w:fldCharType="end"/>
            </w:r>
          </w:p>
        </w:tc>
      </w:tr>
      <w:tr w:rsidR="00433DF3" w:rsidRPr="00854503" w14:paraId="154B5921" w14:textId="77777777" w:rsidTr="00F77A75">
        <w:trPr>
          <w:trHeight w:val="288"/>
        </w:trPr>
        <w:tc>
          <w:tcPr>
            <w:tcW w:w="2156" w:type="pct"/>
          </w:tcPr>
          <w:p w14:paraId="31B7EEEA"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Proportion on antibiotics, GAS</w:t>
            </w:r>
          </w:p>
        </w:tc>
        <w:tc>
          <w:tcPr>
            <w:tcW w:w="834" w:type="pct"/>
          </w:tcPr>
          <w:p w14:paraId="785561AB" w14:textId="77777777" w:rsidR="00433DF3" w:rsidRPr="000679F5" w:rsidRDefault="00433DF3" w:rsidP="000679F5">
            <w:pPr>
              <w:spacing w:after="0" w:line="240" w:lineRule="auto"/>
              <w:jc w:val="center"/>
              <w:rPr>
                <w:rFonts w:asciiTheme="minorHAnsi" w:hAnsiTheme="minorHAnsi" w:cstheme="minorHAnsi"/>
                <w:color w:val="000000"/>
                <w:sz w:val="22"/>
              </w:rPr>
            </w:pPr>
            <w:r w:rsidRPr="000679F5">
              <w:rPr>
                <w:rFonts w:asciiTheme="minorHAnsi" w:hAnsiTheme="minorHAnsi" w:cstheme="minorHAnsi"/>
                <w:color w:val="000000"/>
                <w:sz w:val="22"/>
              </w:rPr>
              <w:t>1</w:t>
            </w:r>
          </w:p>
        </w:tc>
        <w:tc>
          <w:tcPr>
            <w:tcW w:w="2010" w:type="pct"/>
          </w:tcPr>
          <w:p w14:paraId="7E90D514" w14:textId="77777777" w:rsidR="00433DF3" w:rsidRPr="000679F5" w:rsidRDefault="00433DF3" w:rsidP="00F9740C">
            <w:pPr>
              <w:spacing w:after="0" w:line="240" w:lineRule="auto"/>
              <w:ind w:left="10"/>
              <w:rPr>
                <w:rFonts w:asciiTheme="minorHAnsi" w:hAnsiTheme="minorHAnsi" w:cstheme="minorHAnsi"/>
                <w:color w:val="000000"/>
                <w:sz w:val="22"/>
              </w:rPr>
            </w:pPr>
            <w:r w:rsidRPr="000679F5">
              <w:rPr>
                <w:rFonts w:asciiTheme="minorHAnsi" w:hAnsiTheme="minorHAnsi" w:cstheme="minorHAnsi"/>
                <w:color w:val="000000"/>
                <w:sz w:val="22"/>
              </w:rPr>
              <w:t>Expert opinion</w:t>
            </w:r>
          </w:p>
        </w:tc>
      </w:tr>
      <w:tr w:rsidR="00433DF3" w:rsidRPr="00854503" w14:paraId="5B6836B5" w14:textId="77777777" w:rsidTr="00F77A75">
        <w:trPr>
          <w:trHeight w:val="288"/>
        </w:trPr>
        <w:tc>
          <w:tcPr>
            <w:tcW w:w="2156" w:type="pct"/>
          </w:tcPr>
          <w:p w14:paraId="06A6FA05"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 xml:space="preserve">Proportion on narrow spectrum, OM, 6mo–2 </w:t>
            </w:r>
            <w:proofErr w:type="spellStart"/>
            <w:r w:rsidRPr="000679F5">
              <w:rPr>
                <w:rFonts w:asciiTheme="minorHAnsi" w:hAnsiTheme="minorHAnsi" w:cstheme="minorHAnsi"/>
                <w:color w:val="000000"/>
                <w:sz w:val="22"/>
              </w:rPr>
              <w:t>yr</w:t>
            </w:r>
            <w:proofErr w:type="spellEnd"/>
          </w:p>
        </w:tc>
        <w:tc>
          <w:tcPr>
            <w:tcW w:w="834" w:type="pct"/>
          </w:tcPr>
          <w:p w14:paraId="4ED239AD" w14:textId="77777777" w:rsidR="00433DF3" w:rsidRPr="000679F5" w:rsidRDefault="00433DF3" w:rsidP="000679F5">
            <w:pPr>
              <w:spacing w:after="0" w:line="240" w:lineRule="auto"/>
              <w:jc w:val="center"/>
              <w:rPr>
                <w:rFonts w:asciiTheme="minorHAnsi" w:hAnsiTheme="minorHAnsi" w:cstheme="minorHAnsi"/>
                <w:color w:val="000000"/>
                <w:sz w:val="22"/>
              </w:rPr>
            </w:pPr>
            <w:r w:rsidRPr="000679F5">
              <w:rPr>
                <w:rFonts w:asciiTheme="minorHAnsi" w:hAnsiTheme="minorHAnsi" w:cstheme="minorHAnsi"/>
                <w:color w:val="000000"/>
                <w:sz w:val="22"/>
              </w:rPr>
              <w:t>0.65</w:t>
            </w:r>
          </w:p>
        </w:tc>
        <w:tc>
          <w:tcPr>
            <w:tcW w:w="2010" w:type="pct"/>
          </w:tcPr>
          <w:p w14:paraId="71FB93F6" w14:textId="595C30B3" w:rsidR="00433DF3" w:rsidRPr="000679F5" w:rsidRDefault="00433DF3" w:rsidP="00F9740C">
            <w:pPr>
              <w:spacing w:after="0" w:line="240" w:lineRule="auto"/>
              <w:ind w:left="10"/>
              <w:rPr>
                <w:rFonts w:asciiTheme="minorHAnsi" w:hAnsiTheme="minorHAnsi" w:cstheme="minorHAnsi"/>
                <w:sz w:val="22"/>
              </w:rPr>
            </w:pPr>
            <w:proofErr w:type="spellStart"/>
            <w:r w:rsidRPr="000679F5">
              <w:rPr>
                <w:rFonts w:asciiTheme="minorHAnsi" w:hAnsiTheme="minorHAnsi" w:cstheme="minorHAnsi"/>
                <w:sz w:val="22"/>
              </w:rPr>
              <w:t>Suaya</w:t>
            </w:r>
            <w:proofErr w:type="spellEnd"/>
            <w:r w:rsidRPr="000679F5">
              <w:rPr>
                <w:rFonts w:asciiTheme="minorHAnsi" w:hAnsiTheme="minorHAnsi" w:cstheme="minorHAnsi"/>
                <w:sz w:val="22"/>
              </w:rPr>
              <w:t xml:space="preserve"> et al. (2018) </w:t>
            </w:r>
            <w:r w:rsidRPr="000679F5">
              <w:rPr>
                <w:rFonts w:cstheme="minorHAnsi"/>
              </w:rPr>
              <w:fldChar w:fldCharType="begin" w:fldLock="1"/>
            </w:r>
            <w:r w:rsidRPr="000679F5">
              <w:rPr>
                <w:rFonts w:asciiTheme="minorHAnsi" w:hAnsiTheme="minorHAnsi" w:cstheme="minorHAnsi"/>
                <w:sz w:val="22"/>
              </w:rPr>
              <w:instrText xml:space="preserve">ADDIN CSL_CITATION {"citationItems":[{"id":"ITEM-1","itemData":{"DOI":"10.1016/j.vaccine.2018.10.060","ISSN":"18732518","abstract":"Introduction: We analyzed outpatient visits, incidence, antimicrobial prescriptions, and medical expenditures for acute otitis media (AOM) in the United States during 2011–2016. Methods: Data sources included the National Disease and Therapeutic Index (NDTI™) projections by IQVIA (for AOM cases), The Medical Expenditure Panel Survey (for medical expenditures) and the US Census (for population estimates). Analyses focused on children aged ≤9 years between 2011 and 2016. We used the 2014 medical expenditure estimate per otitis media episode ($520) as proxy for all years. Results: In 2011, there were an estimated 11.5 million AOM episodes in children aged 0–9 years in the US with AOM incidence rates (IR) of 476, 204, and 284 episodes per 1000 children aged 0–2, 3–9, and 0–9 years, respectively. All subsequent years had lower IRs, and by 2016, IR was 25.1% lower than in 2011 in children 0–9 years. In addition, there were estimates of 10.8 million and 9.2 million fewer cumulative AOM episodes and antimicrobial prescriptions for AOM nationwide between 2012 and 2016, compared to annual 2011 estimates, representing a </w:instrText>
            </w:r>
            <w:r w:rsidRPr="000679F5">
              <w:rPr>
                <w:rFonts w:ascii="Cambria Math" w:hAnsi="Cambria Math" w:cs="Cambria Math"/>
                <w:sz w:val="22"/>
              </w:rPr>
              <w:instrText>∼</w:instrText>
            </w:r>
            <w:r w:rsidRPr="000679F5">
              <w:rPr>
                <w:rFonts w:asciiTheme="minorHAnsi" w:hAnsiTheme="minorHAnsi" w:cstheme="minorHAnsi"/>
                <w:sz w:val="22"/>
              </w:rPr>
              <w:instrText>$5.6 billion decrease in direct medical expenditures. The average number of antibiotic prescriptions per AOM visit remained stable with 0.89 and 0.86 prescriptions per visit in 2011 and 2016, respectively. Conclusions: AOM incidence, antimicrobial prescriptions, and associated medical expenses decreased substantially between 2011 and 2016 in the United States. Antimicrobial prescribing practices remain unchanged. Additional studies are warranted to assess causality.","author":[{"dropping-particle":"","family":"Suaya","given":"José A.","non-dropping-particle":"","parse-names":false,"suffix":""},{"dropping-particle":"","family":"Gessner","given":"Bradford D.","non-dropping-particle":"","parse-names":false,"suffix":""},{"dropping-particle":"","family":"Fung","given":"Shirley","non-dropping-particle":"","parse-names":false,"suffix":""},{"dropping-particle":"","family":"Vuocolo","given":"Scott","non-dropping-particle":"","parse-names":false,"suffix":""},{"dropping-particle":"","family":"Scaife","given":"John","non-dropping-particle":"","parse-names":false,"suffix":""},{"dropping-particle":"","family":"Swerdlow","given":"David L.","non-dropping-particle":"","parse-names":false,"suffix":""},{"dropping-particle":"","family":"Isturiz","given":"Raúl E.","non-dropping-particle":"","parse-names":false,"suffix":""},{"dropping-particle":"","family":"Arguedas","given":"Adriano G.","non-dropping-particle":"","parse-names":false,"suffix":""}],"container-title":"Vaccine","id":"ITEM-1","issue":"49","issued":{"date-parts":[["2018"]]},"page":"7479-7486","title":"Acute otitis media, antimicrobial prescriptions, and medical expenses among children in the United States during 2011–2016","type":"article-journal","volume":"36"},"uris":["http://www.mendeley.com/documents/?uuid=6d527ddd-29f9-4f3e-abdf-6d85b1a89920"]}],"mendeley":{"formattedCitation":"[18]","plainTextFormattedCitation":"[18]","previouslyFormattedCitation":"[18]"},"properties":{"noteIndex":0},"schema":"https://github.com/citation-style-language/schema/raw/master/csl-citation.json"}</w:instrText>
            </w:r>
            <w:r w:rsidRPr="000679F5">
              <w:rPr>
                <w:rFonts w:cstheme="minorHAnsi"/>
              </w:rPr>
              <w:fldChar w:fldCharType="separate"/>
            </w:r>
            <w:r w:rsidR="00BC4FB1">
              <w:rPr>
                <w:rFonts w:asciiTheme="minorHAnsi" w:hAnsiTheme="minorHAnsi" w:cstheme="minorHAnsi"/>
                <w:noProof/>
                <w:sz w:val="22"/>
              </w:rPr>
              <w:t>[5]</w:t>
            </w:r>
            <w:r w:rsidRPr="000679F5">
              <w:rPr>
                <w:rFonts w:cstheme="minorHAnsi"/>
              </w:rPr>
              <w:fldChar w:fldCharType="end"/>
            </w:r>
          </w:p>
        </w:tc>
      </w:tr>
      <w:tr w:rsidR="00433DF3" w:rsidRPr="00854503" w14:paraId="7BA80508" w14:textId="77777777" w:rsidTr="00F77A75">
        <w:trPr>
          <w:trHeight w:val="288"/>
        </w:trPr>
        <w:tc>
          <w:tcPr>
            <w:tcW w:w="2156" w:type="pct"/>
          </w:tcPr>
          <w:p w14:paraId="48079EC9"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 xml:space="preserve">Proportion on narrow spectrum, OM, 2 </w:t>
            </w:r>
            <w:proofErr w:type="spellStart"/>
            <w:r w:rsidRPr="000679F5">
              <w:rPr>
                <w:rFonts w:asciiTheme="minorHAnsi" w:hAnsiTheme="minorHAnsi" w:cstheme="minorHAnsi"/>
                <w:color w:val="000000"/>
                <w:sz w:val="22"/>
              </w:rPr>
              <w:t>yr</w:t>
            </w:r>
            <w:proofErr w:type="spellEnd"/>
            <w:r w:rsidRPr="000679F5">
              <w:rPr>
                <w:rFonts w:asciiTheme="minorHAnsi" w:hAnsiTheme="minorHAnsi" w:cstheme="minorHAnsi"/>
                <w:color w:val="000000"/>
                <w:sz w:val="22"/>
              </w:rPr>
              <w:t xml:space="preserve">–6 </w:t>
            </w:r>
            <w:proofErr w:type="spellStart"/>
            <w:r w:rsidRPr="000679F5">
              <w:rPr>
                <w:rFonts w:asciiTheme="minorHAnsi" w:hAnsiTheme="minorHAnsi" w:cstheme="minorHAnsi"/>
                <w:color w:val="000000"/>
                <w:sz w:val="22"/>
              </w:rPr>
              <w:t>yr</w:t>
            </w:r>
            <w:proofErr w:type="spellEnd"/>
          </w:p>
        </w:tc>
        <w:tc>
          <w:tcPr>
            <w:tcW w:w="834" w:type="pct"/>
          </w:tcPr>
          <w:p w14:paraId="67636779" w14:textId="77777777" w:rsidR="00433DF3" w:rsidRPr="000679F5" w:rsidRDefault="00433DF3" w:rsidP="000679F5">
            <w:pPr>
              <w:spacing w:after="0" w:line="240" w:lineRule="auto"/>
              <w:jc w:val="center"/>
              <w:rPr>
                <w:rFonts w:asciiTheme="minorHAnsi" w:hAnsiTheme="minorHAnsi" w:cstheme="minorHAnsi"/>
                <w:color w:val="000000"/>
                <w:sz w:val="22"/>
              </w:rPr>
            </w:pPr>
            <w:r w:rsidRPr="000679F5">
              <w:rPr>
                <w:rFonts w:asciiTheme="minorHAnsi" w:hAnsiTheme="minorHAnsi" w:cstheme="minorHAnsi"/>
                <w:color w:val="000000"/>
                <w:sz w:val="22"/>
              </w:rPr>
              <w:t>0.65</w:t>
            </w:r>
          </w:p>
        </w:tc>
        <w:tc>
          <w:tcPr>
            <w:tcW w:w="2010" w:type="pct"/>
          </w:tcPr>
          <w:p w14:paraId="6B8580B8" w14:textId="64E566D3" w:rsidR="00433DF3" w:rsidRPr="000679F5" w:rsidRDefault="00433DF3" w:rsidP="00F9740C">
            <w:pPr>
              <w:spacing w:after="0" w:line="240" w:lineRule="auto"/>
              <w:ind w:left="10"/>
              <w:rPr>
                <w:rFonts w:asciiTheme="minorHAnsi" w:hAnsiTheme="minorHAnsi" w:cstheme="minorHAnsi"/>
                <w:sz w:val="22"/>
              </w:rPr>
            </w:pPr>
            <w:proofErr w:type="spellStart"/>
            <w:r w:rsidRPr="000679F5">
              <w:rPr>
                <w:rFonts w:asciiTheme="minorHAnsi" w:hAnsiTheme="minorHAnsi" w:cstheme="minorHAnsi"/>
                <w:sz w:val="22"/>
              </w:rPr>
              <w:t>Suaya</w:t>
            </w:r>
            <w:proofErr w:type="spellEnd"/>
            <w:r w:rsidRPr="000679F5">
              <w:rPr>
                <w:rFonts w:asciiTheme="minorHAnsi" w:hAnsiTheme="minorHAnsi" w:cstheme="minorHAnsi"/>
                <w:sz w:val="22"/>
              </w:rPr>
              <w:t xml:space="preserve"> et al. (2018) </w:t>
            </w:r>
            <w:r w:rsidRPr="000679F5">
              <w:rPr>
                <w:rFonts w:cstheme="minorHAnsi"/>
              </w:rPr>
              <w:fldChar w:fldCharType="begin" w:fldLock="1"/>
            </w:r>
            <w:r w:rsidRPr="000679F5">
              <w:rPr>
                <w:rFonts w:asciiTheme="minorHAnsi" w:hAnsiTheme="minorHAnsi" w:cstheme="minorHAnsi"/>
                <w:sz w:val="22"/>
              </w:rPr>
              <w:instrText xml:space="preserve">ADDIN CSL_CITATION {"citationItems":[{"id":"ITEM-1","itemData":{"DOI":"10.1016/j.vaccine.2018.10.060","ISSN":"18732518","abstract":"Introduction: We analyzed outpatient visits, incidence, antimicrobial prescriptions, and medical expenditures for acute otitis media (AOM) in the United States during 2011–2016. Methods: Data sources included the National Disease and Therapeutic Index (NDTI™) projections by IQVIA (for AOM cases), The Medical Expenditure Panel Survey (for medical expenditures) and the US Census (for population estimates). Analyses focused on children aged ≤9 years between 2011 and 2016. We used the 2014 medical expenditure estimate per otitis media episode ($520) as proxy for all years. Results: In 2011, there were an estimated 11.5 million AOM episodes in children aged 0–9 years in the US with AOM incidence rates (IR) of 476, 204, and 284 episodes per 1000 children aged 0–2, 3–9, and 0–9 years, respectively. All subsequent years had lower IRs, and by 2016, IR was 25.1% lower than in 2011 in children 0–9 years. In addition, there were estimates of 10.8 million and 9.2 million fewer cumulative AOM episodes and antimicrobial prescriptions for AOM nationwide between 2012 and 2016, compared to annual 2011 estimates, representing a </w:instrText>
            </w:r>
            <w:r w:rsidRPr="000679F5">
              <w:rPr>
                <w:rFonts w:ascii="Cambria Math" w:hAnsi="Cambria Math" w:cs="Cambria Math"/>
                <w:sz w:val="22"/>
              </w:rPr>
              <w:instrText>∼</w:instrText>
            </w:r>
            <w:r w:rsidRPr="000679F5">
              <w:rPr>
                <w:rFonts w:asciiTheme="minorHAnsi" w:hAnsiTheme="minorHAnsi" w:cstheme="minorHAnsi"/>
                <w:sz w:val="22"/>
              </w:rPr>
              <w:instrText>$5.6 billion decrease in direct medical expenditures. The average number of antibiotic prescriptions per AOM visit remained stable with 0.89 and 0.86 prescriptions per visit in 2011 and 2016, respectively. Conclusions: AOM incidence, antimicrobial prescriptions, and associated medical expenses decreased substantially between 2011 and 2016 in the United States. Antimicrobial prescribing practices remain unchanged. Additional studies are warranted to assess causality.","author":[{"dropping-particle":"","family":"Suaya","given":"José A.","non-dropping-particle":"","parse-names":false,"suffix":""},{"dropping-particle":"","family":"Gessner","given":"Bradford D.","non-dropping-particle":"","parse-names":false,"suffix":""},{"dropping-particle":"","family":"Fung","given":"Shirley","non-dropping-particle":"","parse-names":false,"suffix":""},{"dropping-particle":"","family":"Vuocolo","given":"Scott","non-dropping-particle":"","parse-names":false,"suffix":""},{"dropping-particle":"","family":"Scaife","given":"John","non-dropping-particle":"","parse-names":false,"suffix":""},{"dropping-particle":"","family":"Swerdlow","given":"David L.","non-dropping-particle":"","parse-names":false,"suffix":""},{"dropping-particle":"","family":"Isturiz","given":"Raúl E.","non-dropping-particle":"","parse-names":false,"suffix":""},{"dropping-particle":"","family":"Arguedas","given":"Adriano G.","non-dropping-particle":"","parse-names":false,"suffix":""}],"container-title":"Vaccine","id":"ITEM-1","issue":"49","issued":{"date-parts":[["2018"]]},"page":"7479-7486","title":"Acute otitis media, antimicrobial prescriptions, and medical expenses among children in the United States during 2011–2016","type":"article-journal","volume":"36"},"uris":["http://www.mendeley.com/documents/?uuid=6d527ddd-29f9-4f3e-abdf-6d85b1a89920"]}],"mendeley":{"formattedCitation":"[18]","plainTextFormattedCitation":"[18]","previouslyFormattedCitation":"[18]"},"properties":{"noteIndex":0},"schema":"https://github.com/citation-style-language/schema/raw/master/csl-citation.json"}</w:instrText>
            </w:r>
            <w:r w:rsidRPr="000679F5">
              <w:rPr>
                <w:rFonts w:cstheme="minorHAnsi"/>
              </w:rPr>
              <w:fldChar w:fldCharType="separate"/>
            </w:r>
            <w:r w:rsidR="00BC4FB1">
              <w:rPr>
                <w:rFonts w:asciiTheme="minorHAnsi" w:hAnsiTheme="minorHAnsi" w:cstheme="minorHAnsi"/>
                <w:noProof/>
                <w:sz w:val="22"/>
              </w:rPr>
              <w:t>[5]</w:t>
            </w:r>
            <w:r w:rsidRPr="000679F5">
              <w:rPr>
                <w:rFonts w:cstheme="minorHAnsi"/>
              </w:rPr>
              <w:fldChar w:fldCharType="end"/>
            </w:r>
          </w:p>
        </w:tc>
      </w:tr>
      <w:tr w:rsidR="00433DF3" w:rsidRPr="00854503" w14:paraId="5281A741" w14:textId="77777777" w:rsidTr="00F77A75">
        <w:trPr>
          <w:trHeight w:val="288"/>
        </w:trPr>
        <w:tc>
          <w:tcPr>
            <w:tcW w:w="2156" w:type="pct"/>
          </w:tcPr>
          <w:p w14:paraId="77D5FD36"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 xml:space="preserve">Proportion on narrow spectrum, OM, 6 </w:t>
            </w:r>
            <w:proofErr w:type="spellStart"/>
            <w:r w:rsidRPr="000679F5">
              <w:rPr>
                <w:rFonts w:asciiTheme="minorHAnsi" w:hAnsiTheme="minorHAnsi" w:cstheme="minorHAnsi"/>
                <w:color w:val="000000"/>
                <w:sz w:val="22"/>
              </w:rPr>
              <w:t>yr</w:t>
            </w:r>
            <w:proofErr w:type="spellEnd"/>
            <w:r w:rsidRPr="000679F5">
              <w:rPr>
                <w:rFonts w:asciiTheme="minorHAnsi" w:hAnsiTheme="minorHAnsi" w:cstheme="minorHAnsi"/>
                <w:color w:val="000000"/>
                <w:sz w:val="22"/>
              </w:rPr>
              <w:t xml:space="preserve">–12 </w:t>
            </w:r>
            <w:proofErr w:type="spellStart"/>
            <w:r w:rsidRPr="000679F5">
              <w:rPr>
                <w:rFonts w:asciiTheme="minorHAnsi" w:hAnsiTheme="minorHAnsi" w:cstheme="minorHAnsi"/>
                <w:color w:val="000000"/>
                <w:sz w:val="22"/>
              </w:rPr>
              <w:t>yr</w:t>
            </w:r>
            <w:proofErr w:type="spellEnd"/>
          </w:p>
        </w:tc>
        <w:tc>
          <w:tcPr>
            <w:tcW w:w="834" w:type="pct"/>
          </w:tcPr>
          <w:p w14:paraId="676003D1" w14:textId="77777777" w:rsidR="00433DF3" w:rsidRPr="000679F5" w:rsidRDefault="00433DF3" w:rsidP="000679F5">
            <w:pPr>
              <w:spacing w:after="0" w:line="240" w:lineRule="auto"/>
              <w:jc w:val="center"/>
              <w:rPr>
                <w:rFonts w:asciiTheme="minorHAnsi" w:hAnsiTheme="minorHAnsi" w:cstheme="minorHAnsi"/>
                <w:color w:val="000000"/>
                <w:sz w:val="22"/>
              </w:rPr>
            </w:pPr>
            <w:r w:rsidRPr="000679F5">
              <w:rPr>
                <w:rFonts w:asciiTheme="minorHAnsi" w:hAnsiTheme="minorHAnsi" w:cstheme="minorHAnsi"/>
                <w:color w:val="000000"/>
                <w:sz w:val="22"/>
              </w:rPr>
              <w:t>0.65</w:t>
            </w:r>
          </w:p>
        </w:tc>
        <w:tc>
          <w:tcPr>
            <w:tcW w:w="2010" w:type="pct"/>
          </w:tcPr>
          <w:p w14:paraId="697F44DC" w14:textId="673B9C40" w:rsidR="00433DF3" w:rsidRPr="000679F5" w:rsidRDefault="00433DF3" w:rsidP="00F9740C">
            <w:pPr>
              <w:spacing w:after="0" w:line="240" w:lineRule="auto"/>
              <w:ind w:left="10"/>
              <w:rPr>
                <w:rFonts w:asciiTheme="minorHAnsi" w:hAnsiTheme="minorHAnsi" w:cstheme="minorHAnsi"/>
                <w:sz w:val="22"/>
              </w:rPr>
            </w:pPr>
            <w:proofErr w:type="spellStart"/>
            <w:r w:rsidRPr="000679F5">
              <w:rPr>
                <w:rFonts w:asciiTheme="minorHAnsi" w:hAnsiTheme="minorHAnsi" w:cstheme="minorHAnsi"/>
                <w:sz w:val="22"/>
              </w:rPr>
              <w:t>Suaya</w:t>
            </w:r>
            <w:proofErr w:type="spellEnd"/>
            <w:r w:rsidRPr="000679F5">
              <w:rPr>
                <w:rFonts w:asciiTheme="minorHAnsi" w:hAnsiTheme="minorHAnsi" w:cstheme="minorHAnsi"/>
                <w:sz w:val="22"/>
              </w:rPr>
              <w:t xml:space="preserve"> et al. (2018) </w:t>
            </w:r>
            <w:r w:rsidRPr="000679F5">
              <w:rPr>
                <w:rFonts w:cstheme="minorHAnsi"/>
              </w:rPr>
              <w:fldChar w:fldCharType="begin" w:fldLock="1"/>
            </w:r>
            <w:r w:rsidRPr="000679F5">
              <w:rPr>
                <w:rFonts w:asciiTheme="minorHAnsi" w:hAnsiTheme="minorHAnsi" w:cstheme="minorHAnsi"/>
                <w:sz w:val="22"/>
              </w:rPr>
              <w:instrText xml:space="preserve">ADDIN CSL_CITATION {"citationItems":[{"id":"ITEM-1","itemData":{"DOI":"10.1016/j.vaccine.2018.10.060","ISSN":"18732518","abstract":"Introduction: We analyzed outpatient visits, incidence, antimicrobial prescriptions, and medical expenditures for acute otitis media (AOM) in the United States during 2011–2016. Methods: Data sources included the National Disease and Therapeutic Index (NDTI™) projections by IQVIA (for AOM cases), The Medical Expenditure Panel Survey (for medical expenditures) and the US Census (for population estimates). Analyses focused on children aged ≤9 years between 2011 and 2016. We used the 2014 medical expenditure estimate per otitis media episode ($520) as proxy for all years. Results: In 2011, there were an estimated 11.5 million AOM episodes in children aged 0–9 years in the US with AOM incidence rates (IR) of 476, 204, and 284 episodes per 1000 children aged 0–2, 3–9, and 0–9 years, respectively. All subsequent years had lower IRs, and by 2016, IR was 25.1% lower than in 2011 in children 0–9 years. In addition, there were estimates of 10.8 million and 9.2 million fewer cumulative AOM episodes and antimicrobial prescriptions for AOM nationwide between 2012 and 2016, compared to annual 2011 estimates, representing a </w:instrText>
            </w:r>
            <w:r w:rsidRPr="000679F5">
              <w:rPr>
                <w:rFonts w:ascii="Cambria Math" w:hAnsi="Cambria Math" w:cs="Cambria Math"/>
                <w:sz w:val="22"/>
              </w:rPr>
              <w:instrText>∼</w:instrText>
            </w:r>
            <w:r w:rsidRPr="000679F5">
              <w:rPr>
                <w:rFonts w:asciiTheme="minorHAnsi" w:hAnsiTheme="minorHAnsi" w:cstheme="minorHAnsi"/>
                <w:sz w:val="22"/>
              </w:rPr>
              <w:instrText>$5.6 billion decrease in direct medical expenditures. The average number of antibiotic prescriptions per AOM visit remained stable with 0.89 and 0.86 prescriptions per visit in 2011 and 2016, respectively. Conclusions: AOM incidence, antimicrobial prescriptions, and associated medical expenses decreased substantially between 2011 and 2016 in the United States. Antimicrobial prescribing practices remain unchanged. Additional studies are warranted to assess causality.","author":[{"dropping-particle":"","family":"Suaya","given":"José A.","non-dropping-particle":"","parse-names":false,"suffix":""},{"dropping-particle":"","family":"Gessner","given":"Bradford D.","non-dropping-particle":"","parse-names":false,"suffix":""},{"dropping-particle":"","family":"Fung","given":"Shirley","non-dropping-particle":"","parse-names":false,"suffix":""},{"dropping-particle":"","family":"Vuocolo","given":"Scott","non-dropping-particle":"","parse-names":false,"suffix":""},{"dropping-particle":"","family":"Scaife","given":"John","non-dropping-particle":"","parse-names":false,"suffix":""},{"dropping-particle":"","family":"Swerdlow","given":"David L.","non-dropping-particle":"","parse-names":false,"suffix":""},{"dropping-particle":"","family":"Isturiz","given":"Raúl E.","non-dropping-particle":"","parse-names":false,"suffix":""},{"dropping-particle":"","family":"Arguedas","given":"Adriano G.","non-dropping-particle":"","parse-names":false,"suffix":""}],"container-title":"Vaccine","id":"ITEM-1","issue":"49","issued":{"date-parts":[["2018"]]},"page":"7479-7486","title":"Acute otitis media, antimicrobial prescriptions, and medical expenses among children in the United States during 2011–2016","type":"article-journal","volume":"36"},"uris":["http://www.mendeley.com/documents/?uuid=6d527ddd-29f9-4f3e-abdf-6d85b1a89920"]}],"mendeley":{"formattedCitation":"[18]","plainTextFormattedCitation":"[18]","previouslyFormattedCitation":"[18]"},"properties":{"noteIndex":0},"schema":"https://github.com/citation-style-language/schema/raw/master/csl-citation.json"}</w:instrText>
            </w:r>
            <w:r w:rsidRPr="000679F5">
              <w:rPr>
                <w:rFonts w:cstheme="minorHAnsi"/>
              </w:rPr>
              <w:fldChar w:fldCharType="separate"/>
            </w:r>
            <w:r w:rsidR="00BC4FB1">
              <w:rPr>
                <w:rFonts w:asciiTheme="minorHAnsi" w:hAnsiTheme="minorHAnsi" w:cstheme="minorHAnsi"/>
                <w:noProof/>
                <w:sz w:val="22"/>
              </w:rPr>
              <w:t>[5]</w:t>
            </w:r>
            <w:r w:rsidRPr="000679F5">
              <w:rPr>
                <w:rFonts w:cstheme="minorHAnsi"/>
              </w:rPr>
              <w:fldChar w:fldCharType="end"/>
            </w:r>
          </w:p>
        </w:tc>
      </w:tr>
      <w:tr w:rsidR="00433DF3" w:rsidRPr="00854503" w14:paraId="0D9C05D7" w14:textId="77777777" w:rsidTr="00F77A75">
        <w:trPr>
          <w:trHeight w:val="288"/>
        </w:trPr>
        <w:tc>
          <w:tcPr>
            <w:tcW w:w="2156" w:type="pct"/>
          </w:tcPr>
          <w:p w14:paraId="52FA41B4"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Proportion on narrow spectrum, AS</w:t>
            </w:r>
          </w:p>
        </w:tc>
        <w:tc>
          <w:tcPr>
            <w:tcW w:w="834" w:type="pct"/>
          </w:tcPr>
          <w:p w14:paraId="65B76F1B" w14:textId="77777777" w:rsidR="00433DF3" w:rsidRPr="000679F5" w:rsidRDefault="00433DF3" w:rsidP="000679F5">
            <w:pPr>
              <w:spacing w:after="0" w:line="240" w:lineRule="auto"/>
              <w:jc w:val="center"/>
              <w:rPr>
                <w:rFonts w:asciiTheme="minorHAnsi" w:hAnsiTheme="minorHAnsi" w:cstheme="minorHAnsi"/>
                <w:color w:val="000000"/>
                <w:sz w:val="22"/>
              </w:rPr>
            </w:pPr>
            <w:r w:rsidRPr="000679F5">
              <w:rPr>
                <w:rFonts w:asciiTheme="minorHAnsi" w:hAnsiTheme="minorHAnsi" w:cstheme="minorHAnsi"/>
                <w:color w:val="000000"/>
                <w:sz w:val="22"/>
              </w:rPr>
              <w:t>0.58</w:t>
            </w:r>
          </w:p>
        </w:tc>
        <w:tc>
          <w:tcPr>
            <w:tcW w:w="2010" w:type="pct"/>
          </w:tcPr>
          <w:p w14:paraId="492E3B0C" w14:textId="4A15564D" w:rsidR="00433DF3" w:rsidRPr="000679F5" w:rsidRDefault="00433DF3" w:rsidP="00F9740C">
            <w:pPr>
              <w:spacing w:after="0" w:line="240" w:lineRule="auto"/>
              <w:ind w:left="10"/>
              <w:rPr>
                <w:rFonts w:asciiTheme="minorHAnsi" w:hAnsiTheme="minorHAnsi" w:cstheme="minorHAnsi"/>
                <w:color w:val="000000"/>
                <w:sz w:val="22"/>
              </w:rPr>
            </w:pPr>
            <w:r w:rsidRPr="000679F5">
              <w:rPr>
                <w:rFonts w:asciiTheme="minorHAnsi" w:hAnsiTheme="minorHAnsi" w:cstheme="minorHAnsi"/>
                <w:color w:val="000000"/>
                <w:sz w:val="22"/>
              </w:rPr>
              <w:t xml:space="preserve">Shapiro et al. (2011) </w:t>
            </w:r>
            <w:r w:rsidRPr="000679F5">
              <w:rPr>
                <w:rFonts w:cstheme="minorHAnsi"/>
                <w:color w:val="000000"/>
              </w:rPr>
              <w:fldChar w:fldCharType="begin" w:fldLock="1"/>
            </w:r>
            <w:r w:rsidRPr="000679F5">
              <w:rPr>
                <w:rFonts w:asciiTheme="minorHAnsi" w:hAnsiTheme="minorHAnsi" w:cstheme="minorHAnsi"/>
                <w:color w:val="000000"/>
                <w:sz w:val="22"/>
              </w:rPr>
              <w:instrText>ADDIN CSL_CITATION {"citationItems":[{"id":"ITEM-1","itemData":{"DOI":"10.1542/peds.2010-1340","ISSN":"00314005","abstract":"OBJECTIVE The heptavalent pneumococcal conjugate vaccine contributed to a substantial decrease in the number of ambulatory visits attributable to acute otitis media (AOM) and amoxicillin use for AOM increased after publication of American Academy of Pediatrics guidelines regarding AOM. Our objective was to determine whether similar trends occurred for children with acute sinusitis. METHODS We analyzed data from the National Ambulatory Medical Care Survey and National Hospital Ambulatory Medical Care Survey (1998-2007), which are nationally representative surveys of office and emergency department visits. For children younger than 18 years with diagnosed acute sinusitis (N = 538), we examined time trends in visit rates and antibiotic prescribing. Multivariate logistic regression analyses were used to identify factors associated with narrow-spectrum antibiotic prescribing. RESULTS Between 1998 and 2007, the annual visit rate for acute sinusitis remained stable, ranging from 11 to 14 visits per 1000 children (P = .67). No change occurred in the proportion of visits with receipt of an antibiotic (82%; P = .71); however, the proportion with receipt of amoxicillin increased from 19% to 58% during the study period (P &lt; .01). Prescriptions for broader-spectrum agents, especially macrolides (18% overall), remained common. CONCLUSIONS Unlike the visit rate for AOM, the visit rate for acute sinusitis among children did not decrease after introduction of the pneumococcal conjugate vaccine. Although prescriptions for amoxicillin increased in accordance with the guidelines, reducing unnecessary prescriptions for macrolides remains an important target for campaigns promoting judicious antibiotic use.","author":[{"dropping-particle":"","family":"Shapiro","given":"Daniel J.","non-dropping-particle":"","parse-names":false,"suffix":""},{"dropping-particle":"","family":"Gonzales","given":"Ralph","non-dropping-particle":"","parse-names":false,"suffix":""},{"dropping-particle":"","family":"Cabana","given":"Michael D.","non-dropping-particle":"","parse-names":false,"suffix":""},{"dropping-particle":"","family":"Hersh","given":"Adam L","non-dropping-particle":"","parse-names":false,"suffix":""}],"container-title":"Pediatrics","id":"ITEM-1","issue":"1","issued":{"date-parts":[["2011"]]},"page":"28-34","title":"National trends in visit rates and antibiotic prescribing for children with acute sinusitis","type":"article-journal","volume":"127"},"uris":["http://www.mendeley.com/documents/?uuid=82951813-f93f-4cc4-aa8b-5c6868a36369"]}],"mendeley":{"formattedCitation":"[16]","plainTextFormattedCitation":"[16]","previouslyFormattedCitation":"[16]"},"properties":{"noteIndex":0},"schema":"https://github.com/citation-style-language/schema/raw/master/csl-citation.json"}</w:instrText>
            </w:r>
            <w:r w:rsidRPr="000679F5">
              <w:rPr>
                <w:rFonts w:cstheme="minorHAnsi"/>
                <w:color w:val="000000"/>
              </w:rPr>
              <w:fldChar w:fldCharType="separate"/>
            </w:r>
            <w:r w:rsidR="00BC4FB1">
              <w:rPr>
                <w:rFonts w:asciiTheme="minorHAnsi" w:hAnsiTheme="minorHAnsi" w:cstheme="minorHAnsi"/>
                <w:noProof/>
                <w:color w:val="000000"/>
                <w:sz w:val="22"/>
              </w:rPr>
              <w:t>[3]</w:t>
            </w:r>
            <w:r w:rsidRPr="000679F5">
              <w:rPr>
                <w:rFonts w:cstheme="minorHAnsi"/>
                <w:color w:val="000000"/>
              </w:rPr>
              <w:fldChar w:fldCharType="end"/>
            </w:r>
          </w:p>
        </w:tc>
      </w:tr>
      <w:tr w:rsidR="00433DF3" w:rsidRPr="00854503" w14:paraId="425CABB1" w14:textId="77777777" w:rsidTr="00F77A75">
        <w:trPr>
          <w:trHeight w:val="288"/>
        </w:trPr>
        <w:tc>
          <w:tcPr>
            <w:tcW w:w="2156" w:type="pct"/>
          </w:tcPr>
          <w:p w14:paraId="3598D1B6"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Proportion on narrow spectrum, GAS</w:t>
            </w:r>
          </w:p>
        </w:tc>
        <w:tc>
          <w:tcPr>
            <w:tcW w:w="834" w:type="pct"/>
          </w:tcPr>
          <w:p w14:paraId="42B20D55" w14:textId="77777777" w:rsidR="00433DF3" w:rsidRPr="000679F5" w:rsidRDefault="00433DF3" w:rsidP="000679F5">
            <w:pPr>
              <w:spacing w:after="0" w:line="240" w:lineRule="auto"/>
              <w:jc w:val="center"/>
              <w:rPr>
                <w:rFonts w:asciiTheme="minorHAnsi" w:hAnsiTheme="minorHAnsi" w:cstheme="minorHAnsi"/>
                <w:color w:val="000000"/>
                <w:sz w:val="22"/>
              </w:rPr>
            </w:pPr>
            <w:r w:rsidRPr="000679F5">
              <w:rPr>
                <w:rFonts w:asciiTheme="minorHAnsi" w:hAnsiTheme="minorHAnsi" w:cstheme="minorHAnsi"/>
                <w:color w:val="000000"/>
                <w:sz w:val="22"/>
              </w:rPr>
              <w:t>0.76</w:t>
            </w:r>
          </w:p>
        </w:tc>
        <w:tc>
          <w:tcPr>
            <w:tcW w:w="2010" w:type="pct"/>
          </w:tcPr>
          <w:p w14:paraId="43B64407" w14:textId="7BC510FD" w:rsidR="00433DF3" w:rsidRPr="000679F5" w:rsidRDefault="00433DF3" w:rsidP="00F9740C">
            <w:pPr>
              <w:spacing w:after="0" w:line="240" w:lineRule="auto"/>
              <w:ind w:left="10"/>
              <w:rPr>
                <w:rFonts w:asciiTheme="minorHAnsi" w:hAnsiTheme="minorHAnsi" w:cstheme="minorHAnsi"/>
                <w:color w:val="000000"/>
                <w:sz w:val="22"/>
              </w:rPr>
            </w:pPr>
            <w:proofErr w:type="spellStart"/>
            <w:r w:rsidRPr="000679F5">
              <w:rPr>
                <w:rFonts w:asciiTheme="minorHAnsi" w:hAnsiTheme="minorHAnsi" w:cstheme="minorHAnsi"/>
                <w:color w:val="000000"/>
                <w:sz w:val="22"/>
              </w:rPr>
              <w:t>Gidengil</w:t>
            </w:r>
            <w:proofErr w:type="spellEnd"/>
            <w:r w:rsidRPr="000679F5">
              <w:rPr>
                <w:rFonts w:asciiTheme="minorHAnsi" w:hAnsiTheme="minorHAnsi" w:cstheme="minorHAnsi"/>
                <w:color w:val="000000"/>
                <w:sz w:val="22"/>
              </w:rPr>
              <w:t xml:space="preserve"> et al. (2013) </w:t>
            </w:r>
            <w:r w:rsidRPr="000679F5">
              <w:rPr>
                <w:rFonts w:cstheme="minorHAnsi"/>
                <w:color w:val="000000"/>
              </w:rPr>
              <w:fldChar w:fldCharType="begin" w:fldLock="1"/>
            </w:r>
            <w:r w:rsidRPr="000679F5">
              <w:rPr>
                <w:rFonts w:asciiTheme="minorHAnsi" w:hAnsiTheme="minorHAnsi" w:cstheme="minorHAnsi"/>
                <w:color w:val="000000"/>
                <w:sz w:val="22"/>
              </w:rPr>
              <w:instrText>ADDIN CSL_CITATION {"citationItems":[{"id":"ITEM-1","itemData":{"DOI":"10.1093/JPIDS/PIT043","ISSN":"2048-7193","PMID":"26619498","author":[{"dropping-particle":"","family":"Gidengil","given":"C. A.","non-dropping-particle":"","parse-names":false,"suffix":""},{"dropping-particle":"","family":"Kruskal","given":"B. A.","non-dropping-particle":"","parse-names":false,"suffix":""},{"dropping-particle":"","family":"Lee","given":"G. M.","non-dropping-particle":"","parse-names":false,"suffix":""}],"container-title":"Journal of the Pediatric Infectious Diseases Society","id":"ITEM-1","issue":"4","issued":{"date-parts":[["2013"]]},"publisher":"J Pediatric Infect Dis Soc","title":"Initial Antibiotic Choice in the Treatment of Group A Streptococcal Pharyngitis and Return Visit Rates","type":"article-journal","volume":"2"},"uris":["http://www.mendeley.com/documents/?uuid=3d9b75e1-f7dc-390f-a3aa-d322ad796219"]}],"mendeley":{"formattedCitation":"[19]","plainTextFormattedCitation":"[19]","previouslyFormattedCitation":"[19]"},"properties":{"noteIndex":0},"schema":"https://github.com/citation-style-language/schema/raw/master/csl-citation.json"}</w:instrText>
            </w:r>
            <w:r w:rsidRPr="000679F5">
              <w:rPr>
                <w:rFonts w:cstheme="minorHAnsi"/>
                <w:color w:val="000000"/>
              </w:rPr>
              <w:fldChar w:fldCharType="separate"/>
            </w:r>
            <w:r w:rsidR="00D036E6">
              <w:rPr>
                <w:rFonts w:asciiTheme="minorHAnsi" w:hAnsiTheme="minorHAnsi" w:cstheme="minorHAnsi"/>
                <w:noProof/>
                <w:color w:val="000000"/>
                <w:sz w:val="22"/>
              </w:rPr>
              <w:t>[6]</w:t>
            </w:r>
            <w:r w:rsidRPr="000679F5">
              <w:rPr>
                <w:rFonts w:cstheme="minorHAnsi"/>
                <w:color w:val="000000"/>
              </w:rPr>
              <w:fldChar w:fldCharType="end"/>
            </w:r>
          </w:p>
        </w:tc>
      </w:tr>
      <w:tr w:rsidR="00433DF3" w:rsidRPr="00854503" w14:paraId="386E1CF2" w14:textId="77777777" w:rsidTr="00F77A75">
        <w:trPr>
          <w:trHeight w:val="288"/>
        </w:trPr>
        <w:tc>
          <w:tcPr>
            <w:tcW w:w="2156" w:type="pct"/>
          </w:tcPr>
          <w:p w14:paraId="78337565" w14:textId="77777777" w:rsidR="00433DF3" w:rsidRPr="000679F5" w:rsidRDefault="00433DF3" w:rsidP="00F9740C">
            <w:pPr>
              <w:spacing w:after="0" w:line="240" w:lineRule="auto"/>
              <w:ind w:left="60"/>
              <w:rPr>
                <w:rFonts w:asciiTheme="minorHAnsi" w:hAnsiTheme="minorHAnsi" w:cstheme="minorHAnsi"/>
                <w:color w:val="000000"/>
                <w:sz w:val="22"/>
              </w:rPr>
            </w:pPr>
            <w:r w:rsidRPr="000679F5">
              <w:rPr>
                <w:rFonts w:asciiTheme="minorHAnsi" w:hAnsiTheme="minorHAnsi" w:cstheme="minorHAnsi"/>
                <w:color w:val="000000"/>
                <w:sz w:val="22"/>
              </w:rPr>
              <w:t>Exclusion of penicillin-allergic children</w:t>
            </w:r>
          </w:p>
        </w:tc>
        <w:tc>
          <w:tcPr>
            <w:tcW w:w="834" w:type="pct"/>
          </w:tcPr>
          <w:p w14:paraId="692BAA8F"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0.88</w:t>
            </w:r>
          </w:p>
        </w:tc>
        <w:tc>
          <w:tcPr>
            <w:tcW w:w="2010" w:type="pct"/>
          </w:tcPr>
          <w:p w14:paraId="4B3B2E5A" w14:textId="1E1A8BA5" w:rsidR="00433DF3" w:rsidRPr="000679F5" w:rsidRDefault="00433DF3" w:rsidP="00F9740C">
            <w:pPr>
              <w:spacing w:after="0" w:line="240" w:lineRule="auto"/>
              <w:ind w:left="10"/>
              <w:rPr>
                <w:rFonts w:asciiTheme="minorHAnsi" w:hAnsiTheme="minorHAnsi" w:cstheme="minorHAnsi"/>
                <w:color w:val="000000"/>
                <w:sz w:val="22"/>
              </w:rPr>
            </w:pPr>
            <w:proofErr w:type="spellStart"/>
            <w:r w:rsidRPr="000679F5">
              <w:rPr>
                <w:rFonts w:asciiTheme="minorHAnsi" w:hAnsiTheme="minorHAnsi" w:cstheme="minorHAnsi"/>
                <w:color w:val="000000"/>
                <w:sz w:val="22"/>
              </w:rPr>
              <w:t>Vyles</w:t>
            </w:r>
            <w:proofErr w:type="spellEnd"/>
            <w:r w:rsidRPr="000679F5">
              <w:rPr>
                <w:rFonts w:asciiTheme="minorHAnsi" w:hAnsiTheme="minorHAnsi" w:cstheme="minorHAnsi"/>
                <w:color w:val="000000"/>
                <w:sz w:val="22"/>
              </w:rPr>
              <w:t xml:space="preserve"> et al. (201</w:t>
            </w:r>
            <w:r w:rsidR="007144C8">
              <w:rPr>
                <w:rFonts w:asciiTheme="minorHAnsi" w:hAnsiTheme="minorHAnsi" w:cstheme="minorHAnsi"/>
                <w:color w:val="000000"/>
                <w:sz w:val="22"/>
              </w:rPr>
              <w:t>7</w:t>
            </w:r>
            <w:r w:rsidRPr="000679F5">
              <w:rPr>
                <w:rFonts w:asciiTheme="minorHAnsi" w:hAnsiTheme="minorHAnsi" w:cstheme="minorHAnsi"/>
                <w:color w:val="000000"/>
                <w:sz w:val="22"/>
              </w:rPr>
              <w:t xml:space="preserve">) </w:t>
            </w:r>
            <w:r w:rsidRPr="000679F5">
              <w:rPr>
                <w:rFonts w:cstheme="minorHAnsi"/>
                <w:color w:val="000000"/>
              </w:rPr>
              <w:fldChar w:fldCharType="begin" w:fldLock="1"/>
            </w:r>
            <w:r w:rsidRPr="000679F5">
              <w:rPr>
                <w:rFonts w:asciiTheme="minorHAnsi" w:hAnsiTheme="minorHAnsi" w:cstheme="minorHAnsi"/>
                <w:color w:val="000000"/>
                <w:sz w:val="22"/>
              </w:rPr>
              <w:instrText>ADDIN CSL_CITATION {"citationItems":[{"id":"ITEM-1","itemData":{"DOI":"10.1016/j.acap.2019.01.002","ISSN":"18762867","abstract":"Background: Pediatric emergency medicine (PEM) and primary care provider (PCP) providers are the most likely physicians to initially label a child as allergic to penicillin. Differences in knowledge and management of reported penicillin allergy between these 2 groups have not been well characterized. Methods: A cross-sectional, 20-question survey was administered to PEM and PCPs to ascertain differential knowledge and management of penicillin allergy. Knowledge regarding high- and low-risk symptoms for true allergy and extent of history taking regarding allergy were compared between the 2 groups using t tests, Chi-square, and Wilcoxon tests. Results: In total, 182 PEM and 54 PCPs completed the survey. PEM and PCPs reported that 74.1 ± 19.5% and 69.0 ± 23.8% of patients with remote low-risk symptoms of allergy could tolerate penicillin without an allergic reaction. PEM and PCPs incorrectly identified low-risk symptoms of allergy as high-risk, including vomiting with medication administration and delayed skin rash. PCPs took more detailed allergy histories when compared with PEM providers. In total, 143 (78.5%) of PEM providers and 51 (94.4%) PCPs were interested in using a penicillin allergy questionnaire to segregate children into high- or low-risk categories. Conclusions: Most pediatric providers believe that children with a remote history of low-risk allergy symptoms could tolerate penicillin without an allergic reaction; however, this is infrequently acted upon. Both PEM and PCP providers were likely to classify low-risk symptoms as high-risk and infrequently referred children for further detailed allergy assessment. Both groups were receptive to decision support measures to facilitate improved penicillin allergy classification and labeling and support antibiotic appropriateness in their patients.","author":[{"dropping-particle":"","family":"Vyles","given":"David","non-dropping-particle":"","parse-names":false,"suffix":""},{"dropping-particle":"","family":"Mistry","given":"Rakesh D.","non-dropping-particle":"","parse-names":false,"suffix":""},{"dropping-particle":"","family":"Heffner","given":"Viday","non-dropping-particle":"","parse-names":false,"suffix":""},{"dropping-particle":"","family":"Drayna","given":"Patrick","non-dropping-particle":"","parse-names":false,"suffix":""},{"dropping-particle":"","family":"Chiu","given":"Asriani","non-dropping-particle":"","parse-names":false,"suffix":""},{"dropping-particle":"","family":"Visotcky","given":"Alexis","non-dropping-particle":"","parse-names":false,"suffix":""},{"dropping-particle":"","family":"Fraser","given":"Raphael","non-dropping-particle":"","parse-names":false,"suffix":""},{"dropping-particle":"","family":"Brousseau","given":"David C.","non-dropping-particle":"","parse-names":false,"suffix":""}],"container-title":"Academic Pediatrics","id":"ITEM-1","issue":"6","issued":{"date-parts":[["2019","8","1"]]},"page":"684-690","publisher":"Elsevier Inc.","title":"Reported Knowledge and Management of Potential Penicillin Allergy in Children","type":"article-journal","volume":"19"},"uris":["http://www.mendeley.com/documents/?uuid=bd16e9b8-4e32-393a-bdce-0fd199644a5d"]}],"mendeley":{"formattedCitation":"[42]","plainTextFormattedCitation":"[42]","previouslyFormattedCitation":"[42]"},"properties":{"noteIndex":0},"schema":"https://github.com/citation-style-language/schema/raw/master/csl-citation.json"}</w:instrText>
            </w:r>
            <w:r w:rsidRPr="000679F5">
              <w:rPr>
                <w:rFonts w:cstheme="minorHAnsi"/>
                <w:color w:val="000000"/>
              </w:rPr>
              <w:fldChar w:fldCharType="separate"/>
            </w:r>
            <w:r w:rsidR="00772EF7">
              <w:rPr>
                <w:rFonts w:asciiTheme="minorHAnsi" w:hAnsiTheme="minorHAnsi" w:cstheme="minorHAnsi"/>
                <w:noProof/>
                <w:color w:val="000000"/>
                <w:sz w:val="22"/>
              </w:rPr>
              <w:t>[7]</w:t>
            </w:r>
            <w:r w:rsidRPr="000679F5">
              <w:rPr>
                <w:rFonts w:cstheme="minorHAnsi"/>
                <w:color w:val="000000"/>
              </w:rPr>
              <w:fldChar w:fldCharType="end"/>
            </w:r>
            <w:r w:rsidR="007144C8">
              <w:rPr>
                <w:rFonts w:asciiTheme="minorHAnsi" w:hAnsiTheme="minorHAnsi" w:cstheme="minorHAnsi"/>
                <w:color w:val="000000"/>
                <w:sz w:val="22"/>
              </w:rPr>
              <w:t>; Kerr et al. (1994) [</w:t>
            </w:r>
            <w:r w:rsidR="00FE0E89">
              <w:rPr>
                <w:rFonts w:asciiTheme="minorHAnsi" w:hAnsiTheme="minorHAnsi" w:cstheme="minorHAnsi"/>
                <w:color w:val="000000"/>
                <w:sz w:val="22"/>
              </w:rPr>
              <w:t>8</w:t>
            </w:r>
            <w:r w:rsidR="007144C8">
              <w:rPr>
                <w:rFonts w:asciiTheme="minorHAnsi" w:hAnsiTheme="minorHAnsi" w:cstheme="minorHAnsi"/>
                <w:color w:val="000000"/>
                <w:sz w:val="22"/>
              </w:rPr>
              <w:t xml:space="preserve">]; Lee et al. (2000) </w:t>
            </w:r>
            <w:r w:rsidR="00FE0E89">
              <w:rPr>
                <w:rFonts w:asciiTheme="minorHAnsi" w:hAnsiTheme="minorHAnsi" w:cstheme="minorHAnsi"/>
                <w:color w:val="000000"/>
                <w:sz w:val="22"/>
              </w:rPr>
              <w:t>[9]</w:t>
            </w:r>
            <w:r w:rsidR="007144C8">
              <w:rPr>
                <w:rFonts w:asciiTheme="minorHAnsi" w:hAnsiTheme="minorHAnsi" w:cstheme="minorHAnsi"/>
                <w:color w:val="000000"/>
                <w:sz w:val="22"/>
              </w:rPr>
              <w:t xml:space="preserve">; Nicklas et al. (1999) </w:t>
            </w:r>
            <w:r w:rsidR="00FE0E89">
              <w:rPr>
                <w:rFonts w:asciiTheme="minorHAnsi" w:hAnsiTheme="minorHAnsi" w:cstheme="minorHAnsi"/>
                <w:color w:val="000000"/>
                <w:sz w:val="22"/>
              </w:rPr>
              <w:t>[10]</w:t>
            </w:r>
          </w:p>
        </w:tc>
      </w:tr>
      <w:tr w:rsidR="00433DF3" w:rsidRPr="00854503" w14:paraId="526FE75B" w14:textId="77777777" w:rsidTr="00F77A75">
        <w:trPr>
          <w:trHeight w:val="288"/>
        </w:trPr>
        <w:tc>
          <w:tcPr>
            <w:tcW w:w="2156" w:type="pct"/>
          </w:tcPr>
          <w:p w14:paraId="7359391E" w14:textId="77777777" w:rsidR="00433DF3" w:rsidRPr="000679F5" w:rsidRDefault="00433DF3" w:rsidP="00F9740C">
            <w:pPr>
              <w:spacing w:after="0" w:line="240" w:lineRule="auto"/>
              <w:ind w:left="60"/>
              <w:rPr>
                <w:rFonts w:asciiTheme="minorHAnsi" w:hAnsiTheme="minorHAnsi" w:cstheme="minorHAnsi"/>
                <w:color w:val="000000"/>
                <w:sz w:val="22"/>
              </w:rPr>
            </w:pPr>
            <w:r w:rsidRPr="00D77411">
              <w:rPr>
                <w:rFonts w:asciiTheme="minorHAnsi" w:hAnsiTheme="minorHAnsi" w:cstheme="minorHAnsi"/>
                <w:color w:val="000000"/>
                <w:sz w:val="22"/>
              </w:rPr>
              <w:t>Gerber et al. (2017) result implementation (proportion of children with narrow-spectrum antibiotic prescription)</w:t>
            </w:r>
          </w:p>
        </w:tc>
        <w:tc>
          <w:tcPr>
            <w:tcW w:w="834" w:type="pct"/>
          </w:tcPr>
          <w:p w14:paraId="40F11F7F" w14:textId="77777777" w:rsidR="00433DF3" w:rsidRPr="000679F5" w:rsidRDefault="00433DF3" w:rsidP="000679F5">
            <w:pPr>
              <w:spacing w:after="0" w:line="240" w:lineRule="auto"/>
              <w:jc w:val="center"/>
              <w:rPr>
                <w:rFonts w:asciiTheme="minorHAnsi" w:hAnsiTheme="minorHAnsi" w:cstheme="minorHAnsi"/>
                <w:sz w:val="22"/>
              </w:rPr>
            </w:pPr>
            <w:r w:rsidRPr="000679F5">
              <w:rPr>
                <w:rFonts w:asciiTheme="minorHAnsi" w:hAnsiTheme="minorHAnsi" w:cstheme="minorHAnsi"/>
                <w:sz w:val="22"/>
              </w:rPr>
              <w:t>1.000</w:t>
            </w:r>
          </w:p>
        </w:tc>
        <w:tc>
          <w:tcPr>
            <w:tcW w:w="2010" w:type="pct"/>
          </w:tcPr>
          <w:p w14:paraId="7D521EAE" w14:textId="74F10C8D" w:rsidR="00433DF3" w:rsidRPr="000679F5" w:rsidRDefault="00433DF3" w:rsidP="00F9740C">
            <w:pPr>
              <w:spacing w:after="0" w:line="240" w:lineRule="auto"/>
              <w:ind w:left="10"/>
              <w:rPr>
                <w:rFonts w:asciiTheme="minorHAnsi" w:hAnsiTheme="minorHAnsi" w:cstheme="minorHAnsi"/>
                <w:color w:val="000000"/>
                <w:sz w:val="22"/>
              </w:rPr>
            </w:pPr>
            <w:r w:rsidRPr="000679F5">
              <w:rPr>
                <w:rFonts w:asciiTheme="minorHAnsi" w:hAnsiTheme="minorHAnsi" w:cstheme="minorHAnsi"/>
                <w:color w:val="000000"/>
                <w:sz w:val="22"/>
              </w:rPr>
              <w:t xml:space="preserve">Implementation of Gerber findings </w:t>
            </w:r>
            <w:r w:rsidRPr="000679F5">
              <w:rPr>
                <w:rFonts w:cstheme="minorHAnsi"/>
                <w:color w:val="000000"/>
              </w:rPr>
              <w:fldChar w:fldCharType="begin" w:fldLock="1"/>
            </w:r>
            <w:r w:rsidRPr="000679F5">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sidRPr="000679F5">
              <w:rPr>
                <w:rFonts w:cstheme="minorHAnsi"/>
                <w:color w:val="000000"/>
              </w:rPr>
              <w:fldChar w:fldCharType="separate"/>
            </w:r>
            <w:r w:rsidR="00772EF7">
              <w:rPr>
                <w:rFonts w:asciiTheme="minorHAnsi" w:hAnsiTheme="minorHAnsi" w:cstheme="minorHAnsi"/>
                <w:noProof/>
                <w:color w:val="000000"/>
                <w:sz w:val="22"/>
              </w:rPr>
              <w:t>[11]</w:t>
            </w:r>
            <w:r w:rsidRPr="000679F5">
              <w:rPr>
                <w:rFonts w:cstheme="minorHAnsi"/>
                <w:color w:val="000000"/>
              </w:rPr>
              <w:fldChar w:fldCharType="end"/>
            </w:r>
          </w:p>
        </w:tc>
      </w:tr>
      <w:tr w:rsidR="00433DF3" w:rsidRPr="00854503" w14:paraId="12B4B332" w14:textId="77777777" w:rsidTr="00F77A75">
        <w:trPr>
          <w:trHeight w:val="288"/>
        </w:trPr>
        <w:tc>
          <w:tcPr>
            <w:tcW w:w="5000" w:type="pct"/>
            <w:gridSpan w:val="3"/>
            <w:shd w:val="clear" w:color="auto" w:fill="F2F2F2" w:themeFill="background1" w:themeFillShade="F2"/>
          </w:tcPr>
          <w:p w14:paraId="2A0B6880" w14:textId="77777777" w:rsidR="00433DF3" w:rsidRPr="00854503" w:rsidRDefault="00433DF3" w:rsidP="00F77A75">
            <w:pPr>
              <w:pStyle w:val="TableText-IPR"/>
              <w:keepNext/>
              <w:rPr>
                <w:rFonts w:asciiTheme="minorHAnsi" w:hAnsiTheme="minorHAnsi" w:cstheme="minorHAnsi"/>
                <w:sz w:val="22"/>
                <w:szCs w:val="22"/>
              </w:rPr>
            </w:pPr>
            <w:r w:rsidRPr="00854503">
              <w:rPr>
                <w:rFonts w:asciiTheme="minorHAnsi" w:eastAsia="Times New Roman" w:hAnsiTheme="minorHAnsi" w:cstheme="minorHAnsi"/>
                <w:b/>
                <w:sz w:val="22"/>
                <w:szCs w:val="22"/>
              </w:rPr>
              <w:t xml:space="preserve">Gerber et al. (2017) </w:t>
            </w:r>
            <w:r w:rsidRPr="00854503">
              <w:rPr>
                <w:rFonts w:asciiTheme="minorHAnsi" w:hAnsiTheme="minorHAnsi" w:cstheme="minorHAnsi"/>
                <w:b/>
                <w:sz w:val="22"/>
                <w:szCs w:val="22"/>
              </w:rPr>
              <w:t>Clinical Findings</w:t>
            </w:r>
          </w:p>
        </w:tc>
      </w:tr>
      <w:tr w:rsidR="00433DF3" w:rsidRPr="00854503" w14:paraId="71BE242F" w14:textId="77777777" w:rsidTr="00F77A75">
        <w:trPr>
          <w:trHeight w:val="288"/>
        </w:trPr>
        <w:tc>
          <w:tcPr>
            <w:tcW w:w="2156" w:type="pct"/>
          </w:tcPr>
          <w:p w14:paraId="394B3D96"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 xml:space="preserve">TF prob, narrow, OM, 6 </w:t>
            </w:r>
            <w:proofErr w:type="spellStart"/>
            <w:r w:rsidRPr="00854503">
              <w:rPr>
                <w:rFonts w:asciiTheme="minorHAnsi" w:hAnsiTheme="minorHAnsi" w:cstheme="minorHAnsi"/>
                <w:color w:val="000000"/>
                <w:sz w:val="22"/>
              </w:rPr>
              <w:t>mo</w:t>
            </w:r>
            <w:proofErr w:type="spellEnd"/>
            <w:r w:rsidRPr="00854503">
              <w:rPr>
                <w:rFonts w:asciiTheme="minorHAnsi" w:hAnsiTheme="minorHAnsi" w:cstheme="minorHAnsi"/>
                <w:color w:val="000000"/>
                <w:sz w:val="22"/>
              </w:rPr>
              <w:t xml:space="preserve">–2 </w:t>
            </w:r>
            <w:proofErr w:type="spellStart"/>
            <w:r w:rsidRPr="00854503">
              <w:rPr>
                <w:rFonts w:asciiTheme="minorHAnsi" w:hAnsiTheme="minorHAnsi" w:cstheme="minorHAnsi"/>
                <w:color w:val="000000"/>
                <w:sz w:val="22"/>
              </w:rPr>
              <w:t>yr</w:t>
            </w:r>
            <w:proofErr w:type="spellEnd"/>
            <w:r>
              <w:rPr>
                <w:rFonts w:asciiTheme="minorHAnsi" w:hAnsiTheme="minorHAnsi" w:cstheme="minorHAnsi"/>
                <w:color w:val="000000"/>
                <w:sz w:val="22"/>
              </w:rPr>
              <w:t xml:space="preserve">, 2 yr-6 </w:t>
            </w:r>
            <w:proofErr w:type="spellStart"/>
            <w:r>
              <w:rPr>
                <w:rFonts w:asciiTheme="minorHAnsi" w:hAnsiTheme="minorHAnsi" w:cstheme="minorHAnsi"/>
                <w:color w:val="000000"/>
                <w:sz w:val="22"/>
              </w:rPr>
              <w:t>yr</w:t>
            </w:r>
            <w:proofErr w:type="spellEnd"/>
            <w:r>
              <w:rPr>
                <w:rFonts w:asciiTheme="minorHAnsi" w:hAnsiTheme="minorHAnsi" w:cstheme="minorHAnsi"/>
                <w:color w:val="000000"/>
                <w:sz w:val="22"/>
              </w:rPr>
              <w:t xml:space="preserve">, &amp; 6 yr-12 </w:t>
            </w:r>
            <w:proofErr w:type="spellStart"/>
            <w:r>
              <w:rPr>
                <w:rFonts w:asciiTheme="minorHAnsi" w:hAnsiTheme="minorHAnsi" w:cstheme="minorHAnsi"/>
                <w:color w:val="000000"/>
                <w:sz w:val="22"/>
              </w:rPr>
              <w:t>yr</w:t>
            </w:r>
            <w:proofErr w:type="spellEnd"/>
          </w:p>
        </w:tc>
        <w:tc>
          <w:tcPr>
            <w:tcW w:w="834" w:type="pct"/>
          </w:tcPr>
          <w:p w14:paraId="168674B8" w14:textId="77777777" w:rsidR="00433DF3" w:rsidRPr="00854503" w:rsidRDefault="00433DF3" w:rsidP="00D77411">
            <w:pPr>
              <w:spacing w:after="0" w:line="240" w:lineRule="auto"/>
              <w:jc w:val="center"/>
              <w:rPr>
                <w:rFonts w:asciiTheme="minorHAnsi" w:hAnsiTheme="minorHAnsi" w:cstheme="minorHAnsi"/>
                <w:sz w:val="22"/>
              </w:rPr>
            </w:pPr>
            <w:r w:rsidRPr="001A400D">
              <w:rPr>
                <w:rFonts w:asciiTheme="minorHAnsi" w:hAnsiTheme="minorHAnsi" w:cstheme="minorHAnsi"/>
                <w:sz w:val="22"/>
              </w:rPr>
              <w:t>0.035</w:t>
            </w:r>
          </w:p>
        </w:tc>
        <w:tc>
          <w:tcPr>
            <w:tcW w:w="2010" w:type="pct"/>
          </w:tcPr>
          <w:p w14:paraId="3F38666C" w14:textId="77777777" w:rsidR="00433DF3" w:rsidRPr="009876DB" w:rsidRDefault="00433DF3" w:rsidP="00D77411">
            <w:pPr>
              <w:spacing w:after="0" w:line="240" w:lineRule="auto"/>
              <w:rPr>
                <w:rFonts w:asciiTheme="minorHAnsi" w:hAnsiTheme="minorHAnsi" w:cstheme="minorHAnsi"/>
                <w:color w:val="000000"/>
                <w:sz w:val="22"/>
              </w:rPr>
            </w:pPr>
            <w:r w:rsidRPr="009876DB">
              <w:rPr>
                <w:rFonts w:cstheme="minorHAnsi"/>
                <w:color w:val="000000"/>
                <w:sz w:val="22"/>
              </w:rPr>
              <w:t>Weighted average of age-specific results, personal communication with Dr. Gerber</w:t>
            </w:r>
          </w:p>
        </w:tc>
      </w:tr>
      <w:tr w:rsidR="00433DF3" w:rsidRPr="00854503" w14:paraId="21E76DAD" w14:textId="77777777" w:rsidTr="00F77A75">
        <w:trPr>
          <w:trHeight w:val="288"/>
        </w:trPr>
        <w:tc>
          <w:tcPr>
            <w:tcW w:w="2156" w:type="pct"/>
          </w:tcPr>
          <w:p w14:paraId="267F0EF2"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TF prob, narrow, AS</w:t>
            </w:r>
          </w:p>
        </w:tc>
        <w:tc>
          <w:tcPr>
            <w:tcW w:w="834" w:type="pct"/>
          </w:tcPr>
          <w:p w14:paraId="736D14BB" w14:textId="77777777" w:rsidR="00433DF3" w:rsidRPr="00854503" w:rsidRDefault="00433DF3" w:rsidP="00D77411">
            <w:pPr>
              <w:spacing w:after="0" w:line="240" w:lineRule="auto"/>
              <w:jc w:val="center"/>
              <w:rPr>
                <w:rFonts w:asciiTheme="minorHAnsi" w:hAnsiTheme="minorHAnsi" w:cstheme="minorHAnsi"/>
                <w:sz w:val="22"/>
              </w:rPr>
            </w:pPr>
            <w:r w:rsidRPr="00854503">
              <w:rPr>
                <w:rFonts w:asciiTheme="minorHAnsi" w:hAnsiTheme="minorHAnsi" w:cstheme="minorHAnsi"/>
                <w:sz w:val="22"/>
              </w:rPr>
              <w:t>0.015</w:t>
            </w:r>
          </w:p>
        </w:tc>
        <w:tc>
          <w:tcPr>
            <w:tcW w:w="2010" w:type="pct"/>
          </w:tcPr>
          <w:p w14:paraId="3AC13A54" w14:textId="41487EA0" w:rsidR="00433DF3" w:rsidRPr="009456DF" w:rsidRDefault="00433DF3" w:rsidP="00D77411">
            <w:pPr>
              <w:spacing w:after="0" w:line="240" w:lineRule="auto"/>
              <w:rPr>
                <w:rFonts w:asciiTheme="minorHAnsi" w:hAnsiTheme="minorHAnsi" w:cstheme="minorHAnsi"/>
                <w:color w:val="000000"/>
                <w:sz w:val="22"/>
              </w:rPr>
            </w:pPr>
            <w:r w:rsidRPr="009456DF">
              <w:rPr>
                <w:rFonts w:asciiTheme="minorHAnsi" w:hAnsiTheme="minorHAnsi" w:cstheme="minorHAnsi"/>
                <w:color w:val="000000"/>
                <w:sz w:val="22"/>
              </w:rPr>
              <w:t xml:space="preserve">Gerber et al. (2017) </w:t>
            </w:r>
            <w:r w:rsidRPr="009876DB">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sidRPr="009876DB">
              <w:rPr>
                <w:rFonts w:cstheme="minorHAnsi"/>
                <w:color w:val="000000"/>
              </w:rPr>
              <w:fldChar w:fldCharType="separate"/>
            </w:r>
            <w:r w:rsidR="00772EF7">
              <w:rPr>
                <w:rFonts w:asciiTheme="minorHAnsi" w:hAnsiTheme="minorHAnsi" w:cstheme="minorHAnsi"/>
                <w:noProof/>
                <w:color w:val="000000"/>
                <w:sz w:val="22"/>
              </w:rPr>
              <w:t>[11]</w:t>
            </w:r>
            <w:r w:rsidRPr="009876DB">
              <w:rPr>
                <w:rFonts w:cstheme="minorHAnsi"/>
                <w:color w:val="000000"/>
              </w:rPr>
              <w:fldChar w:fldCharType="end"/>
            </w:r>
          </w:p>
        </w:tc>
      </w:tr>
      <w:tr w:rsidR="00433DF3" w:rsidRPr="00854503" w14:paraId="4F402626" w14:textId="77777777" w:rsidTr="00F77A75">
        <w:trPr>
          <w:trHeight w:val="288"/>
        </w:trPr>
        <w:tc>
          <w:tcPr>
            <w:tcW w:w="2156" w:type="pct"/>
          </w:tcPr>
          <w:p w14:paraId="4667526D"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TF prob, narrow, GAS</w:t>
            </w:r>
          </w:p>
        </w:tc>
        <w:tc>
          <w:tcPr>
            <w:tcW w:w="834" w:type="pct"/>
          </w:tcPr>
          <w:p w14:paraId="04D1EB81" w14:textId="77777777" w:rsidR="00433DF3" w:rsidRPr="00854503" w:rsidRDefault="00433DF3" w:rsidP="00D77411">
            <w:pPr>
              <w:spacing w:after="0" w:line="240" w:lineRule="auto"/>
              <w:jc w:val="center"/>
              <w:rPr>
                <w:rFonts w:asciiTheme="minorHAnsi" w:hAnsiTheme="minorHAnsi" w:cstheme="minorHAnsi"/>
                <w:sz w:val="22"/>
              </w:rPr>
            </w:pPr>
            <w:r w:rsidRPr="00854503">
              <w:rPr>
                <w:rFonts w:asciiTheme="minorHAnsi" w:hAnsiTheme="minorHAnsi" w:cstheme="minorHAnsi"/>
                <w:sz w:val="22"/>
              </w:rPr>
              <w:t>0.024</w:t>
            </w:r>
          </w:p>
        </w:tc>
        <w:tc>
          <w:tcPr>
            <w:tcW w:w="2010" w:type="pct"/>
          </w:tcPr>
          <w:p w14:paraId="0444676B" w14:textId="01E7B3C9" w:rsidR="00433DF3" w:rsidRPr="009456DF" w:rsidRDefault="00433DF3" w:rsidP="00D77411">
            <w:pPr>
              <w:spacing w:after="0" w:line="240" w:lineRule="auto"/>
              <w:rPr>
                <w:rFonts w:asciiTheme="minorHAnsi" w:hAnsiTheme="minorHAnsi" w:cstheme="minorHAnsi"/>
                <w:color w:val="000000"/>
                <w:sz w:val="22"/>
              </w:rPr>
            </w:pPr>
            <w:r w:rsidRPr="009456DF">
              <w:rPr>
                <w:rFonts w:asciiTheme="minorHAnsi" w:hAnsiTheme="minorHAnsi" w:cstheme="minorHAnsi"/>
                <w:color w:val="000000"/>
                <w:sz w:val="22"/>
              </w:rPr>
              <w:t xml:space="preserve">Gerber et al. (2017) </w:t>
            </w:r>
            <w:r w:rsidRPr="009876DB">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sidRPr="009876DB">
              <w:rPr>
                <w:rFonts w:cstheme="minorHAnsi"/>
                <w:color w:val="000000"/>
              </w:rPr>
              <w:fldChar w:fldCharType="separate"/>
            </w:r>
            <w:r w:rsidR="00772EF7">
              <w:rPr>
                <w:rFonts w:asciiTheme="minorHAnsi" w:hAnsiTheme="minorHAnsi" w:cstheme="minorHAnsi"/>
                <w:noProof/>
                <w:color w:val="000000"/>
                <w:sz w:val="22"/>
              </w:rPr>
              <w:t>[11]</w:t>
            </w:r>
            <w:r w:rsidRPr="009876DB">
              <w:rPr>
                <w:rFonts w:cstheme="minorHAnsi"/>
                <w:color w:val="000000"/>
              </w:rPr>
              <w:fldChar w:fldCharType="end"/>
            </w:r>
          </w:p>
        </w:tc>
      </w:tr>
      <w:tr w:rsidR="00433DF3" w:rsidRPr="00854503" w14:paraId="291EA754" w14:textId="77777777" w:rsidTr="00F77A75">
        <w:trPr>
          <w:trHeight w:val="288"/>
        </w:trPr>
        <w:tc>
          <w:tcPr>
            <w:tcW w:w="2156" w:type="pct"/>
          </w:tcPr>
          <w:p w14:paraId="6B045512"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lastRenderedPageBreak/>
              <w:t xml:space="preserve">TF prob, broad, OM, 6 </w:t>
            </w:r>
            <w:proofErr w:type="spellStart"/>
            <w:r w:rsidRPr="00854503">
              <w:rPr>
                <w:rFonts w:asciiTheme="minorHAnsi" w:hAnsiTheme="minorHAnsi" w:cstheme="minorHAnsi"/>
                <w:color w:val="000000"/>
                <w:sz w:val="22"/>
              </w:rPr>
              <w:t>mo</w:t>
            </w:r>
            <w:proofErr w:type="spellEnd"/>
            <w:r w:rsidRPr="00854503">
              <w:rPr>
                <w:rFonts w:asciiTheme="minorHAnsi" w:hAnsiTheme="minorHAnsi" w:cstheme="minorHAnsi"/>
                <w:color w:val="000000"/>
                <w:sz w:val="22"/>
              </w:rPr>
              <w:t xml:space="preserve">–2 </w:t>
            </w:r>
            <w:proofErr w:type="spellStart"/>
            <w:r w:rsidRPr="00854503">
              <w:rPr>
                <w:rFonts w:asciiTheme="minorHAnsi" w:hAnsiTheme="minorHAnsi" w:cstheme="minorHAnsi"/>
                <w:color w:val="000000"/>
                <w:sz w:val="22"/>
              </w:rPr>
              <w:t>yr</w:t>
            </w:r>
            <w:proofErr w:type="spellEnd"/>
            <w:r>
              <w:rPr>
                <w:rFonts w:asciiTheme="minorHAnsi" w:hAnsiTheme="minorHAnsi" w:cstheme="minorHAnsi"/>
                <w:color w:val="000000"/>
                <w:sz w:val="22"/>
              </w:rPr>
              <w:t xml:space="preserve">, 2 yr-6 </w:t>
            </w:r>
            <w:proofErr w:type="spellStart"/>
            <w:r>
              <w:rPr>
                <w:rFonts w:asciiTheme="minorHAnsi" w:hAnsiTheme="minorHAnsi" w:cstheme="minorHAnsi"/>
                <w:color w:val="000000"/>
                <w:sz w:val="22"/>
              </w:rPr>
              <w:t>yr</w:t>
            </w:r>
            <w:proofErr w:type="spellEnd"/>
            <w:r>
              <w:rPr>
                <w:rFonts w:asciiTheme="minorHAnsi" w:hAnsiTheme="minorHAnsi" w:cstheme="minorHAnsi"/>
                <w:color w:val="000000"/>
                <w:sz w:val="22"/>
              </w:rPr>
              <w:t xml:space="preserve">, &amp; 6 yr-12 </w:t>
            </w:r>
            <w:proofErr w:type="spellStart"/>
            <w:r>
              <w:rPr>
                <w:rFonts w:asciiTheme="minorHAnsi" w:hAnsiTheme="minorHAnsi" w:cstheme="minorHAnsi"/>
                <w:color w:val="000000"/>
                <w:sz w:val="22"/>
              </w:rPr>
              <w:t>yr</w:t>
            </w:r>
            <w:proofErr w:type="spellEnd"/>
          </w:p>
        </w:tc>
        <w:tc>
          <w:tcPr>
            <w:tcW w:w="834" w:type="pct"/>
          </w:tcPr>
          <w:p w14:paraId="20408881" w14:textId="77777777" w:rsidR="00433DF3" w:rsidRPr="00854503" w:rsidRDefault="00433DF3" w:rsidP="00D77411">
            <w:pPr>
              <w:spacing w:after="0" w:line="240" w:lineRule="auto"/>
              <w:jc w:val="center"/>
              <w:rPr>
                <w:rFonts w:asciiTheme="minorHAnsi" w:hAnsiTheme="minorHAnsi" w:cstheme="minorHAnsi"/>
                <w:sz w:val="22"/>
              </w:rPr>
            </w:pPr>
            <w:r w:rsidRPr="001A400D">
              <w:rPr>
                <w:rFonts w:asciiTheme="minorHAnsi" w:hAnsiTheme="minorHAnsi" w:cstheme="minorHAnsi"/>
                <w:sz w:val="22"/>
              </w:rPr>
              <w:t>0.046</w:t>
            </w:r>
          </w:p>
        </w:tc>
        <w:tc>
          <w:tcPr>
            <w:tcW w:w="2010" w:type="pct"/>
          </w:tcPr>
          <w:p w14:paraId="66C1852B" w14:textId="77777777" w:rsidR="00433DF3" w:rsidRPr="009876DB" w:rsidRDefault="00433DF3" w:rsidP="00D77411">
            <w:pPr>
              <w:spacing w:after="0" w:line="240" w:lineRule="auto"/>
              <w:rPr>
                <w:rFonts w:asciiTheme="minorHAnsi" w:hAnsiTheme="minorHAnsi" w:cstheme="minorHAnsi"/>
                <w:color w:val="000000"/>
                <w:sz w:val="22"/>
              </w:rPr>
            </w:pPr>
            <w:r w:rsidRPr="009876DB">
              <w:rPr>
                <w:rFonts w:cstheme="minorHAnsi"/>
                <w:color w:val="000000"/>
                <w:sz w:val="22"/>
              </w:rPr>
              <w:t>Weighted average of age-specific results, personal communication with Dr. Gerber</w:t>
            </w:r>
          </w:p>
        </w:tc>
      </w:tr>
      <w:tr w:rsidR="00433DF3" w:rsidRPr="00854503" w14:paraId="1E1F818A" w14:textId="77777777" w:rsidTr="00F77A75">
        <w:trPr>
          <w:trHeight w:val="288"/>
        </w:trPr>
        <w:tc>
          <w:tcPr>
            <w:tcW w:w="2156" w:type="pct"/>
          </w:tcPr>
          <w:p w14:paraId="1805F9CA"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TF risk diff, broad, AS</w:t>
            </w:r>
          </w:p>
        </w:tc>
        <w:tc>
          <w:tcPr>
            <w:tcW w:w="834" w:type="pct"/>
          </w:tcPr>
          <w:p w14:paraId="384C7DAB" w14:textId="77777777" w:rsidR="00433DF3" w:rsidRPr="00854503" w:rsidRDefault="00433DF3" w:rsidP="00D77411">
            <w:pPr>
              <w:spacing w:after="0" w:line="240" w:lineRule="auto"/>
              <w:jc w:val="center"/>
              <w:rPr>
                <w:rFonts w:asciiTheme="minorHAnsi" w:hAnsiTheme="minorHAnsi" w:cstheme="minorHAnsi"/>
                <w:sz w:val="22"/>
              </w:rPr>
            </w:pPr>
            <w:r w:rsidRPr="00854503">
              <w:rPr>
                <w:rFonts w:asciiTheme="minorHAnsi" w:hAnsiTheme="minorHAnsi" w:cstheme="minorHAnsi"/>
                <w:sz w:val="22"/>
              </w:rPr>
              <w:t>0.005</w:t>
            </w:r>
          </w:p>
        </w:tc>
        <w:tc>
          <w:tcPr>
            <w:tcW w:w="2010" w:type="pct"/>
          </w:tcPr>
          <w:p w14:paraId="697DE74E" w14:textId="14D31D7B" w:rsidR="00433DF3" w:rsidRPr="00854503" w:rsidRDefault="00433DF3" w:rsidP="00D77411">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Pr>
                <w:rFonts w:cstheme="minorHAnsi"/>
                <w:color w:val="000000"/>
              </w:rPr>
              <w:fldChar w:fldCharType="separate"/>
            </w:r>
            <w:r w:rsidR="00772EF7">
              <w:rPr>
                <w:rFonts w:asciiTheme="minorHAnsi" w:hAnsiTheme="minorHAnsi" w:cstheme="minorHAnsi"/>
                <w:noProof/>
                <w:color w:val="000000"/>
                <w:sz w:val="22"/>
              </w:rPr>
              <w:t>[11]</w:t>
            </w:r>
            <w:r>
              <w:rPr>
                <w:rFonts w:cstheme="minorHAnsi"/>
                <w:color w:val="000000"/>
              </w:rPr>
              <w:fldChar w:fldCharType="end"/>
            </w:r>
          </w:p>
        </w:tc>
      </w:tr>
      <w:tr w:rsidR="00433DF3" w:rsidRPr="00854503" w14:paraId="19F2E353" w14:textId="77777777" w:rsidTr="00F77A75">
        <w:trPr>
          <w:trHeight w:val="288"/>
        </w:trPr>
        <w:tc>
          <w:tcPr>
            <w:tcW w:w="2156" w:type="pct"/>
          </w:tcPr>
          <w:p w14:paraId="39B95BAE"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TF risk diff, broad, GAS</w:t>
            </w:r>
          </w:p>
        </w:tc>
        <w:tc>
          <w:tcPr>
            <w:tcW w:w="834" w:type="pct"/>
          </w:tcPr>
          <w:p w14:paraId="16FF062B" w14:textId="77777777" w:rsidR="00433DF3" w:rsidRPr="00854503" w:rsidRDefault="00433DF3" w:rsidP="00D77411">
            <w:pPr>
              <w:spacing w:after="0" w:line="240" w:lineRule="auto"/>
              <w:jc w:val="center"/>
              <w:rPr>
                <w:rFonts w:asciiTheme="minorHAnsi" w:hAnsiTheme="minorHAnsi" w:cstheme="minorHAnsi"/>
                <w:sz w:val="22"/>
              </w:rPr>
            </w:pPr>
            <w:r w:rsidRPr="00854503">
              <w:rPr>
                <w:rFonts w:asciiTheme="minorHAnsi" w:hAnsiTheme="minorHAnsi" w:cstheme="minorHAnsi"/>
                <w:sz w:val="22"/>
              </w:rPr>
              <w:t>-0.013</w:t>
            </w:r>
          </w:p>
        </w:tc>
        <w:tc>
          <w:tcPr>
            <w:tcW w:w="2010" w:type="pct"/>
          </w:tcPr>
          <w:p w14:paraId="509C5EEF" w14:textId="6FE09B50" w:rsidR="00433DF3" w:rsidRPr="00854503" w:rsidRDefault="00433DF3" w:rsidP="00D77411">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Pr>
                <w:rFonts w:cstheme="minorHAnsi"/>
                <w:color w:val="000000"/>
              </w:rPr>
              <w:fldChar w:fldCharType="separate"/>
            </w:r>
            <w:r w:rsidR="00772EF7">
              <w:rPr>
                <w:rFonts w:asciiTheme="minorHAnsi" w:hAnsiTheme="minorHAnsi" w:cstheme="minorHAnsi"/>
                <w:noProof/>
                <w:color w:val="000000"/>
                <w:sz w:val="22"/>
              </w:rPr>
              <w:t>[11]</w:t>
            </w:r>
            <w:r>
              <w:rPr>
                <w:rFonts w:cstheme="minorHAnsi"/>
                <w:color w:val="000000"/>
              </w:rPr>
              <w:fldChar w:fldCharType="end"/>
            </w:r>
          </w:p>
        </w:tc>
      </w:tr>
      <w:tr w:rsidR="00433DF3" w:rsidRPr="00854503" w14:paraId="4E368A5E" w14:textId="77777777" w:rsidTr="00F77A75">
        <w:trPr>
          <w:trHeight w:val="288"/>
        </w:trPr>
        <w:tc>
          <w:tcPr>
            <w:tcW w:w="2156" w:type="pct"/>
          </w:tcPr>
          <w:p w14:paraId="16079B3B"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ADR prob (retrospective), narrow, OM</w:t>
            </w:r>
          </w:p>
        </w:tc>
        <w:tc>
          <w:tcPr>
            <w:tcW w:w="834" w:type="pct"/>
          </w:tcPr>
          <w:p w14:paraId="3CDAE320" w14:textId="77777777" w:rsidR="00433DF3" w:rsidRPr="00854503" w:rsidRDefault="00433DF3" w:rsidP="00D77411">
            <w:pPr>
              <w:spacing w:after="0" w:line="240" w:lineRule="auto"/>
              <w:jc w:val="center"/>
              <w:rPr>
                <w:rFonts w:asciiTheme="minorHAnsi" w:hAnsiTheme="minorHAnsi" w:cstheme="minorHAnsi"/>
                <w:sz w:val="22"/>
              </w:rPr>
            </w:pPr>
            <w:r w:rsidRPr="00854503">
              <w:rPr>
                <w:rFonts w:asciiTheme="minorHAnsi" w:hAnsiTheme="minorHAnsi" w:cstheme="minorHAnsi"/>
                <w:sz w:val="22"/>
              </w:rPr>
              <w:t>0.031</w:t>
            </w:r>
          </w:p>
        </w:tc>
        <w:tc>
          <w:tcPr>
            <w:tcW w:w="2010" w:type="pct"/>
          </w:tcPr>
          <w:p w14:paraId="34482169" w14:textId="72CD4BA3" w:rsidR="00433DF3" w:rsidRPr="00854503" w:rsidRDefault="00433DF3" w:rsidP="00D77411">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Pr>
                <w:rFonts w:cstheme="minorHAnsi"/>
                <w:color w:val="000000"/>
              </w:rPr>
              <w:fldChar w:fldCharType="separate"/>
            </w:r>
            <w:r w:rsidR="00772EF7">
              <w:rPr>
                <w:rFonts w:asciiTheme="minorHAnsi" w:hAnsiTheme="minorHAnsi" w:cstheme="minorHAnsi"/>
                <w:noProof/>
                <w:color w:val="000000"/>
                <w:sz w:val="22"/>
              </w:rPr>
              <w:t>[11]</w:t>
            </w:r>
            <w:r>
              <w:rPr>
                <w:rFonts w:cstheme="minorHAnsi"/>
                <w:color w:val="000000"/>
              </w:rPr>
              <w:fldChar w:fldCharType="end"/>
            </w:r>
          </w:p>
        </w:tc>
      </w:tr>
      <w:tr w:rsidR="00433DF3" w:rsidRPr="00854503" w14:paraId="7344F2FF" w14:textId="77777777" w:rsidTr="00F77A75">
        <w:trPr>
          <w:trHeight w:val="288"/>
        </w:trPr>
        <w:tc>
          <w:tcPr>
            <w:tcW w:w="2156" w:type="pct"/>
          </w:tcPr>
          <w:p w14:paraId="1D670E18"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 xml:space="preserve">ADR prob (retrospective), </w:t>
            </w:r>
            <w:proofErr w:type="gramStart"/>
            <w:r w:rsidRPr="00854503">
              <w:rPr>
                <w:rFonts w:asciiTheme="minorHAnsi" w:hAnsiTheme="minorHAnsi" w:cstheme="minorHAnsi"/>
                <w:color w:val="000000"/>
                <w:sz w:val="22"/>
              </w:rPr>
              <w:t>narrow ,</w:t>
            </w:r>
            <w:proofErr w:type="gramEnd"/>
            <w:r w:rsidRPr="00854503">
              <w:rPr>
                <w:rFonts w:asciiTheme="minorHAnsi" w:hAnsiTheme="minorHAnsi" w:cstheme="minorHAnsi"/>
                <w:color w:val="000000"/>
                <w:sz w:val="22"/>
              </w:rPr>
              <w:t xml:space="preserve"> AS</w:t>
            </w:r>
          </w:p>
        </w:tc>
        <w:tc>
          <w:tcPr>
            <w:tcW w:w="834" w:type="pct"/>
          </w:tcPr>
          <w:p w14:paraId="15946F4F" w14:textId="77777777" w:rsidR="00433DF3" w:rsidRPr="00854503" w:rsidRDefault="00433DF3" w:rsidP="00D77411">
            <w:pPr>
              <w:spacing w:after="0" w:line="240" w:lineRule="auto"/>
              <w:jc w:val="center"/>
              <w:rPr>
                <w:rFonts w:asciiTheme="minorHAnsi" w:hAnsiTheme="minorHAnsi" w:cstheme="minorHAnsi"/>
                <w:sz w:val="22"/>
              </w:rPr>
            </w:pPr>
            <w:r w:rsidRPr="00854503">
              <w:rPr>
                <w:rFonts w:asciiTheme="minorHAnsi" w:hAnsiTheme="minorHAnsi" w:cstheme="minorHAnsi"/>
                <w:sz w:val="22"/>
              </w:rPr>
              <w:t>0.018</w:t>
            </w:r>
          </w:p>
        </w:tc>
        <w:tc>
          <w:tcPr>
            <w:tcW w:w="2010" w:type="pct"/>
          </w:tcPr>
          <w:p w14:paraId="7A7EF333" w14:textId="2E1EFA72" w:rsidR="00433DF3" w:rsidRPr="00854503" w:rsidRDefault="00433DF3" w:rsidP="00D77411">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Pr>
                <w:rFonts w:cstheme="minorHAnsi"/>
                <w:color w:val="000000"/>
              </w:rPr>
              <w:fldChar w:fldCharType="separate"/>
            </w:r>
            <w:r w:rsidR="00772EF7">
              <w:rPr>
                <w:rFonts w:asciiTheme="minorHAnsi" w:hAnsiTheme="minorHAnsi" w:cstheme="minorHAnsi"/>
                <w:noProof/>
                <w:color w:val="000000"/>
                <w:sz w:val="22"/>
              </w:rPr>
              <w:t>[11]</w:t>
            </w:r>
            <w:r>
              <w:rPr>
                <w:rFonts w:cstheme="minorHAnsi"/>
                <w:color w:val="000000"/>
              </w:rPr>
              <w:fldChar w:fldCharType="end"/>
            </w:r>
          </w:p>
        </w:tc>
      </w:tr>
      <w:tr w:rsidR="00433DF3" w:rsidRPr="00854503" w14:paraId="4489040D" w14:textId="77777777" w:rsidTr="00F77A75">
        <w:trPr>
          <w:trHeight w:val="288"/>
        </w:trPr>
        <w:tc>
          <w:tcPr>
            <w:tcW w:w="2156" w:type="pct"/>
          </w:tcPr>
          <w:p w14:paraId="372B0A10"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ADR prob (retrospective), narrow, GAS</w:t>
            </w:r>
          </w:p>
        </w:tc>
        <w:tc>
          <w:tcPr>
            <w:tcW w:w="834" w:type="pct"/>
          </w:tcPr>
          <w:p w14:paraId="092DD12C" w14:textId="77777777" w:rsidR="00433DF3" w:rsidRPr="00854503" w:rsidRDefault="00433DF3" w:rsidP="00D77411">
            <w:pPr>
              <w:spacing w:after="0" w:line="240" w:lineRule="auto"/>
              <w:jc w:val="center"/>
              <w:rPr>
                <w:rFonts w:asciiTheme="minorHAnsi" w:hAnsiTheme="minorHAnsi" w:cstheme="minorHAnsi"/>
                <w:sz w:val="22"/>
              </w:rPr>
            </w:pPr>
            <w:r w:rsidRPr="00854503">
              <w:rPr>
                <w:rFonts w:asciiTheme="minorHAnsi" w:hAnsiTheme="minorHAnsi" w:cstheme="minorHAnsi"/>
                <w:sz w:val="22"/>
              </w:rPr>
              <w:t>0.021</w:t>
            </w:r>
          </w:p>
        </w:tc>
        <w:tc>
          <w:tcPr>
            <w:tcW w:w="2010" w:type="pct"/>
          </w:tcPr>
          <w:p w14:paraId="3DBE31CB" w14:textId="7E43EF96" w:rsidR="00433DF3" w:rsidRPr="00854503" w:rsidRDefault="00433DF3" w:rsidP="00D77411">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Pr>
                <w:rFonts w:cstheme="minorHAnsi"/>
                <w:color w:val="000000"/>
              </w:rPr>
              <w:fldChar w:fldCharType="separate"/>
            </w:r>
            <w:r w:rsidR="00772EF7">
              <w:rPr>
                <w:rFonts w:asciiTheme="minorHAnsi" w:hAnsiTheme="minorHAnsi" w:cstheme="minorHAnsi"/>
                <w:noProof/>
                <w:color w:val="000000"/>
                <w:sz w:val="22"/>
              </w:rPr>
              <w:t>[11]</w:t>
            </w:r>
            <w:r>
              <w:rPr>
                <w:rFonts w:cstheme="minorHAnsi"/>
                <w:color w:val="000000"/>
              </w:rPr>
              <w:fldChar w:fldCharType="end"/>
            </w:r>
          </w:p>
        </w:tc>
      </w:tr>
      <w:tr w:rsidR="00433DF3" w:rsidRPr="00854503" w14:paraId="62939F92" w14:textId="77777777" w:rsidTr="00F77A75">
        <w:trPr>
          <w:trHeight w:val="288"/>
        </w:trPr>
        <w:tc>
          <w:tcPr>
            <w:tcW w:w="2156" w:type="pct"/>
          </w:tcPr>
          <w:p w14:paraId="576D2F41"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ADR risk diff (retrospective), broad, OM</w:t>
            </w:r>
          </w:p>
        </w:tc>
        <w:tc>
          <w:tcPr>
            <w:tcW w:w="834" w:type="pct"/>
          </w:tcPr>
          <w:p w14:paraId="12BAA3DD" w14:textId="77777777" w:rsidR="00433DF3" w:rsidRPr="00854503" w:rsidRDefault="00433DF3" w:rsidP="00D77411">
            <w:pPr>
              <w:spacing w:after="0" w:line="240" w:lineRule="auto"/>
              <w:jc w:val="center"/>
              <w:rPr>
                <w:rFonts w:asciiTheme="minorHAnsi" w:hAnsiTheme="minorHAnsi" w:cstheme="minorHAnsi"/>
                <w:sz w:val="22"/>
              </w:rPr>
            </w:pPr>
            <w:r w:rsidRPr="00854503">
              <w:rPr>
                <w:rFonts w:asciiTheme="minorHAnsi" w:hAnsiTheme="minorHAnsi" w:cstheme="minorHAnsi"/>
                <w:sz w:val="22"/>
              </w:rPr>
              <w:t>0.018</w:t>
            </w:r>
          </w:p>
        </w:tc>
        <w:tc>
          <w:tcPr>
            <w:tcW w:w="2010" w:type="pct"/>
          </w:tcPr>
          <w:p w14:paraId="1D2D0132" w14:textId="58C22275" w:rsidR="00433DF3" w:rsidRPr="00854503" w:rsidRDefault="00433DF3" w:rsidP="00D77411">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Pr>
                <w:rFonts w:cstheme="minorHAnsi"/>
                <w:color w:val="000000"/>
              </w:rPr>
              <w:fldChar w:fldCharType="separate"/>
            </w:r>
            <w:r w:rsidR="00772EF7">
              <w:rPr>
                <w:rFonts w:asciiTheme="minorHAnsi" w:hAnsiTheme="minorHAnsi" w:cstheme="minorHAnsi"/>
                <w:noProof/>
                <w:color w:val="000000"/>
                <w:sz w:val="22"/>
              </w:rPr>
              <w:t>[11]</w:t>
            </w:r>
            <w:r>
              <w:rPr>
                <w:rFonts w:cstheme="minorHAnsi"/>
                <w:color w:val="000000"/>
              </w:rPr>
              <w:fldChar w:fldCharType="end"/>
            </w:r>
          </w:p>
        </w:tc>
      </w:tr>
      <w:tr w:rsidR="00433DF3" w:rsidRPr="00854503" w14:paraId="59ADDFFB" w14:textId="77777777" w:rsidTr="00F77A75">
        <w:trPr>
          <w:trHeight w:val="288"/>
        </w:trPr>
        <w:tc>
          <w:tcPr>
            <w:tcW w:w="2156" w:type="pct"/>
          </w:tcPr>
          <w:p w14:paraId="545D9E05"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ADR risk diff (retrospective), broad, AS</w:t>
            </w:r>
          </w:p>
        </w:tc>
        <w:tc>
          <w:tcPr>
            <w:tcW w:w="834" w:type="pct"/>
          </w:tcPr>
          <w:p w14:paraId="26841AEE" w14:textId="77777777" w:rsidR="00433DF3" w:rsidRPr="00854503" w:rsidRDefault="00433DF3" w:rsidP="00D77411">
            <w:pPr>
              <w:spacing w:after="0" w:line="240" w:lineRule="auto"/>
              <w:jc w:val="center"/>
              <w:rPr>
                <w:rFonts w:asciiTheme="minorHAnsi" w:hAnsiTheme="minorHAnsi" w:cstheme="minorHAnsi"/>
                <w:sz w:val="22"/>
              </w:rPr>
            </w:pPr>
            <w:r w:rsidRPr="00854503">
              <w:rPr>
                <w:rFonts w:asciiTheme="minorHAnsi" w:hAnsiTheme="minorHAnsi" w:cstheme="minorHAnsi"/>
                <w:sz w:val="22"/>
              </w:rPr>
              <w:t>-0.004</w:t>
            </w:r>
          </w:p>
        </w:tc>
        <w:tc>
          <w:tcPr>
            <w:tcW w:w="2010" w:type="pct"/>
          </w:tcPr>
          <w:p w14:paraId="3509F2A1" w14:textId="5D9FFAD0" w:rsidR="00433DF3" w:rsidRPr="00854503" w:rsidRDefault="00433DF3" w:rsidP="00D77411">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Pr>
                <w:rFonts w:cstheme="minorHAnsi"/>
                <w:color w:val="000000"/>
              </w:rPr>
              <w:fldChar w:fldCharType="separate"/>
            </w:r>
            <w:r w:rsidR="00772EF7">
              <w:rPr>
                <w:rFonts w:asciiTheme="minorHAnsi" w:hAnsiTheme="minorHAnsi" w:cstheme="minorHAnsi"/>
                <w:noProof/>
                <w:color w:val="000000"/>
                <w:sz w:val="22"/>
              </w:rPr>
              <w:t>[11]</w:t>
            </w:r>
            <w:r>
              <w:rPr>
                <w:rFonts w:cstheme="minorHAnsi"/>
                <w:color w:val="000000"/>
              </w:rPr>
              <w:fldChar w:fldCharType="end"/>
            </w:r>
          </w:p>
        </w:tc>
      </w:tr>
      <w:tr w:rsidR="00433DF3" w:rsidRPr="00854503" w14:paraId="623B97BE" w14:textId="77777777" w:rsidTr="00F77A75">
        <w:trPr>
          <w:trHeight w:val="288"/>
        </w:trPr>
        <w:tc>
          <w:tcPr>
            <w:tcW w:w="2156" w:type="pct"/>
          </w:tcPr>
          <w:p w14:paraId="7E7683AF" w14:textId="77777777" w:rsidR="00433DF3" w:rsidRPr="00854503" w:rsidRDefault="00433DF3" w:rsidP="00D77411">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ADR risk diff (retrospective), broad, GAS</w:t>
            </w:r>
          </w:p>
        </w:tc>
        <w:tc>
          <w:tcPr>
            <w:tcW w:w="834" w:type="pct"/>
          </w:tcPr>
          <w:p w14:paraId="23A6D92C" w14:textId="77777777" w:rsidR="00433DF3" w:rsidRPr="00854503" w:rsidRDefault="00433DF3" w:rsidP="00D77411">
            <w:pPr>
              <w:spacing w:after="0" w:line="240" w:lineRule="auto"/>
              <w:jc w:val="center"/>
              <w:rPr>
                <w:rFonts w:asciiTheme="minorHAnsi" w:hAnsiTheme="minorHAnsi" w:cstheme="minorHAnsi"/>
                <w:sz w:val="22"/>
              </w:rPr>
            </w:pPr>
            <w:r w:rsidRPr="00854503">
              <w:rPr>
                <w:rFonts w:asciiTheme="minorHAnsi" w:hAnsiTheme="minorHAnsi" w:cstheme="minorHAnsi"/>
                <w:sz w:val="22"/>
              </w:rPr>
              <w:t>0.001</w:t>
            </w:r>
          </w:p>
        </w:tc>
        <w:tc>
          <w:tcPr>
            <w:tcW w:w="2010" w:type="pct"/>
          </w:tcPr>
          <w:p w14:paraId="52E6258E" w14:textId="2B74C902" w:rsidR="00433DF3" w:rsidRPr="00854503" w:rsidRDefault="00433DF3" w:rsidP="00D77411">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Pr>
                <w:rFonts w:cstheme="minorHAnsi"/>
                <w:color w:val="000000"/>
              </w:rPr>
              <w:fldChar w:fldCharType="separate"/>
            </w:r>
            <w:r w:rsidR="00772EF7">
              <w:rPr>
                <w:rFonts w:asciiTheme="minorHAnsi" w:hAnsiTheme="minorHAnsi" w:cstheme="minorHAnsi"/>
                <w:noProof/>
                <w:color w:val="000000"/>
                <w:sz w:val="22"/>
              </w:rPr>
              <w:t>[11]</w:t>
            </w:r>
            <w:r>
              <w:rPr>
                <w:rFonts w:cstheme="minorHAnsi"/>
                <w:color w:val="000000"/>
              </w:rPr>
              <w:fldChar w:fldCharType="end"/>
            </w:r>
          </w:p>
        </w:tc>
      </w:tr>
      <w:tr w:rsidR="00433DF3" w:rsidRPr="00162BE6" w14:paraId="678F5BB1" w14:textId="77777777" w:rsidTr="00F77A75">
        <w:trPr>
          <w:trHeight w:val="288"/>
        </w:trPr>
        <w:tc>
          <w:tcPr>
            <w:tcW w:w="5000" w:type="pct"/>
            <w:gridSpan w:val="3"/>
            <w:shd w:val="clear" w:color="auto" w:fill="F2F2F2" w:themeFill="background1" w:themeFillShade="F2"/>
          </w:tcPr>
          <w:p w14:paraId="23394817" w14:textId="77777777" w:rsidR="00433DF3" w:rsidRPr="00162BE6" w:rsidRDefault="00433DF3" w:rsidP="00162BE6">
            <w:pPr>
              <w:pStyle w:val="TableText-IPR"/>
              <w:keepNext/>
              <w:rPr>
                <w:rFonts w:asciiTheme="minorHAnsi" w:eastAsia="Times New Roman" w:hAnsiTheme="minorHAnsi" w:cstheme="minorHAnsi"/>
                <w:b/>
                <w:sz w:val="22"/>
                <w:szCs w:val="22"/>
              </w:rPr>
            </w:pPr>
            <w:r w:rsidRPr="00162BE6">
              <w:rPr>
                <w:rFonts w:asciiTheme="minorHAnsi" w:eastAsia="Times New Roman" w:hAnsiTheme="minorHAnsi" w:cstheme="minorHAnsi"/>
                <w:b/>
                <w:sz w:val="22"/>
                <w:szCs w:val="22"/>
              </w:rPr>
              <w:t>Gerber et al. (2017) Productivity Findings</w:t>
            </w:r>
          </w:p>
        </w:tc>
      </w:tr>
      <w:tr w:rsidR="00433DF3" w:rsidRPr="00162BE6" w14:paraId="3BFF46DC" w14:textId="77777777" w:rsidTr="00F77A75">
        <w:trPr>
          <w:trHeight w:val="288"/>
        </w:trPr>
        <w:tc>
          <w:tcPr>
            <w:tcW w:w="2156" w:type="pct"/>
          </w:tcPr>
          <w:p w14:paraId="01BD7E21"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Missed school prob, narrow, OM</w:t>
            </w:r>
          </w:p>
        </w:tc>
        <w:tc>
          <w:tcPr>
            <w:tcW w:w="834" w:type="pct"/>
          </w:tcPr>
          <w:p w14:paraId="5D9C6FE2" w14:textId="77777777" w:rsidR="00433DF3" w:rsidRPr="00854503" w:rsidRDefault="00433DF3" w:rsidP="00162BE6">
            <w:pPr>
              <w:spacing w:after="0" w:line="240" w:lineRule="auto"/>
              <w:ind w:left="60"/>
              <w:jc w:val="center"/>
              <w:rPr>
                <w:rFonts w:asciiTheme="minorHAnsi" w:hAnsiTheme="minorHAnsi" w:cstheme="minorHAnsi"/>
                <w:color w:val="000000"/>
                <w:sz w:val="22"/>
              </w:rPr>
            </w:pPr>
            <w:r w:rsidRPr="00854503">
              <w:rPr>
                <w:rFonts w:asciiTheme="minorHAnsi" w:hAnsiTheme="minorHAnsi" w:cstheme="minorHAnsi"/>
                <w:color w:val="000000"/>
                <w:sz w:val="22"/>
              </w:rPr>
              <w:t>0.350</w:t>
            </w:r>
          </w:p>
        </w:tc>
        <w:tc>
          <w:tcPr>
            <w:tcW w:w="2010" w:type="pct"/>
          </w:tcPr>
          <w:p w14:paraId="557D1E46" w14:textId="2E17A8B5" w:rsidR="00433DF3" w:rsidRPr="00162BE6"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Pr>
                <w:rFonts w:cstheme="minorHAnsi"/>
                <w:color w:val="000000"/>
              </w:rPr>
              <w:fldChar w:fldCharType="separate"/>
            </w:r>
            <w:r w:rsidR="00772EF7">
              <w:rPr>
                <w:rFonts w:asciiTheme="minorHAnsi" w:hAnsiTheme="minorHAnsi" w:cstheme="minorHAnsi"/>
                <w:color w:val="000000"/>
                <w:sz w:val="22"/>
              </w:rPr>
              <w:t>[11]</w:t>
            </w:r>
            <w:r>
              <w:rPr>
                <w:rFonts w:cstheme="minorHAnsi"/>
                <w:color w:val="000000"/>
              </w:rPr>
              <w:fldChar w:fldCharType="end"/>
            </w:r>
          </w:p>
        </w:tc>
      </w:tr>
      <w:tr w:rsidR="00433DF3" w:rsidRPr="00162BE6" w14:paraId="60E7C642" w14:textId="77777777" w:rsidTr="00F77A75">
        <w:trPr>
          <w:trHeight w:val="288"/>
        </w:trPr>
        <w:tc>
          <w:tcPr>
            <w:tcW w:w="2156" w:type="pct"/>
          </w:tcPr>
          <w:p w14:paraId="4B4E412F" w14:textId="77777777" w:rsidR="00433DF3" w:rsidRPr="00854503" w:rsidDel="00C964FF"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Missed school prob, narrow, AS</w:t>
            </w:r>
          </w:p>
        </w:tc>
        <w:tc>
          <w:tcPr>
            <w:tcW w:w="834" w:type="pct"/>
          </w:tcPr>
          <w:p w14:paraId="14278B0F" w14:textId="77777777" w:rsidR="00433DF3" w:rsidRPr="00854503" w:rsidRDefault="00433DF3" w:rsidP="00162BE6">
            <w:pPr>
              <w:spacing w:after="0" w:line="240" w:lineRule="auto"/>
              <w:ind w:left="60"/>
              <w:jc w:val="center"/>
              <w:rPr>
                <w:rFonts w:asciiTheme="minorHAnsi" w:hAnsiTheme="minorHAnsi" w:cstheme="minorHAnsi"/>
                <w:color w:val="000000"/>
                <w:sz w:val="22"/>
              </w:rPr>
            </w:pPr>
            <w:r w:rsidRPr="00854503">
              <w:rPr>
                <w:rFonts w:asciiTheme="minorHAnsi" w:hAnsiTheme="minorHAnsi" w:cstheme="minorHAnsi"/>
                <w:color w:val="000000"/>
                <w:sz w:val="22"/>
              </w:rPr>
              <w:t>0.280</w:t>
            </w:r>
          </w:p>
        </w:tc>
        <w:tc>
          <w:tcPr>
            <w:tcW w:w="2010" w:type="pct"/>
          </w:tcPr>
          <w:p w14:paraId="4C0E6FE7" w14:textId="639F3F67" w:rsidR="00433DF3" w:rsidRPr="00162BE6"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Pr>
                <w:rFonts w:cstheme="minorHAnsi"/>
                <w:color w:val="000000"/>
              </w:rPr>
              <w:fldChar w:fldCharType="separate"/>
            </w:r>
            <w:r w:rsidR="00772EF7">
              <w:rPr>
                <w:rFonts w:asciiTheme="minorHAnsi" w:hAnsiTheme="minorHAnsi" w:cstheme="minorHAnsi"/>
                <w:color w:val="000000"/>
                <w:sz w:val="22"/>
              </w:rPr>
              <w:t>[11]</w:t>
            </w:r>
            <w:r>
              <w:rPr>
                <w:rFonts w:cstheme="minorHAnsi"/>
                <w:color w:val="000000"/>
              </w:rPr>
              <w:fldChar w:fldCharType="end"/>
            </w:r>
          </w:p>
        </w:tc>
      </w:tr>
      <w:tr w:rsidR="00433DF3" w:rsidRPr="00162BE6" w14:paraId="5BB26AF1" w14:textId="77777777" w:rsidTr="00F77A75">
        <w:trPr>
          <w:trHeight w:val="288"/>
        </w:trPr>
        <w:tc>
          <w:tcPr>
            <w:tcW w:w="2156" w:type="pct"/>
          </w:tcPr>
          <w:p w14:paraId="36ADCDE9"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Missed school prob, narrow, GAS</w:t>
            </w:r>
          </w:p>
        </w:tc>
        <w:tc>
          <w:tcPr>
            <w:tcW w:w="834" w:type="pct"/>
          </w:tcPr>
          <w:p w14:paraId="44C127C1" w14:textId="77777777" w:rsidR="00433DF3" w:rsidRPr="00854503" w:rsidRDefault="00433DF3" w:rsidP="00162BE6">
            <w:pPr>
              <w:spacing w:after="0" w:line="240" w:lineRule="auto"/>
              <w:ind w:left="60"/>
              <w:jc w:val="center"/>
              <w:rPr>
                <w:rFonts w:asciiTheme="minorHAnsi" w:hAnsiTheme="minorHAnsi" w:cstheme="minorHAnsi"/>
                <w:color w:val="000000"/>
                <w:sz w:val="22"/>
              </w:rPr>
            </w:pPr>
            <w:r w:rsidRPr="00854503">
              <w:rPr>
                <w:rFonts w:asciiTheme="minorHAnsi" w:hAnsiTheme="minorHAnsi" w:cstheme="minorHAnsi"/>
                <w:color w:val="000000"/>
                <w:sz w:val="22"/>
              </w:rPr>
              <w:t>0.600</w:t>
            </w:r>
          </w:p>
        </w:tc>
        <w:tc>
          <w:tcPr>
            <w:tcW w:w="2010" w:type="pct"/>
          </w:tcPr>
          <w:p w14:paraId="411EF539" w14:textId="7473727A"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sidRPr="00162BE6">
              <w:rPr>
                <w:rFonts w:cstheme="minorHAnsi"/>
                <w:color w:val="000000"/>
              </w:rPr>
              <w:fldChar w:fldCharType="separate"/>
            </w:r>
            <w:r w:rsidR="00772EF7">
              <w:rPr>
                <w:rFonts w:asciiTheme="minorHAnsi" w:hAnsiTheme="minorHAnsi" w:cstheme="minorHAnsi"/>
                <w:color w:val="000000"/>
                <w:sz w:val="22"/>
              </w:rPr>
              <w:t>[11]</w:t>
            </w:r>
            <w:r w:rsidRPr="00162BE6">
              <w:rPr>
                <w:rFonts w:cstheme="minorHAnsi"/>
                <w:color w:val="000000"/>
              </w:rPr>
              <w:fldChar w:fldCharType="end"/>
            </w:r>
          </w:p>
        </w:tc>
      </w:tr>
      <w:tr w:rsidR="00433DF3" w:rsidRPr="00162BE6" w14:paraId="38911C90" w14:textId="77777777" w:rsidTr="00F77A75">
        <w:trPr>
          <w:trHeight w:val="288"/>
        </w:trPr>
        <w:tc>
          <w:tcPr>
            <w:tcW w:w="2156" w:type="pct"/>
          </w:tcPr>
          <w:p w14:paraId="66BD7438"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Missed school risk diff, broad, OM</w:t>
            </w:r>
          </w:p>
        </w:tc>
        <w:tc>
          <w:tcPr>
            <w:tcW w:w="834" w:type="pct"/>
          </w:tcPr>
          <w:p w14:paraId="0D206BED" w14:textId="77777777" w:rsidR="00433DF3" w:rsidRPr="00854503" w:rsidRDefault="00433DF3" w:rsidP="00162BE6">
            <w:pPr>
              <w:spacing w:after="0" w:line="240" w:lineRule="auto"/>
              <w:ind w:left="60"/>
              <w:jc w:val="center"/>
              <w:rPr>
                <w:rFonts w:asciiTheme="minorHAnsi" w:hAnsiTheme="minorHAnsi" w:cstheme="minorHAnsi"/>
                <w:color w:val="000000"/>
                <w:sz w:val="22"/>
              </w:rPr>
            </w:pPr>
            <w:r w:rsidRPr="00854503">
              <w:rPr>
                <w:rFonts w:asciiTheme="minorHAnsi" w:hAnsiTheme="minorHAnsi" w:cstheme="minorHAnsi"/>
                <w:color w:val="000000"/>
                <w:sz w:val="22"/>
              </w:rPr>
              <w:t>0.024</w:t>
            </w:r>
          </w:p>
        </w:tc>
        <w:tc>
          <w:tcPr>
            <w:tcW w:w="2010" w:type="pct"/>
          </w:tcPr>
          <w:p w14:paraId="2FD925EF" w14:textId="529209B3"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sidRPr="00162BE6">
              <w:rPr>
                <w:rFonts w:cstheme="minorHAnsi"/>
                <w:color w:val="000000"/>
              </w:rPr>
              <w:fldChar w:fldCharType="separate"/>
            </w:r>
            <w:r w:rsidR="00772EF7">
              <w:rPr>
                <w:rFonts w:asciiTheme="minorHAnsi" w:hAnsiTheme="minorHAnsi" w:cstheme="minorHAnsi"/>
                <w:color w:val="000000"/>
                <w:sz w:val="22"/>
              </w:rPr>
              <w:t>[11]</w:t>
            </w:r>
            <w:r w:rsidRPr="00162BE6">
              <w:rPr>
                <w:rFonts w:cstheme="minorHAnsi"/>
                <w:color w:val="000000"/>
              </w:rPr>
              <w:fldChar w:fldCharType="end"/>
            </w:r>
          </w:p>
        </w:tc>
      </w:tr>
      <w:tr w:rsidR="00433DF3" w:rsidRPr="00162BE6" w14:paraId="3AB762EB" w14:textId="77777777" w:rsidTr="00F77A75">
        <w:trPr>
          <w:trHeight w:val="288"/>
        </w:trPr>
        <w:tc>
          <w:tcPr>
            <w:tcW w:w="2156" w:type="pct"/>
          </w:tcPr>
          <w:p w14:paraId="320198E1" w14:textId="77777777" w:rsidR="00433DF3" w:rsidRPr="00854503" w:rsidDel="00C964FF"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Missed school risk diff, broad, AS</w:t>
            </w:r>
          </w:p>
        </w:tc>
        <w:tc>
          <w:tcPr>
            <w:tcW w:w="834" w:type="pct"/>
          </w:tcPr>
          <w:p w14:paraId="0252BE0B" w14:textId="77777777" w:rsidR="00433DF3" w:rsidRPr="00854503" w:rsidRDefault="00433DF3" w:rsidP="00162BE6">
            <w:pPr>
              <w:spacing w:after="0" w:line="240" w:lineRule="auto"/>
              <w:ind w:left="60"/>
              <w:jc w:val="center"/>
              <w:rPr>
                <w:rFonts w:asciiTheme="minorHAnsi" w:hAnsiTheme="minorHAnsi" w:cstheme="minorHAnsi"/>
                <w:color w:val="000000"/>
                <w:sz w:val="22"/>
              </w:rPr>
            </w:pPr>
            <w:r w:rsidRPr="00854503">
              <w:rPr>
                <w:rFonts w:asciiTheme="minorHAnsi" w:hAnsiTheme="minorHAnsi" w:cstheme="minorHAnsi"/>
                <w:color w:val="000000"/>
                <w:sz w:val="22"/>
              </w:rPr>
              <w:t>0.039</w:t>
            </w:r>
          </w:p>
        </w:tc>
        <w:tc>
          <w:tcPr>
            <w:tcW w:w="2010" w:type="pct"/>
          </w:tcPr>
          <w:p w14:paraId="3B51585B" w14:textId="3BC91CA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sidRPr="00162BE6">
              <w:rPr>
                <w:rFonts w:cstheme="minorHAnsi"/>
                <w:color w:val="000000"/>
              </w:rPr>
              <w:fldChar w:fldCharType="separate"/>
            </w:r>
            <w:r w:rsidR="00772EF7">
              <w:rPr>
                <w:rFonts w:asciiTheme="minorHAnsi" w:hAnsiTheme="minorHAnsi" w:cstheme="minorHAnsi"/>
                <w:color w:val="000000"/>
                <w:sz w:val="22"/>
              </w:rPr>
              <w:t>[11]</w:t>
            </w:r>
            <w:r w:rsidRPr="00162BE6">
              <w:rPr>
                <w:rFonts w:cstheme="minorHAnsi"/>
                <w:color w:val="000000"/>
              </w:rPr>
              <w:fldChar w:fldCharType="end"/>
            </w:r>
          </w:p>
        </w:tc>
      </w:tr>
      <w:tr w:rsidR="00433DF3" w:rsidRPr="00162BE6" w14:paraId="3D9D8E29" w14:textId="77777777" w:rsidTr="00F77A75">
        <w:trPr>
          <w:trHeight w:val="288"/>
        </w:trPr>
        <w:tc>
          <w:tcPr>
            <w:tcW w:w="2156" w:type="pct"/>
          </w:tcPr>
          <w:p w14:paraId="285AA345" w14:textId="77777777" w:rsidR="00433DF3" w:rsidRPr="00854503" w:rsidDel="00C964FF"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Missed school risk diff, broad, GAS</w:t>
            </w:r>
          </w:p>
        </w:tc>
        <w:tc>
          <w:tcPr>
            <w:tcW w:w="834" w:type="pct"/>
          </w:tcPr>
          <w:p w14:paraId="38365600" w14:textId="77777777" w:rsidR="00433DF3" w:rsidRPr="00854503" w:rsidRDefault="00433DF3" w:rsidP="00162BE6">
            <w:pPr>
              <w:spacing w:after="0" w:line="240" w:lineRule="auto"/>
              <w:ind w:left="60"/>
              <w:jc w:val="center"/>
              <w:rPr>
                <w:rFonts w:asciiTheme="minorHAnsi" w:hAnsiTheme="minorHAnsi" w:cstheme="minorHAnsi"/>
                <w:color w:val="000000"/>
                <w:sz w:val="22"/>
              </w:rPr>
            </w:pPr>
            <w:r w:rsidRPr="00854503">
              <w:rPr>
                <w:rFonts w:asciiTheme="minorHAnsi" w:hAnsiTheme="minorHAnsi" w:cstheme="minorHAnsi"/>
                <w:color w:val="000000"/>
                <w:sz w:val="22"/>
              </w:rPr>
              <w:t>0.010</w:t>
            </w:r>
          </w:p>
        </w:tc>
        <w:tc>
          <w:tcPr>
            <w:tcW w:w="2010" w:type="pct"/>
          </w:tcPr>
          <w:p w14:paraId="178DFFDD" w14:textId="64F51190"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Gerber et al. (2017)</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{"citationItems":[{"id":"ITEM-1","itemData":{"DOI":"10.1001/jama.2017.18715","ISSN":"15383598","abstract":"© 2017 American Medical Association. All rights reserved. IMPORTANCE Acute respiratory tract infections account for the majority of antibiotic exposure in children, and broad-spectrum antibiotic prescribing for acute respiratory tract infections is increasing. It is not clear whether broad-spectrum treatment is associated with improved outcomes compared with narrow-spectrum treatment. OBJECTIVE To compare the effectiveness of broad-spectrum and narrow-spectrum antibiotic treatment for acute respiratory tract infections in children. DESIGN, SETTING, AND PARTICIPANTS A retrospective cohort study assessing clinical outcomes and a prospective cohort study assessing patient-centered outcomes of children between the ages of 6 months and 12 years diagnosed with an acute respiratory tract infection and prescribed an oral antibiotic between January 2015 and April 2016 in a network of 31 pediatric primary care practices in Pennsylvania and New Jersey. Stratified and propensity score–matched analyses to account for confounding by clinician and by patient-level characteristics, respectively, were implemented for both cohorts. EXPOSURES Broad-spectrum antibiotics vs narrow-spectrum antibiotics. MAIN OUTCOMES AND MEASURES In the retrospective cohort, the primary outcomes were treatment failure and adverse events 14 days after diagnosis. In the prospective cohort, the primary outcomes were quality of life, other patient-centered outcomes, and patient-reported adverse events. RESULTS Of 30 159 children in the retrospective cohort (19 179 with acute otitis media; 6746, group A streptococcal pharyngitis; and 4234, acute sinusitis), 4307 (14%) were prescribed broad-spectrum antibiotics including amoxicillin-clavulanate, cephalosporins, and macrolides. Broad-spectrum treatment was not associated with a lower rate of treatment failure (3.4% for broad-spectrum antibiotics vs 3.1% for narrow-spectrum antibiotics; risk difference for full matched analysis, 0.3% [95% CI, ?0.4% to 0.9%]). Of 2472 children enrolled in the prospective cohort (1100 with acute otitis media; 705, group A streptococcal pharyngitis; and 667, acute sinusitis), 868 (35%) were prescribed broad-spectrum antibiotics. Broad-spectrum antibiotics were associated with a slightly worse child quality of life (score of 90.2 for broad-spectrum antibiotics vs 91.5 for narrow-spectrum antibiotics; score difference for full matched analysis, ?1.4% [95% CI, ?2.4% to ?0.4%] ) but not with other patient-centered outcomes…","author":[{"dropping-particle":"","family":"Gerber","given":"Jeffrey S.","non-dropping-particle":"","parse-names":false,"suffix":""},{"dropping-particle":"","family":"Ross","given":"Rachael K.","non-dropping-particle":"","parse-names":false,"suffix":""},{"dropping-particle":"","family":"Bryan","given":"Matthew","non-dropping-particle":"","parse-names":false,"suffix":""},{"dropping-particle":"","family":"Localio","given":"A. Russell","non-dropping-particle":"","parse-names":false,"suffix":""},{"dropping-particle":"","family":"Szymczak","given":"Julia E.","non-dropping-particle":"","parse-names":false,"suffix":""},{"dropping-particle":"","family":"Wasserman","given":"Richard","non-dropping-particle":"","parse-names":false,"suffix":""},{"dropping-particle":"","family":"Barkman","given":"Darlene","non-dropping-particle":"","parse-names":false,"suffix":""},{"dropping-particle":"","family":"Odeniyi","given":"Folasade","non-dropping-particle":"","parse-names":false,"suffix":""},{"dropping-particle":"","family":"Conaboy","given":"Kathryn","non-dropping-particle":"","parse-names":false,"suffix":""},{"dropping-particle":"","family":"Bell","given":"Louis","non-dropping-particle":"","parse-names":false,"suffix":""},{"dropping-particle":"","family":"Zaoutis","given":"Theoklis E.","non-dropping-particle":"","parse-names":false,"suffix":""},{"dropping-particle":"","family":"Fiks","given":"Alexander G.","non-dropping-particle":"","parse-names":false,"suffix":""}],"container-title":"Journal of the American Medical Association","id":"ITEM-1","issue":"23","issued":{"date-parts":[["2017"]]},"page":"2325-2336","title":"Association of broad- vs narrow-spectrum antibiotics with treatment failure, adverse events, and quality of life in children with acute respiratory tract infections","type":"article-journal","volume":"318"},"uris":["http://www.mendeley.com/documents/?uuid=22dc81b1-0026-4266-bfc7-82f8e16734dd"]}],"mendeley":{"formattedCitation":"[8]","plainTextFormattedCitation":"[8]","previouslyFormattedCitation":"[8]"},"properties":{"noteIndex":0},"schema":"https://github.com/citation-style-language/schema/raw/master/csl-citation.json"}</w:instrText>
            </w:r>
            <w:r w:rsidRPr="00162BE6">
              <w:rPr>
                <w:rFonts w:cstheme="minorHAnsi"/>
                <w:color w:val="000000"/>
              </w:rPr>
              <w:fldChar w:fldCharType="separate"/>
            </w:r>
            <w:r w:rsidR="00772EF7">
              <w:rPr>
                <w:rFonts w:asciiTheme="minorHAnsi" w:hAnsiTheme="minorHAnsi" w:cstheme="minorHAnsi"/>
                <w:color w:val="000000"/>
                <w:sz w:val="22"/>
              </w:rPr>
              <w:t>[11]</w:t>
            </w:r>
            <w:r w:rsidRPr="00162BE6">
              <w:rPr>
                <w:rFonts w:cstheme="minorHAnsi"/>
                <w:color w:val="000000"/>
              </w:rPr>
              <w:fldChar w:fldCharType="end"/>
            </w:r>
          </w:p>
        </w:tc>
      </w:tr>
      <w:tr w:rsidR="00433DF3" w:rsidRPr="00162BE6" w14:paraId="50B848FC" w14:textId="77777777" w:rsidTr="00F77A75">
        <w:trPr>
          <w:trHeight w:val="288"/>
        </w:trPr>
        <w:tc>
          <w:tcPr>
            <w:tcW w:w="2156" w:type="pct"/>
          </w:tcPr>
          <w:p w14:paraId="6063A2AB"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Missed school days</w:t>
            </w:r>
          </w:p>
        </w:tc>
        <w:tc>
          <w:tcPr>
            <w:tcW w:w="834" w:type="pct"/>
          </w:tcPr>
          <w:p w14:paraId="696469E9" w14:textId="77777777" w:rsidR="00433DF3" w:rsidRPr="00854503" w:rsidRDefault="00433DF3" w:rsidP="00162BE6">
            <w:pPr>
              <w:spacing w:after="0" w:line="240" w:lineRule="auto"/>
              <w:ind w:left="60"/>
              <w:jc w:val="center"/>
              <w:rPr>
                <w:rFonts w:asciiTheme="minorHAnsi" w:hAnsiTheme="minorHAnsi" w:cstheme="minorHAnsi"/>
                <w:color w:val="000000"/>
                <w:sz w:val="22"/>
              </w:rPr>
            </w:pPr>
            <w:r w:rsidRPr="00854503">
              <w:rPr>
                <w:rFonts w:asciiTheme="minorHAnsi" w:hAnsiTheme="minorHAnsi" w:cstheme="minorHAnsi"/>
                <w:color w:val="000000"/>
                <w:sz w:val="22"/>
              </w:rPr>
              <w:t>1.522</w:t>
            </w:r>
          </w:p>
        </w:tc>
        <w:tc>
          <w:tcPr>
            <w:tcW w:w="2010" w:type="pct"/>
          </w:tcPr>
          <w:p w14:paraId="4C401025" w14:textId="0EA82718"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Adams et al. (1999)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{"citationItems":[{"id":"ITEM-1","itemData":{"author":[{"dropping-particle":"","family":"Adams","given":"P. F.","non-dropping-particle":"","parse-names":false,"suffix":""},{"dropping-particle":"","family":"Hendershot","given":"G. E.","non-dropping-particle":"","parse-names":false,"suffix":""},{"dropping-particle":"","family":"Marano","given":"M. A.","non-dropping-particle":"","parse-names":false,"suffix":""}],"container-title":"Centers for Disease Control and Prevention Public Health Publications","id":"ITEM-1","issued":{"date-parts":[["1999"]]},"title":"Current estimates from the National Health Interview Survey, 1996","type":"report"},"uris":["http://www.mendeley.com/documents/?uuid=11a3566c-ee0e-4304-8ad7-4efe7816ce20"]}],"mendeley":{"formattedCitation":"[43]","plainTextFormattedCitation":"[43]","previouslyFormattedCitation":"[43]"},"properties":{"noteIndex":0},"schema":"https://github.com/citation-style-language/schema/raw/master/csl-citation.json"}</w:instrText>
            </w:r>
            <w:r w:rsidRPr="00162BE6">
              <w:rPr>
                <w:rFonts w:cstheme="minorHAnsi"/>
                <w:color w:val="000000"/>
              </w:rPr>
              <w:fldChar w:fldCharType="separate"/>
            </w:r>
            <w:r w:rsidR="00FE0E89">
              <w:rPr>
                <w:rFonts w:asciiTheme="minorHAnsi" w:hAnsiTheme="minorHAnsi" w:cstheme="minorHAnsi"/>
                <w:color w:val="000000"/>
                <w:sz w:val="22"/>
              </w:rPr>
              <w:t>[12]</w:t>
            </w:r>
            <w:r w:rsidRPr="00162BE6">
              <w:rPr>
                <w:rFonts w:cstheme="minorHAnsi"/>
                <w:color w:val="000000"/>
              </w:rPr>
              <w:fldChar w:fldCharType="end"/>
            </w:r>
          </w:p>
        </w:tc>
      </w:tr>
      <w:tr w:rsidR="00433DF3" w:rsidRPr="00162BE6" w14:paraId="28DB53A7" w14:textId="77777777" w:rsidTr="00F77A75">
        <w:trPr>
          <w:trHeight w:val="288"/>
        </w:trPr>
        <w:tc>
          <w:tcPr>
            <w:tcW w:w="5000" w:type="pct"/>
            <w:gridSpan w:val="3"/>
            <w:shd w:val="clear" w:color="auto" w:fill="F2F2F2" w:themeFill="background1" w:themeFillShade="F2"/>
          </w:tcPr>
          <w:p w14:paraId="48D4DAD1" w14:textId="77777777" w:rsidR="00433DF3" w:rsidRPr="00162BE6" w:rsidRDefault="00433DF3" w:rsidP="00162BE6">
            <w:pPr>
              <w:pStyle w:val="TableText-IPR"/>
              <w:keepNext/>
              <w:rPr>
                <w:rFonts w:asciiTheme="minorHAnsi" w:eastAsia="Times New Roman" w:hAnsiTheme="minorHAnsi" w:cstheme="minorHAnsi"/>
                <w:b/>
                <w:sz w:val="22"/>
                <w:szCs w:val="22"/>
              </w:rPr>
            </w:pPr>
            <w:r w:rsidRPr="00162BE6">
              <w:rPr>
                <w:rFonts w:asciiTheme="minorHAnsi" w:eastAsia="Times New Roman" w:hAnsiTheme="minorHAnsi" w:cstheme="minorHAnsi"/>
                <w:b/>
                <w:sz w:val="22"/>
                <w:szCs w:val="22"/>
              </w:rPr>
              <w:t>Healthcare Utilization</w:t>
            </w:r>
            <w:r w:rsidRPr="00162BE6" w:rsidDel="00C964FF">
              <w:rPr>
                <w:rFonts w:asciiTheme="minorHAnsi" w:eastAsia="Times New Roman" w:hAnsiTheme="minorHAnsi" w:cstheme="minorHAnsi"/>
                <w:b/>
                <w:sz w:val="22"/>
                <w:szCs w:val="22"/>
              </w:rPr>
              <w:t xml:space="preserve"> </w:t>
            </w:r>
          </w:p>
        </w:tc>
      </w:tr>
      <w:tr w:rsidR="00433DF3" w:rsidRPr="00162BE6" w14:paraId="39D43066" w14:textId="77777777" w:rsidTr="00F77A75">
        <w:trPr>
          <w:trHeight w:val="288"/>
        </w:trPr>
        <w:tc>
          <w:tcPr>
            <w:tcW w:w="2156" w:type="pct"/>
          </w:tcPr>
          <w:p w14:paraId="0124EB57"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ED treatment prob for TF, OM</w:t>
            </w:r>
          </w:p>
        </w:tc>
        <w:tc>
          <w:tcPr>
            <w:tcW w:w="834" w:type="pct"/>
          </w:tcPr>
          <w:p w14:paraId="00650887"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0.051</w:t>
            </w:r>
          </w:p>
        </w:tc>
        <w:tc>
          <w:tcPr>
            <w:tcW w:w="2010" w:type="pct"/>
          </w:tcPr>
          <w:p w14:paraId="3F04E50E" w14:textId="4E89D206"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772BF2AE" w14:textId="77777777" w:rsidTr="00F77A75">
        <w:trPr>
          <w:trHeight w:val="288"/>
        </w:trPr>
        <w:tc>
          <w:tcPr>
            <w:tcW w:w="2156" w:type="pct"/>
          </w:tcPr>
          <w:p w14:paraId="1C51931F"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Hospital treatment prob for TF, OM</w:t>
            </w:r>
          </w:p>
        </w:tc>
        <w:tc>
          <w:tcPr>
            <w:tcW w:w="834" w:type="pct"/>
          </w:tcPr>
          <w:p w14:paraId="0085CC7B"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0.003</w:t>
            </w:r>
          </w:p>
        </w:tc>
        <w:tc>
          <w:tcPr>
            <w:tcW w:w="2010" w:type="pct"/>
          </w:tcPr>
          <w:p w14:paraId="28023159" w14:textId="7FB9700F"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4B0D17E7" w14:textId="77777777" w:rsidTr="00F77A75">
        <w:trPr>
          <w:trHeight w:val="288"/>
        </w:trPr>
        <w:tc>
          <w:tcPr>
            <w:tcW w:w="2156" w:type="pct"/>
          </w:tcPr>
          <w:p w14:paraId="6C09F043"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Outpatient treatment prob for TF, OM</w:t>
            </w:r>
          </w:p>
        </w:tc>
        <w:tc>
          <w:tcPr>
            <w:tcW w:w="834" w:type="pct"/>
          </w:tcPr>
          <w:p w14:paraId="545323EA"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0.945</w:t>
            </w:r>
          </w:p>
        </w:tc>
        <w:tc>
          <w:tcPr>
            <w:tcW w:w="2010" w:type="pct"/>
          </w:tcPr>
          <w:p w14:paraId="14959F4D" w14:textId="719ADF46"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4BA74414" w14:textId="77777777" w:rsidTr="00F77A75">
        <w:trPr>
          <w:trHeight w:val="288"/>
        </w:trPr>
        <w:tc>
          <w:tcPr>
            <w:tcW w:w="2156" w:type="pct"/>
          </w:tcPr>
          <w:p w14:paraId="505AC4F8"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ED treatment prob for TF, AS</w:t>
            </w:r>
          </w:p>
        </w:tc>
        <w:tc>
          <w:tcPr>
            <w:tcW w:w="834" w:type="pct"/>
          </w:tcPr>
          <w:p w14:paraId="454345F2"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0.048</w:t>
            </w:r>
          </w:p>
        </w:tc>
        <w:tc>
          <w:tcPr>
            <w:tcW w:w="2010" w:type="pct"/>
          </w:tcPr>
          <w:p w14:paraId="40DF2550" w14:textId="583E46C5"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782ECB48" w14:textId="77777777" w:rsidTr="00F77A75">
        <w:trPr>
          <w:trHeight w:val="288"/>
        </w:trPr>
        <w:tc>
          <w:tcPr>
            <w:tcW w:w="2156" w:type="pct"/>
          </w:tcPr>
          <w:p w14:paraId="6AEBA12F"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Hospital treatment prob for TF, AS</w:t>
            </w:r>
          </w:p>
        </w:tc>
        <w:tc>
          <w:tcPr>
            <w:tcW w:w="834" w:type="pct"/>
          </w:tcPr>
          <w:p w14:paraId="6C9373D2"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0.002</w:t>
            </w:r>
          </w:p>
        </w:tc>
        <w:tc>
          <w:tcPr>
            <w:tcW w:w="2010" w:type="pct"/>
          </w:tcPr>
          <w:p w14:paraId="6FCF20EB" w14:textId="4086FC72"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4DB7344A" w14:textId="77777777" w:rsidTr="00F77A75">
        <w:trPr>
          <w:trHeight w:val="288"/>
        </w:trPr>
        <w:tc>
          <w:tcPr>
            <w:tcW w:w="2156" w:type="pct"/>
          </w:tcPr>
          <w:p w14:paraId="3639895C"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Outpatient treatment prob for TF, AS</w:t>
            </w:r>
          </w:p>
        </w:tc>
        <w:tc>
          <w:tcPr>
            <w:tcW w:w="834" w:type="pct"/>
          </w:tcPr>
          <w:p w14:paraId="5857602B"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0.950</w:t>
            </w:r>
          </w:p>
        </w:tc>
        <w:tc>
          <w:tcPr>
            <w:tcW w:w="2010" w:type="pct"/>
          </w:tcPr>
          <w:p w14:paraId="2B1131FB" w14:textId="3A8134EB"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7320961B" w14:textId="77777777" w:rsidTr="00F77A75">
        <w:trPr>
          <w:trHeight w:val="288"/>
        </w:trPr>
        <w:tc>
          <w:tcPr>
            <w:tcW w:w="2156" w:type="pct"/>
          </w:tcPr>
          <w:p w14:paraId="085DC704"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ED treatment prob for TF, GAS</w:t>
            </w:r>
          </w:p>
        </w:tc>
        <w:tc>
          <w:tcPr>
            <w:tcW w:w="834" w:type="pct"/>
          </w:tcPr>
          <w:p w14:paraId="10A8868C"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0.048</w:t>
            </w:r>
          </w:p>
        </w:tc>
        <w:tc>
          <w:tcPr>
            <w:tcW w:w="2010" w:type="pct"/>
          </w:tcPr>
          <w:p w14:paraId="2C3E7523" w14:textId="3BAD9863"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53931AA7" w14:textId="77777777" w:rsidTr="00F77A75">
        <w:trPr>
          <w:trHeight w:val="288"/>
        </w:trPr>
        <w:tc>
          <w:tcPr>
            <w:tcW w:w="2156" w:type="pct"/>
          </w:tcPr>
          <w:p w14:paraId="442B7435"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Hospital treatment prob for TF, GAS</w:t>
            </w:r>
          </w:p>
        </w:tc>
        <w:tc>
          <w:tcPr>
            <w:tcW w:w="834" w:type="pct"/>
          </w:tcPr>
          <w:p w14:paraId="5215EC65"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0.002</w:t>
            </w:r>
          </w:p>
        </w:tc>
        <w:tc>
          <w:tcPr>
            <w:tcW w:w="2010" w:type="pct"/>
          </w:tcPr>
          <w:p w14:paraId="2E1AC20C" w14:textId="7AFB0F8D"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0AC7DC08" w14:textId="77777777" w:rsidTr="00F77A75">
        <w:trPr>
          <w:trHeight w:val="288"/>
        </w:trPr>
        <w:tc>
          <w:tcPr>
            <w:tcW w:w="2156" w:type="pct"/>
          </w:tcPr>
          <w:p w14:paraId="4D725FC5"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Outpatient treatment prob for TF, GAS</w:t>
            </w:r>
          </w:p>
        </w:tc>
        <w:tc>
          <w:tcPr>
            <w:tcW w:w="834" w:type="pct"/>
          </w:tcPr>
          <w:p w14:paraId="37D0E002"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0.950</w:t>
            </w:r>
          </w:p>
        </w:tc>
        <w:tc>
          <w:tcPr>
            <w:tcW w:w="2010" w:type="pct"/>
          </w:tcPr>
          <w:p w14:paraId="632E8597" w14:textId="1F872359"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749D9F75" w14:textId="77777777" w:rsidTr="00F77A75">
        <w:trPr>
          <w:trHeight w:val="288"/>
        </w:trPr>
        <w:tc>
          <w:tcPr>
            <w:tcW w:w="2156" w:type="pct"/>
          </w:tcPr>
          <w:p w14:paraId="3050E125"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Length of ED visit for TF, days</w:t>
            </w:r>
          </w:p>
        </w:tc>
        <w:tc>
          <w:tcPr>
            <w:tcW w:w="834" w:type="pct"/>
          </w:tcPr>
          <w:p w14:paraId="29DA11CC"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1.00</w:t>
            </w:r>
          </w:p>
        </w:tc>
        <w:tc>
          <w:tcPr>
            <w:tcW w:w="2010" w:type="pct"/>
            <w:shd w:val="clear" w:color="auto" w:fill="auto"/>
          </w:tcPr>
          <w:p w14:paraId="2DE99248"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Assumption</w:t>
            </w:r>
          </w:p>
        </w:tc>
      </w:tr>
      <w:tr w:rsidR="00433DF3" w:rsidRPr="00162BE6" w14:paraId="678DBF4B" w14:textId="77777777" w:rsidTr="00F77A75">
        <w:trPr>
          <w:trHeight w:val="288"/>
        </w:trPr>
        <w:tc>
          <w:tcPr>
            <w:tcW w:w="2156" w:type="pct"/>
          </w:tcPr>
          <w:p w14:paraId="5DFB3A65"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Length of hospitalization for TF, days</w:t>
            </w:r>
          </w:p>
        </w:tc>
        <w:tc>
          <w:tcPr>
            <w:tcW w:w="834" w:type="pct"/>
          </w:tcPr>
          <w:p w14:paraId="09FC2E4E"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2.00</w:t>
            </w:r>
          </w:p>
        </w:tc>
        <w:tc>
          <w:tcPr>
            <w:tcW w:w="2010" w:type="pct"/>
            <w:shd w:val="clear" w:color="auto" w:fill="auto"/>
          </w:tcPr>
          <w:p w14:paraId="2A89123F"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 xml:space="preserve">Assumption </w:t>
            </w:r>
          </w:p>
        </w:tc>
      </w:tr>
      <w:tr w:rsidR="00433DF3" w:rsidRPr="00162BE6" w14:paraId="38453505" w14:textId="77777777" w:rsidTr="00F77A75">
        <w:trPr>
          <w:trHeight w:val="288"/>
        </w:trPr>
        <w:tc>
          <w:tcPr>
            <w:tcW w:w="2156" w:type="pct"/>
          </w:tcPr>
          <w:p w14:paraId="43F09A3B"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Length of outpatient visit for TF, days</w:t>
            </w:r>
          </w:p>
        </w:tc>
        <w:tc>
          <w:tcPr>
            <w:tcW w:w="834" w:type="pct"/>
          </w:tcPr>
          <w:p w14:paraId="00599830"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1.00</w:t>
            </w:r>
          </w:p>
        </w:tc>
        <w:tc>
          <w:tcPr>
            <w:tcW w:w="2010" w:type="pct"/>
            <w:shd w:val="clear" w:color="auto" w:fill="auto"/>
          </w:tcPr>
          <w:p w14:paraId="0830193F"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 xml:space="preserve">Assumption </w:t>
            </w:r>
          </w:p>
        </w:tc>
      </w:tr>
      <w:tr w:rsidR="00433DF3" w:rsidRPr="00162BE6" w14:paraId="7C13F86A" w14:textId="77777777" w:rsidTr="00F77A75">
        <w:trPr>
          <w:trHeight w:val="288"/>
        </w:trPr>
        <w:tc>
          <w:tcPr>
            <w:tcW w:w="2156" w:type="pct"/>
          </w:tcPr>
          <w:p w14:paraId="520FCC55"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ED treatment prob for ADR, OM</w:t>
            </w:r>
          </w:p>
        </w:tc>
        <w:tc>
          <w:tcPr>
            <w:tcW w:w="834" w:type="pct"/>
          </w:tcPr>
          <w:p w14:paraId="431ECD64"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0.104</w:t>
            </w:r>
          </w:p>
        </w:tc>
        <w:tc>
          <w:tcPr>
            <w:tcW w:w="2010" w:type="pct"/>
            <w:shd w:val="clear" w:color="auto" w:fill="auto"/>
          </w:tcPr>
          <w:p w14:paraId="0FBA607B" w14:textId="753327FF"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4D7B335A" w14:textId="77777777" w:rsidTr="00F77A75">
        <w:trPr>
          <w:trHeight w:val="288"/>
        </w:trPr>
        <w:tc>
          <w:tcPr>
            <w:tcW w:w="2156" w:type="pct"/>
          </w:tcPr>
          <w:p w14:paraId="252E0161"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Hospital treatment prob for ADR, OM</w:t>
            </w:r>
          </w:p>
        </w:tc>
        <w:tc>
          <w:tcPr>
            <w:tcW w:w="834" w:type="pct"/>
          </w:tcPr>
          <w:p w14:paraId="70F7BE47"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0.006</w:t>
            </w:r>
          </w:p>
        </w:tc>
        <w:tc>
          <w:tcPr>
            <w:tcW w:w="2010" w:type="pct"/>
            <w:shd w:val="clear" w:color="auto" w:fill="auto"/>
          </w:tcPr>
          <w:p w14:paraId="6B4B940A" w14:textId="76A6BEF5"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4115056F" w14:textId="77777777" w:rsidTr="00F77A75">
        <w:trPr>
          <w:trHeight w:val="288"/>
        </w:trPr>
        <w:tc>
          <w:tcPr>
            <w:tcW w:w="2156" w:type="pct"/>
          </w:tcPr>
          <w:p w14:paraId="0A6DD6F2"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Outpatient treatment prob for ADR, OM</w:t>
            </w:r>
          </w:p>
        </w:tc>
        <w:tc>
          <w:tcPr>
            <w:tcW w:w="834" w:type="pct"/>
          </w:tcPr>
          <w:p w14:paraId="32DBADD3"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0.890</w:t>
            </w:r>
          </w:p>
        </w:tc>
        <w:tc>
          <w:tcPr>
            <w:tcW w:w="2010" w:type="pct"/>
            <w:shd w:val="clear" w:color="auto" w:fill="auto"/>
          </w:tcPr>
          <w:p w14:paraId="30A83C10" w14:textId="62EF8708"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046D2F6A" w14:textId="77777777" w:rsidTr="00F77A75">
        <w:trPr>
          <w:trHeight w:val="288"/>
        </w:trPr>
        <w:tc>
          <w:tcPr>
            <w:tcW w:w="2156" w:type="pct"/>
          </w:tcPr>
          <w:p w14:paraId="5E7E4213"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ED treatment prob for ADR, AS</w:t>
            </w:r>
          </w:p>
        </w:tc>
        <w:tc>
          <w:tcPr>
            <w:tcW w:w="834" w:type="pct"/>
          </w:tcPr>
          <w:p w14:paraId="2CB9A912"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0.092</w:t>
            </w:r>
          </w:p>
        </w:tc>
        <w:tc>
          <w:tcPr>
            <w:tcW w:w="2010" w:type="pct"/>
            <w:shd w:val="clear" w:color="auto" w:fill="auto"/>
          </w:tcPr>
          <w:p w14:paraId="6997ED08" w14:textId="43B94132"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7E123EF8" w14:textId="77777777" w:rsidTr="00F77A75">
        <w:trPr>
          <w:trHeight w:val="288"/>
        </w:trPr>
        <w:tc>
          <w:tcPr>
            <w:tcW w:w="2156" w:type="pct"/>
          </w:tcPr>
          <w:p w14:paraId="6BC0B160"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Hospital treatment prob for ADR, AS</w:t>
            </w:r>
          </w:p>
        </w:tc>
        <w:tc>
          <w:tcPr>
            <w:tcW w:w="834" w:type="pct"/>
          </w:tcPr>
          <w:p w14:paraId="5A618EBC"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0.006</w:t>
            </w:r>
          </w:p>
        </w:tc>
        <w:tc>
          <w:tcPr>
            <w:tcW w:w="2010" w:type="pct"/>
            <w:shd w:val="clear" w:color="auto" w:fill="auto"/>
          </w:tcPr>
          <w:p w14:paraId="6BAD9AA3" w14:textId="66BE3B5C"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5B6B0593" w14:textId="77777777" w:rsidTr="00F77A75">
        <w:trPr>
          <w:trHeight w:val="288"/>
        </w:trPr>
        <w:tc>
          <w:tcPr>
            <w:tcW w:w="2156" w:type="pct"/>
          </w:tcPr>
          <w:p w14:paraId="1D06B5B1"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Outpatient treatment prob for ADR, AS</w:t>
            </w:r>
          </w:p>
        </w:tc>
        <w:tc>
          <w:tcPr>
            <w:tcW w:w="834" w:type="pct"/>
          </w:tcPr>
          <w:p w14:paraId="25751C0C"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0.902</w:t>
            </w:r>
          </w:p>
        </w:tc>
        <w:tc>
          <w:tcPr>
            <w:tcW w:w="2010" w:type="pct"/>
            <w:shd w:val="clear" w:color="auto" w:fill="auto"/>
          </w:tcPr>
          <w:p w14:paraId="18C1BC8C" w14:textId="0F2E28F9"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35617A42" w14:textId="77777777" w:rsidTr="00F77A75">
        <w:trPr>
          <w:trHeight w:val="288"/>
        </w:trPr>
        <w:tc>
          <w:tcPr>
            <w:tcW w:w="2156" w:type="pct"/>
          </w:tcPr>
          <w:p w14:paraId="33C1B384"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ED treatment prob for ADR, GAS</w:t>
            </w:r>
          </w:p>
        </w:tc>
        <w:tc>
          <w:tcPr>
            <w:tcW w:w="834" w:type="pct"/>
          </w:tcPr>
          <w:p w14:paraId="2910A400"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0.088</w:t>
            </w:r>
          </w:p>
        </w:tc>
        <w:tc>
          <w:tcPr>
            <w:tcW w:w="2010" w:type="pct"/>
            <w:shd w:val="clear" w:color="auto" w:fill="auto"/>
          </w:tcPr>
          <w:p w14:paraId="7E704DB1" w14:textId="4136CE9D"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6B2BBA63" w14:textId="77777777" w:rsidTr="00F77A75">
        <w:trPr>
          <w:trHeight w:val="288"/>
        </w:trPr>
        <w:tc>
          <w:tcPr>
            <w:tcW w:w="2156" w:type="pct"/>
          </w:tcPr>
          <w:p w14:paraId="779C12A9"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Hospital treatment prob for ADR, GAS</w:t>
            </w:r>
          </w:p>
        </w:tc>
        <w:tc>
          <w:tcPr>
            <w:tcW w:w="834" w:type="pct"/>
          </w:tcPr>
          <w:p w14:paraId="3984D1AF"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0.006</w:t>
            </w:r>
          </w:p>
        </w:tc>
        <w:tc>
          <w:tcPr>
            <w:tcW w:w="2010" w:type="pct"/>
            <w:shd w:val="clear" w:color="auto" w:fill="auto"/>
          </w:tcPr>
          <w:p w14:paraId="376CFCD1" w14:textId="3B836CDF"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46B90D85" w14:textId="77777777" w:rsidTr="00F77A75">
        <w:trPr>
          <w:trHeight w:val="288"/>
        </w:trPr>
        <w:tc>
          <w:tcPr>
            <w:tcW w:w="2156" w:type="pct"/>
          </w:tcPr>
          <w:p w14:paraId="079A475A"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Outpatient treatment prob for ADR, GAS</w:t>
            </w:r>
          </w:p>
        </w:tc>
        <w:tc>
          <w:tcPr>
            <w:tcW w:w="834" w:type="pct"/>
          </w:tcPr>
          <w:p w14:paraId="44B00403"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0.906</w:t>
            </w:r>
          </w:p>
        </w:tc>
        <w:tc>
          <w:tcPr>
            <w:tcW w:w="2010" w:type="pct"/>
            <w:shd w:val="clear" w:color="auto" w:fill="auto"/>
          </w:tcPr>
          <w:p w14:paraId="2F96C966" w14:textId="2F58ED59"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2682E1C5" w14:textId="77777777" w:rsidTr="00F77A75">
        <w:trPr>
          <w:trHeight w:val="288"/>
        </w:trPr>
        <w:tc>
          <w:tcPr>
            <w:tcW w:w="2156" w:type="pct"/>
          </w:tcPr>
          <w:p w14:paraId="44487B63"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Length of ED visit for ADR, days</w:t>
            </w:r>
          </w:p>
        </w:tc>
        <w:tc>
          <w:tcPr>
            <w:tcW w:w="834" w:type="pct"/>
          </w:tcPr>
          <w:p w14:paraId="2BB2572A"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1.00</w:t>
            </w:r>
          </w:p>
        </w:tc>
        <w:tc>
          <w:tcPr>
            <w:tcW w:w="2010" w:type="pct"/>
            <w:shd w:val="clear" w:color="auto" w:fill="auto"/>
          </w:tcPr>
          <w:p w14:paraId="73C6A3B2" w14:textId="77777777" w:rsidR="00433DF3" w:rsidRPr="00854503"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Assumption</w:t>
            </w:r>
          </w:p>
        </w:tc>
      </w:tr>
      <w:tr w:rsidR="00433DF3" w:rsidRPr="00162BE6" w14:paraId="3F536AE3" w14:textId="77777777" w:rsidTr="00F77A75">
        <w:trPr>
          <w:trHeight w:val="288"/>
        </w:trPr>
        <w:tc>
          <w:tcPr>
            <w:tcW w:w="2156" w:type="pct"/>
          </w:tcPr>
          <w:p w14:paraId="061C1105"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lastRenderedPageBreak/>
              <w:t>Length of hospitalization for ADR, days</w:t>
            </w:r>
          </w:p>
        </w:tc>
        <w:tc>
          <w:tcPr>
            <w:tcW w:w="834" w:type="pct"/>
          </w:tcPr>
          <w:p w14:paraId="7DC5A71B"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2.00</w:t>
            </w:r>
          </w:p>
        </w:tc>
        <w:tc>
          <w:tcPr>
            <w:tcW w:w="2010" w:type="pct"/>
            <w:shd w:val="clear" w:color="auto" w:fill="auto"/>
          </w:tcPr>
          <w:p w14:paraId="22A8C327" w14:textId="77777777" w:rsidR="00433DF3" w:rsidRPr="00854503"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 xml:space="preserve">Assumption </w:t>
            </w:r>
          </w:p>
        </w:tc>
      </w:tr>
      <w:tr w:rsidR="00433DF3" w:rsidRPr="00162BE6" w14:paraId="5857A4DD" w14:textId="77777777" w:rsidTr="00F77A75">
        <w:trPr>
          <w:trHeight w:val="288"/>
        </w:trPr>
        <w:tc>
          <w:tcPr>
            <w:tcW w:w="2156" w:type="pct"/>
          </w:tcPr>
          <w:p w14:paraId="7E385762"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Length of outpatient visit for ADR, days</w:t>
            </w:r>
          </w:p>
        </w:tc>
        <w:tc>
          <w:tcPr>
            <w:tcW w:w="834" w:type="pct"/>
          </w:tcPr>
          <w:p w14:paraId="527D5166"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1.00</w:t>
            </w:r>
          </w:p>
        </w:tc>
        <w:tc>
          <w:tcPr>
            <w:tcW w:w="2010" w:type="pct"/>
            <w:shd w:val="clear" w:color="auto" w:fill="auto"/>
          </w:tcPr>
          <w:p w14:paraId="2CA88734" w14:textId="77777777" w:rsidR="00433DF3" w:rsidRPr="00854503"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 xml:space="preserve">Assumption </w:t>
            </w:r>
          </w:p>
        </w:tc>
      </w:tr>
      <w:tr w:rsidR="00433DF3" w:rsidRPr="00854503" w14:paraId="3D0D9B8D" w14:textId="77777777" w:rsidTr="00F77A75">
        <w:trPr>
          <w:trHeight w:val="288"/>
        </w:trPr>
        <w:tc>
          <w:tcPr>
            <w:tcW w:w="5000" w:type="pct"/>
            <w:gridSpan w:val="3"/>
            <w:shd w:val="clear" w:color="auto" w:fill="F2F2F2" w:themeFill="background1" w:themeFillShade="F2"/>
          </w:tcPr>
          <w:p w14:paraId="355C9D5C" w14:textId="77777777" w:rsidR="00433DF3" w:rsidRPr="00854503" w:rsidRDefault="00433DF3" w:rsidP="00F77A75">
            <w:pPr>
              <w:pStyle w:val="TableText-IPR"/>
              <w:rPr>
                <w:rFonts w:asciiTheme="minorHAnsi" w:hAnsiTheme="minorHAnsi" w:cstheme="minorHAnsi"/>
                <w:sz w:val="22"/>
                <w:szCs w:val="22"/>
              </w:rPr>
            </w:pPr>
            <w:r w:rsidRPr="00854503">
              <w:rPr>
                <w:rFonts w:asciiTheme="minorHAnsi" w:hAnsiTheme="minorHAnsi" w:cstheme="minorHAnsi"/>
                <w:b/>
                <w:sz w:val="22"/>
                <w:szCs w:val="22"/>
              </w:rPr>
              <w:t>Unit Costs (2017 USD)</w:t>
            </w:r>
          </w:p>
        </w:tc>
      </w:tr>
      <w:tr w:rsidR="00433DF3" w:rsidRPr="00162BE6" w14:paraId="24914B1D" w14:textId="77777777" w:rsidTr="00F77A75">
        <w:trPr>
          <w:trHeight w:val="288"/>
        </w:trPr>
        <w:tc>
          <w:tcPr>
            <w:tcW w:w="2156" w:type="pct"/>
          </w:tcPr>
          <w:p w14:paraId="4E1554DA" w14:textId="77777777" w:rsidR="00433DF3" w:rsidRPr="00162BE6"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narrow-spectrum antibiotic course, OM</w:t>
            </w:r>
          </w:p>
        </w:tc>
        <w:tc>
          <w:tcPr>
            <w:tcW w:w="834" w:type="pct"/>
          </w:tcPr>
          <w:p w14:paraId="236506DD"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39.13</w:t>
            </w:r>
          </w:p>
        </w:tc>
        <w:tc>
          <w:tcPr>
            <w:tcW w:w="2010" w:type="pct"/>
          </w:tcPr>
          <w:p w14:paraId="75C513B0" w14:textId="26A8CD59" w:rsidR="00433DF3" w:rsidRPr="009876DB" w:rsidRDefault="00433DF3" w:rsidP="00162BE6">
            <w:pPr>
              <w:spacing w:after="0" w:line="240" w:lineRule="auto"/>
              <w:ind w:left="60"/>
              <w:rPr>
                <w:rFonts w:asciiTheme="minorHAnsi" w:hAnsiTheme="minorHAnsi" w:cstheme="minorHAnsi"/>
                <w:color w:val="000000"/>
                <w:sz w:val="22"/>
              </w:rPr>
            </w:pPr>
            <w:proofErr w:type="spellStart"/>
            <w:r w:rsidRPr="009876DB">
              <w:rPr>
                <w:rFonts w:asciiTheme="minorHAnsi" w:hAnsiTheme="minorHAnsi" w:cstheme="minorHAnsi"/>
                <w:color w:val="000000"/>
                <w:sz w:val="22"/>
              </w:rPr>
              <w:t>GoodRx</w:t>
            </w:r>
            <w:proofErr w:type="spellEnd"/>
            <w:r w:rsidRPr="009876DB">
              <w:rPr>
                <w:rFonts w:asciiTheme="minorHAnsi" w:hAnsiTheme="minorHAnsi" w:cstheme="minorHAnsi"/>
                <w:color w:val="000000"/>
                <w:sz w:val="22"/>
              </w:rPr>
              <w:t xml:space="preserve"> (2019)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GoodRx","given":"","non-dropping-particle":"","parse-names":false,"suffix":""}],"id":"ITEM-1","issued":{"date-parts":[["2019"]]},"title":"Website","type":"webpage"},"uris":["http://www.mendeley.com/documents/?uuid=41514010-50a1-4bdf-9973-1ad75010b83a"]}],"mendeley":{"formattedCitation":"[21]","plainTextFormattedCitation":"[21]","previouslyFormattedCitation":"[21]"},"properties":{"noteIndex":0},"schema":"https://github.com/citation-style-language/schema/raw/master/csl-citation.json"}</w:instrText>
            </w:r>
            <w:r w:rsidRPr="00162BE6">
              <w:rPr>
                <w:rFonts w:cstheme="minorHAnsi"/>
                <w:color w:val="000000"/>
              </w:rPr>
              <w:fldChar w:fldCharType="separate"/>
            </w:r>
            <w:r w:rsidR="0012304F">
              <w:rPr>
                <w:rFonts w:asciiTheme="minorHAnsi" w:hAnsiTheme="minorHAnsi" w:cstheme="minorHAnsi"/>
                <w:color w:val="000000"/>
                <w:sz w:val="22"/>
              </w:rPr>
              <w:t>[14]</w:t>
            </w:r>
            <w:r w:rsidRPr="00162BE6">
              <w:rPr>
                <w:rFonts w:cstheme="minorHAnsi"/>
                <w:color w:val="000000"/>
              </w:rPr>
              <w:fldChar w:fldCharType="end"/>
            </w:r>
            <w:r w:rsidRPr="009876DB">
              <w:rPr>
                <w:rFonts w:asciiTheme="minorHAnsi" w:hAnsiTheme="minorHAnsi" w:cstheme="minorHAnsi"/>
                <w:color w:val="000000"/>
                <w:sz w:val="22"/>
              </w:rPr>
              <w:t xml:space="preserve">; Chahine, Johnson, &amp; Costanzo (2014)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{"citationItems":[{"id":"ITEM-1","itemData":{"ISSN":"01484818","abstract":"Acute otitis media (AOM) is a common pediatric infection that is typically managed in the outpatient setting. While Streptococcus pneumoniae, Haemophilus influenzae, and Moraxella catarrhalis are the most common bacterial cause, other organisms including viruses can cause AOM. The American Academy of Pediatrics and American Academy of Family Physicians recently released an updated clinical practice guideline for the diagnosis and management of AOM. First-line antibiotic treatment for AOM is amoxicillin or amoxicillin-clavulanate, and alternative agents include cephalosporins and clindamycin. Pharmacists are in a key position to improve outcomes for children with AOM by recommending appropriate therapy, monitoring for adverse effects, and ensuring adherence to the immunization schedule. With over 80% of children experiencing at least one episode of acute otitis media (AOM) by age 3 years, this condition is the most common one for which children are prescribed antibiotics in the United States. 1,2 Healthcare-associated costs for AOM account for approximately $2.88 billion annually in the U.S., in addition to significant indirect costs attributed to caregivers' lost time. 3,4 AOM, often referred to as a middle ear infection, is characterized by the rapid onset of signs and symptoms of inflammation in the middle ear such as pain, fever, and impaired hearing. 1,5 AOM is most prevalent in children aged &lt;2 years because their immune system is immature and their eustachian tubes are shorter and more horizontal than those of adults, leading to accumulation of secretions and infections. 5 The American Academy of Pediatrics (AAP) and American Academy of Family Physicians (AAFP) released an updated clinical practice guideline in February 2013 for the diagnosis and management of AOM in children aged 6 months to 12 years. 1 The purpose of this review is to educate pharmacists on the proper management of pediatric patients presenting with AOM according to the AAP/AAFP guideline.","author":[{"dropping-particle":"","family":"Chahine","given":"Elias B.","non-dropping-particle":"","parse-names":false,"suffix":""},{"dropping-particle":"","family":"Johnson","given":"Ashley N.","non-dropping-particle":"","parse-names":false,"suffix":""},{"dropping-particle":"","family":"Costanzo","given":"Angelica","non-dropping-particle":"","parse-names":false,"suffix":""}],"container-title":"U.S. Pharmacist","id":"ITEM-1","issue":"7","issued":{"date-parts":[["2014"]]},"page":"27-30","title":"Update on the management of pediatric acute otitis media","type":"article-journal","volume":"39"},"uris":["http://www.mendeley.com/documents/?uuid=1da2c2b8-e622-42ad-8f9b-0ce6bae0e5a9"]}],"mendeley":{"formattedCitation":"[30]","plainTextFormattedCitation":"[30]","previouslyFormattedCitation":"[30]"},"properties":{"noteIndex":0},"schema":"https://github.com/citation-style-language/schema/raw/master/csl-citation.json"}</w:instrText>
            </w:r>
            <w:r w:rsidRPr="00162BE6">
              <w:rPr>
                <w:rFonts w:cstheme="minorHAnsi"/>
                <w:color w:val="000000"/>
              </w:rPr>
              <w:fldChar w:fldCharType="separate"/>
            </w:r>
            <w:r w:rsidR="0012304F">
              <w:rPr>
                <w:rFonts w:asciiTheme="minorHAnsi" w:hAnsiTheme="minorHAnsi" w:cstheme="minorHAnsi"/>
                <w:color w:val="000000"/>
                <w:sz w:val="22"/>
              </w:rPr>
              <w:t>[15]</w:t>
            </w:r>
            <w:r w:rsidRPr="00162BE6">
              <w:rPr>
                <w:rFonts w:cstheme="minorHAnsi"/>
                <w:color w:val="000000"/>
              </w:rPr>
              <w:fldChar w:fldCharType="end"/>
            </w:r>
            <w:r w:rsidRPr="009876DB">
              <w:rPr>
                <w:rFonts w:asciiTheme="minorHAnsi" w:hAnsiTheme="minorHAnsi" w:cstheme="minorHAnsi"/>
                <w:color w:val="000000"/>
                <w:sz w:val="22"/>
              </w:rPr>
              <w:t xml:space="preserve">; Wicker &amp; </w:t>
            </w:r>
            <w:proofErr w:type="spellStart"/>
            <w:r w:rsidRPr="009876DB">
              <w:rPr>
                <w:rFonts w:asciiTheme="minorHAnsi" w:hAnsiTheme="minorHAnsi" w:cstheme="minorHAnsi"/>
                <w:color w:val="000000"/>
                <w:sz w:val="22"/>
              </w:rPr>
              <w:t>Mohundro</w:t>
            </w:r>
            <w:proofErr w:type="spellEnd"/>
            <w:r w:rsidRPr="009876DB">
              <w:rPr>
                <w:rFonts w:asciiTheme="minorHAnsi" w:hAnsiTheme="minorHAnsi" w:cstheme="minorHAnsi"/>
                <w:color w:val="000000"/>
                <w:sz w:val="22"/>
              </w:rPr>
              <w:t xml:space="preserve"> (2010)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{"citationItems":[{"id":"ITEM-1","itemData":{"author":[{"dropping-particle":"","family":"McMahon Wicker","given":"Ann","non-dropping-particle":"","parse-names":false,"suffix":""},{"dropping-particle":"","family":"Labruzzo Mohundro","given":"Brice","non-dropping-particle":"","parse-names":false,"suffix":""}],"container-title":"US Pharm","id":"ITEM-1","issue":"3","issued":{"date-parts":[["2010"]]},"page":"44-49","title":"Management of Pediatric Otitis Media","type":"article-journal","volume":"35"},"uris":["http://www.mendeley.com/documents/?uuid=b7123bec-640c-38ee-856f-62d001d727ff"]}],"mendeley":{"formattedCitation":"[31]","plainTextFormattedCitation":"[31]","previouslyFormattedCitation":"[31]"},"properties":{"noteIndex":0},"schema":"https://github.com/citation-style-language/schema/raw/master/csl-citation.json"}</w:instrText>
            </w:r>
            <w:r w:rsidRPr="00162BE6">
              <w:rPr>
                <w:rFonts w:cstheme="minorHAnsi"/>
                <w:color w:val="000000"/>
              </w:rPr>
              <w:fldChar w:fldCharType="separate"/>
            </w:r>
            <w:r w:rsidR="0012304F">
              <w:rPr>
                <w:rFonts w:asciiTheme="minorHAnsi" w:hAnsiTheme="minorHAnsi" w:cstheme="minorHAnsi"/>
                <w:color w:val="000000"/>
                <w:sz w:val="22"/>
              </w:rPr>
              <w:t>[16]</w:t>
            </w:r>
            <w:r w:rsidRPr="00162BE6">
              <w:rPr>
                <w:rFonts w:cstheme="minorHAnsi"/>
                <w:color w:val="000000"/>
              </w:rPr>
              <w:fldChar w:fldCharType="end"/>
            </w:r>
            <w:r w:rsidRPr="009876DB">
              <w:rPr>
                <w:rFonts w:asciiTheme="minorHAnsi" w:hAnsiTheme="minorHAnsi" w:cstheme="minorHAnsi"/>
                <w:color w:val="000000"/>
                <w:sz w:val="22"/>
              </w:rPr>
              <w:t xml:space="preserve">; TOP (2008)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{"citationItems":[{"id":"ITEM-1","itemData":{"author":[{"dropping-particle":"","family":"TOP (Toward Optimized Practice)","given":"","non-dropping-particle":"","parse-names":false,"suffix":""}],"id":"ITEM-1","issue":"January","issued":{"date-parts":[["2008"]]},"title":"Diagnosis and treatment of AOM in children: Summary of the Alberta clinical practice guideline for acute otitis media","type":"report"},"uris":["http://www.mendeley.com/documents/?uuid=4cf88c11-593a-4bbc-9e5d-d12ec29eb816"]}],"mendeley":{"formattedCitation":"[32]","plainTextFormattedCitation":"[32]","previouslyFormattedCitation":"[32]"},"properties":{"noteIndex":0},"schema":"https://github.com/citation-style-language/schema/raw/master/csl-citation.json"}</w:instrText>
            </w:r>
            <w:r w:rsidRPr="00162BE6">
              <w:rPr>
                <w:rFonts w:cstheme="minorHAnsi"/>
                <w:color w:val="000000"/>
              </w:rPr>
              <w:fldChar w:fldCharType="separate"/>
            </w:r>
            <w:r w:rsidR="0012304F">
              <w:rPr>
                <w:rFonts w:asciiTheme="minorHAnsi" w:hAnsiTheme="minorHAnsi" w:cstheme="minorHAnsi"/>
                <w:color w:val="000000"/>
                <w:sz w:val="22"/>
              </w:rPr>
              <w:t>[17]</w:t>
            </w:r>
            <w:r w:rsidRPr="00162BE6">
              <w:rPr>
                <w:rFonts w:cstheme="minorHAnsi"/>
                <w:color w:val="000000"/>
              </w:rPr>
              <w:fldChar w:fldCharType="end"/>
            </w:r>
            <w:r w:rsidRPr="009876DB">
              <w:rPr>
                <w:rFonts w:asciiTheme="minorHAnsi" w:hAnsiTheme="minorHAnsi" w:cstheme="minorHAnsi"/>
                <w:color w:val="000000"/>
                <w:sz w:val="22"/>
              </w:rPr>
              <w:t xml:space="preserve"> </w:t>
            </w:r>
          </w:p>
        </w:tc>
      </w:tr>
      <w:tr w:rsidR="00433DF3" w:rsidRPr="00162BE6" w14:paraId="24613563" w14:textId="77777777" w:rsidTr="00F77A75">
        <w:trPr>
          <w:trHeight w:val="288"/>
        </w:trPr>
        <w:tc>
          <w:tcPr>
            <w:tcW w:w="2156" w:type="pct"/>
          </w:tcPr>
          <w:p w14:paraId="74FB5AE5" w14:textId="77777777" w:rsidR="00433DF3" w:rsidRPr="00162BE6"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broad-spectrum antibiotic course, OM</w:t>
            </w:r>
          </w:p>
        </w:tc>
        <w:tc>
          <w:tcPr>
            <w:tcW w:w="834" w:type="pct"/>
          </w:tcPr>
          <w:p w14:paraId="69DAE858"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77.40</w:t>
            </w:r>
          </w:p>
        </w:tc>
        <w:tc>
          <w:tcPr>
            <w:tcW w:w="2010" w:type="pct"/>
          </w:tcPr>
          <w:p w14:paraId="0E105A34" w14:textId="43B13D8F" w:rsidR="00433DF3" w:rsidRPr="00162BE6" w:rsidRDefault="00433DF3" w:rsidP="00162BE6">
            <w:pPr>
              <w:spacing w:after="0" w:line="240" w:lineRule="auto"/>
              <w:ind w:left="60"/>
              <w:rPr>
                <w:rFonts w:asciiTheme="minorHAnsi" w:hAnsiTheme="minorHAnsi" w:cstheme="minorHAnsi"/>
                <w:color w:val="000000"/>
                <w:sz w:val="22"/>
              </w:rPr>
            </w:pPr>
            <w:proofErr w:type="spellStart"/>
            <w:r w:rsidRPr="00854503">
              <w:rPr>
                <w:rFonts w:asciiTheme="minorHAnsi" w:hAnsiTheme="minorHAnsi" w:cstheme="minorHAnsi"/>
                <w:color w:val="000000"/>
                <w:sz w:val="22"/>
              </w:rPr>
              <w:t>GoodRx</w:t>
            </w:r>
            <w:proofErr w:type="spellEnd"/>
            <w:r w:rsidRPr="00854503">
              <w:rPr>
                <w:rFonts w:asciiTheme="minorHAnsi" w:hAnsiTheme="minorHAnsi" w:cstheme="minorHAnsi"/>
                <w:color w:val="000000"/>
                <w:sz w:val="22"/>
              </w:rPr>
              <w:t xml:space="preserve"> (2019)</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GoodRx","given":"","non-dropping-particle":"","parse-names":false,"suffix":""}],"id":"ITEM-1","issued":{"date-parts":[["2019"]]},"title":"Website","type":"webpage"},"uris":["http://www.mendeley.com/documents/?uuid=41514010-50a1-4bdf-9973-1ad75010b83a"]}],"mendeley":{"formattedCitation":"[21]","plainTextFormattedCitation":"[21]","previouslyFormattedCitation":"[21]"},"properties":{"noteIndex":0},"schema":"https://github.com/citation-style-language/schema/raw/master/csl-citation.json"}</w:instrText>
            </w:r>
            <w:r>
              <w:rPr>
                <w:rFonts w:cstheme="minorHAnsi"/>
                <w:color w:val="000000"/>
              </w:rPr>
              <w:fldChar w:fldCharType="separate"/>
            </w:r>
            <w:r w:rsidR="0012304F">
              <w:rPr>
                <w:rFonts w:asciiTheme="minorHAnsi" w:hAnsiTheme="minorHAnsi" w:cstheme="minorHAnsi"/>
                <w:color w:val="000000"/>
                <w:sz w:val="22"/>
              </w:rPr>
              <w:t>[14]</w:t>
            </w:r>
            <w:r>
              <w:rPr>
                <w:rFonts w:cstheme="minorHAnsi"/>
                <w:color w:val="000000"/>
              </w:rPr>
              <w:fldChar w:fldCharType="end"/>
            </w:r>
            <w:r w:rsidRPr="00854503">
              <w:rPr>
                <w:rFonts w:asciiTheme="minorHAnsi" w:hAnsiTheme="minorHAnsi" w:cstheme="minorHAnsi"/>
                <w:color w:val="000000"/>
                <w:sz w:val="22"/>
              </w:rPr>
              <w:t xml:space="preserve">; Wicker &amp; </w:t>
            </w:r>
            <w:proofErr w:type="spellStart"/>
            <w:r w:rsidRPr="00854503">
              <w:rPr>
                <w:rFonts w:asciiTheme="minorHAnsi" w:hAnsiTheme="minorHAnsi" w:cstheme="minorHAnsi"/>
                <w:color w:val="000000"/>
                <w:sz w:val="22"/>
              </w:rPr>
              <w:t>Mohundro</w:t>
            </w:r>
            <w:proofErr w:type="spellEnd"/>
            <w:r w:rsidRPr="00854503">
              <w:rPr>
                <w:rFonts w:asciiTheme="minorHAnsi" w:hAnsiTheme="minorHAnsi" w:cstheme="minorHAnsi"/>
                <w:color w:val="000000"/>
                <w:sz w:val="22"/>
              </w:rPr>
              <w:t xml:space="preserve"> (2010)</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{"citationItems":[{"id":"ITEM-1","itemData":{"author":[{"dropping-particle":"","family":"McMahon Wicker","given":"Ann","non-dropping-particle":"","parse-names":false,"suffix":""},{"dropping-particle":"","family":"Labruzzo Mohundro","given":"Brice","non-dropping-particle":"","parse-names":false,"suffix":""}],"container-title":"US Pharm","id":"ITEM-1","issue":"3","issued":{"date-parts":[["2010"]]},"page":"44-49","title":"Management of Pediatric Otitis Media","type":"article-journal","volume":"35"},"uris":["http://www.mendeley.com/documents/?uuid=b7123bec-640c-38ee-856f-62d001d727ff"]}],"mendeley":{"formattedCitation":"[31]","plainTextFormattedCitation":"[31]","previouslyFormattedCitation":"[31]"},"properties":{"noteIndex":0},"schema":"https://github.com/citation-style-language/schema/raw/master/csl-citation.json"}</w:instrText>
            </w:r>
            <w:r>
              <w:rPr>
                <w:rFonts w:cstheme="minorHAnsi"/>
                <w:color w:val="000000"/>
              </w:rPr>
              <w:fldChar w:fldCharType="separate"/>
            </w:r>
            <w:r w:rsidR="0012304F">
              <w:rPr>
                <w:rFonts w:asciiTheme="minorHAnsi" w:hAnsiTheme="minorHAnsi" w:cstheme="minorHAnsi"/>
                <w:color w:val="000000"/>
                <w:sz w:val="22"/>
              </w:rPr>
              <w:t>[16]</w:t>
            </w:r>
            <w:r>
              <w:rPr>
                <w:rFonts w:cstheme="minorHAnsi"/>
                <w:color w:val="000000"/>
              </w:rPr>
              <w:fldChar w:fldCharType="end"/>
            </w:r>
            <w:r w:rsidRPr="00854503">
              <w:rPr>
                <w:rFonts w:asciiTheme="minorHAnsi" w:hAnsiTheme="minorHAnsi" w:cstheme="minorHAnsi"/>
                <w:color w:val="000000"/>
                <w:sz w:val="22"/>
              </w:rPr>
              <w:t>; Chahine et al. (2014)</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{"citationItems":[{"id":"ITEM-1","itemData":{"ISSN":"01484818","abstract":"Acute otitis media (AOM) is a common pediatric infection that is typically managed in the outpatient setting. While Streptococcus pneumoniae, Haemophilus influenzae, and Moraxella catarrhalis are the most common bacterial cause, other organisms including viruses can cause AOM. The American Academy of Pediatrics and American Academy of Family Physicians recently released an updated clinical practice guideline for the diagnosis and management of AOM. First-line antibiotic treatment for AOM is amoxicillin or amoxicillin-clavulanate, and alternative agents include cephalosporins and clindamycin. Pharmacists are in a key position to improve outcomes for children with AOM by recommending appropriate therapy, monitoring for adverse effects, and ensuring adherence to the immunization schedule. With over 80% of children experiencing at least one episode of acute otitis media (AOM) by age 3 years, this condition is the most common one for which children are prescribed antibiotics in the United States. 1,2 Healthcare-associated costs for AOM account for approximately $2.88 billion annually in the U.S., in addition to significant indirect costs attributed to caregivers' lost time. 3,4 AOM, often referred to as a middle ear infection, is characterized by the rapid onset of signs and symptoms of inflammation in the middle ear such as pain, fever, and impaired hearing. 1,5 AOM is most prevalent in children aged &lt;2 years because their immune system is immature and their eustachian tubes are shorter and more horizontal than those of adults, leading to accumulation of secretions and infections. 5 The American Academy of Pediatrics (AAP) and American Academy of Family Physicians (AAFP) released an updated clinical practice guideline in February 2013 for the diagnosis and management of AOM in children aged 6 months to 12 years. 1 The purpose of this review is to educate pharmacists on the proper management of pediatric patients presenting with AOM according to the AAP/AAFP guideline.","author":[{"dropping-particle":"","family":"Chahine","given":"Elias B.","non-dropping-particle":"","parse-names":false,"suffix":""},{"dropping-particle":"","family":"Johnson","given":"Ashley N.","non-dropping-particle":"","parse-names":false,"suffix":""},{"dropping-particle":"","family":"Costanzo","given":"Angelica","non-dropping-particle":"","parse-names":false,"suffix":""}],"container-title":"U.S. Pharmacist","id":"ITEM-1","issue":"7","issued":{"date-parts":[["2014"]]},"page":"27-30","title":"Update on the management of pediatric acute otitis media","type":"article-journal","volume":"39"},"uris":["http://www.mendeley.com/documents/?uuid=1da2c2b8-e622-42ad-8f9b-0ce6bae0e5a9"]}],"mendeley":{"formattedCitation":"[30]","plainTextFormattedCitation":"[30]","previouslyFormattedCitation":"[30]"},"properties":{"noteIndex":0},"schema":"https://github.com/citation-style-language/schema/raw/master/csl-citation.json"}</w:instrText>
            </w:r>
            <w:r>
              <w:rPr>
                <w:rFonts w:cstheme="minorHAnsi"/>
                <w:color w:val="000000"/>
              </w:rPr>
              <w:fldChar w:fldCharType="separate"/>
            </w:r>
            <w:r w:rsidR="0012304F">
              <w:rPr>
                <w:rFonts w:asciiTheme="minorHAnsi" w:hAnsiTheme="minorHAnsi" w:cstheme="minorHAnsi"/>
                <w:color w:val="000000"/>
                <w:sz w:val="22"/>
              </w:rPr>
              <w:t>[15]</w:t>
            </w:r>
            <w:r>
              <w:rPr>
                <w:rFonts w:cstheme="minorHAnsi"/>
                <w:color w:val="000000"/>
              </w:rPr>
              <w:fldChar w:fldCharType="end"/>
            </w:r>
            <w:r w:rsidRPr="00854503">
              <w:rPr>
                <w:rFonts w:asciiTheme="minorHAnsi" w:hAnsiTheme="minorHAnsi" w:cstheme="minorHAnsi"/>
                <w:color w:val="000000"/>
                <w:sz w:val="22"/>
              </w:rPr>
              <w:t>; TOP (2008)</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{"citationItems":[{"id":"ITEM-1","itemData":{"author":[{"dropping-particle":"","family":"TOP (Toward Optimized Practice)","given":"","non-dropping-particle":"","parse-names":false,"suffix":""}],"id":"ITEM-1","issue":"January","issued":{"date-parts":[["2008"]]},"title":"Diagnosis and treatment of AOM in children: Summary of the Alberta clinical practice guideline for acute otitis media","type":"report"},"uris":["http://www.mendeley.com/documents/?uuid=4cf88c11-593a-4bbc-9e5d-d12ec29eb816"]}],"mendeley":{"formattedCitation":"[32]","plainTextFormattedCitation":"[32]","previouslyFormattedCitation":"[32]"},"properties":{"noteIndex":0},"schema":"https://github.com/citation-style-language/schema/raw/master/csl-citation.json"}</w:instrText>
            </w:r>
            <w:r>
              <w:rPr>
                <w:rFonts w:cstheme="minorHAnsi"/>
                <w:color w:val="000000"/>
              </w:rPr>
              <w:fldChar w:fldCharType="separate"/>
            </w:r>
            <w:r w:rsidR="0012304F">
              <w:rPr>
                <w:rFonts w:asciiTheme="minorHAnsi" w:hAnsiTheme="minorHAnsi" w:cstheme="minorHAnsi"/>
                <w:color w:val="000000"/>
                <w:sz w:val="22"/>
              </w:rPr>
              <w:t>[17]</w:t>
            </w:r>
            <w:r>
              <w:rPr>
                <w:rFonts w:cstheme="minorHAnsi"/>
                <w:color w:val="000000"/>
              </w:rPr>
              <w:fldChar w:fldCharType="end"/>
            </w:r>
            <w:r w:rsidRPr="00854503">
              <w:rPr>
                <w:rFonts w:asciiTheme="minorHAnsi" w:hAnsiTheme="minorHAnsi" w:cstheme="minorHAnsi"/>
                <w:color w:val="000000"/>
                <w:sz w:val="22"/>
              </w:rPr>
              <w:t xml:space="preserve">; </w:t>
            </w:r>
            <w:proofErr w:type="spellStart"/>
            <w:r w:rsidRPr="00854503">
              <w:rPr>
                <w:rFonts w:asciiTheme="minorHAnsi" w:hAnsiTheme="minorHAnsi" w:cstheme="minorHAnsi"/>
                <w:color w:val="000000"/>
                <w:sz w:val="22"/>
              </w:rPr>
              <w:t>Suaya</w:t>
            </w:r>
            <w:proofErr w:type="spellEnd"/>
            <w:r w:rsidRPr="00854503">
              <w:rPr>
                <w:rFonts w:asciiTheme="minorHAnsi" w:hAnsiTheme="minorHAnsi" w:cstheme="minorHAnsi"/>
                <w:color w:val="000000"/>
                <w:sz w:val="22"/>
              </w:rPr>
              <w:t xml:space="preserve"> et al. (2018)</w:t>
            </w:r>
            <w:r>
              <w:rPr>
                <w:rFonts w:asciiTheme="minorHAnsi" w:hAnsiTheme="minorHAnsi" w:cstheme="minorHAnsi"/>
                <w:color w:val="000000"/>
                <w:sz w:val="22"/>
              </w:rPr>
              <w:t xml:space="preserve"> </w:t>
            </w:r>
            <w:r w:rsidRPr="00162BE6">
              <w:rPr>
                <w:rFonts w:cstheme="minorHAnsi"/>
                <w:color w:val="000000"/>
              </w:rPr>
              <w:fldChar w:fldCharType="begin" w:fldLock="1"/>
            </w:r>
            <w:r w:rsidRPr="00162BE6">
              <w:rPr>
                <w:rFonts w:asciiTheme="minorHAnsi" w:hAnsiTheme="minorHAnsi" w:cstheme="minorHAnsi"/>
                <w:color w:val="000000"/>
                <w:sz w:val="22"/>
              </w:rPr>
              <w:instrText xml:space="preserve">ADDIN CSL_CITATION {"citationItems":[{"id":"ITEM-1","itemData":{"DOI":"10.1016/j.vaccine.2018.10.060","ISSN":"18732518","abstract":"Introduction: We analyzed outpatient visits, incidence, antimicrobial prescriptions, and medical expenditures for acute otitis media (AOM) in the United States during 2011–2016. Methods: Data sources included the National Disease and Therapeutic Index (NDTI™) projections by IQVIA (for AOM cases), The Medical Expenditure Panel Survey (for medical expenditures) and the US Census (for population estimates). Analyses focused on children aged ≤9 years between 2011 and 2016. We used the 2014 medical expenditure estimate per otitis media episode ($520) as proxy for all years. Results: In 2011, there were an estimated 11.5 million AOM episodes in children aged 0–9 years in the US with AOM incidence rates (IR) of 476, 204, and 284 episodes per 1000 children aged 0–2, 3–9, and 0–9 years, respectively. All subsequent years had lower IRs, and by 2016, IR was 25.1% lower than in 2011 in children 0–9 years. In addition, there were estimates of 10.8 million and 9.2 million fewer cumulative AOM episodes and antimicrobial prescriptions for AOM nationwide between 2012 and 2016, compared to annual 2011 estimates, representing a </w:instrText>
            </w:r>
            <w:r w:rsidRPr="00162BE6">
              <w:rPr>
                <w:rFonts w:ascii="Cambria Math" w:hAnsi="Cambria Math" w:cs="Cambria Math"/>
                <w:color w:val="000000"/>
                <w:sz w:val="22"/>
              </w:rPr>
              <w:instrText>∼</w:instrText>
            </w:r>
            <w:r w:rsidRPr="00162BE6">
              <w:rPr>
                <w:rFonts w:asciiTheme="minorHAnsi" w:hAnsiTheme="minorHAnsi" w:cstheme="minorHAnsi"/>
                <w:color w:val="000000"/>
                <w:sz w:val="22"/>
              </w:rPr>
              <w:instrText>$5.6 billion decrease in direct medical expenditures. The average number of antibiotic prescriptions per AOM visit remained stable with 0.89 and 0.86 prescriptions per visit in 2011 and 2016, respectively. Conclusions: AOM incidence, antimicrobial prescriptions, and associated medical expenses decreased substantially between 2011 and 2016 in the United States. Antimicrobial prescribing practices remain unchanged. Additional studies are warranted to assess causality.","author":[{"dropping-particle":"","family":"Suaya","given":"José A.","non-dropping-particle":"","parse-names":false,"suffix":""},{"dropping-particle":"","family":"Gessner","given":"Bradford D.","non-dropping-particle":"","parse-names":false,"suffix":""},{"dropping-particle":"","family":"Fung","given":"Shirley","non-dropping-particle":"","parse-names":false,"suffix":""},{"dropping-particle":"","family":"Vuocolo","given":"Scott","non-dropping-particle":"","parse-names":false,"suffix":""},{"dropping-particle":"","family":"Scaife","given":"John","non-dropping-particle":"","parse-names":false,"suffix":""},{"dropping-particle":"","family":"Swerdlow","given":"David L.","non-dropping-particle":"","parse-names":false,"suffix":""},{"dropping-particle":"","family":"Isturiz","given":"Raúl E.","non-dropping-particle":"","parse-names":false,"suffix":""},{"dropping-particle":"","family":"Arguedas","given":"Adriano G.","non-dropping-particle":"","parse-names":false,"suffix":""}],"container-title":"Vaccine","id":"ITEM-1","issue":"49","issued":{"date-parts":[["2018"]]},"page":"7479-7486","title":"Acute otitis media, antimicrobial prescriptions, and medical expenses among children in the United States during 2011–2016","type":"article-journal","volume":"36"},"uris":["http://www.mendeley.com/documents/?uuid=6d527ddd-29f9-4f3e-abdf-6d85b1a89920"]}],"mendeley":{"formattedCitation":"[18]","plainTextFormattedCitation":"[18]","previouslyFormattedCitation":"[18]"},"properties":{"noteIndex":0},"schema":"https://github.com/citation-style-language/schema/raw/master/csl-citation.json"}</w:instrText>
            </w:r>
            <w:r w:rsidRPr="00162BE6">
              <w:rPr>
                <w:rFonts w:cstheme="minorHAnsi"/>
                <w:color w:val="000000"/>
              </w:rPr>
              <w:fldChar w:fldCharType="separate"/>
            </w:r>
            <w:r w:rsidR="00BC4FB1">
              <w:rPr>
                <w:rFonts w:asciiTheme="minorHAnsi" w:hAnsiTheme="minorHAnsi" w:cstheme="minorHAnsi"/>
                <w:color w:val="000000"/>
                <w:sz w:val="22"/>
              </w:rPr>
              <w:t>[5]</w:t>
            </w:r>
            <w:r w:rsidRPr="00162BE6">
              <w:rPr>
                <w:rFonts w:cstheme="minorHAnsi"/>
                <w:color w:val="000000"/>
              </w:rPr>
              <w:fldChar w:fldCharType="end"/>
            </w:r>
            <w:r w:rsidRPr="00854503">
              <w:rPr>
                <w:rFonts w:asciiTheme="minorHAnsi" w:hAnsiTheme="minorHAnsi" w:cstheme="minorHAnsi"/>
                <w:color w:val="000000"/>
                <w:sz w:val="22"/>
              </w:rPr>
              <w:t xml:space="preserve"> </w:t>
            </w:r>
          </w:p>
        </w:tc>
      </w:tr>
      <w:tr w:rsidR="00433DF3" w:rsidRPr="00162BE6" w14:paraId="34FAFB3D" w14:textId="77777777" w:rsidTr="00F77A75">
        <w:trPr>
          <w:trHeight w:val="288"/>
        </w:trPr>
        <w:tc>
          <w:tcPr>
            <w:tcW w:w="2156" w:type="pct"/>
          </w:tcPr>
          <w:p w14:paraId="4049EF28" w14:textId="77777777" w:rsidR="00433DF3" w:rsidRPr="00162BE6"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narrow-spectrum antibiotic course, AS</w:t>
            </w:r>
          </w:p>
        </w:tc>
        <w:tc>
          <w:tcPr>
            <w:tcW w:w="834" w:type="pct"/>
          </w:tcPr>
          <w:p w14:paraId="6F68A35A"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52.18</w:t>
            </w:r>
          </w:p>
        </w:tc>
        <w:tc>
          <w:tcPr>
            <w:tcW w:w="2010" w:type="pct"/>
          </w:tcPr>
          <w:p w14:paraId="1C4F9B06" w14:textId="0DE99326" w:rsidR="00433DF3" w:rsidRPr="00162BE6" w:rsidRDefault="00433DF3" w:rsidP="00162BE6">
            <w:pPr>
              <w:spacing w:after="0" w:line="240" w:lineRule="auto"/>
              <w:ind w:left="60"/>
              <w:rPr>
                <w:rFonts w:asciiTheme="minorHAnsi" w:hAnsiTheme="minorHAnsi" w:cstheme="minorHAnsi"/>
                <w:color w:val="000000"/>
                <w:sz w:val="22"/>
              </w:rPr>
            </w:pPr>
            <w:proofErr w:type="spellStart"/>
            <w:r w:rsidRPr="00854503">
              <w:rPr>
                <w:rFonts w:asciiTheme="minorHAnsi" w:hAnsiTheme="minorHAnsi" w:cstheme="minorHAnsi"/>
                <w:color w:val="000000"/>
                <w:sz w:val="22"/>
              </w:rPr>
              <w:t>GoodRx</w:t>
            </w:r>
            <w:proofErr w:type="spellEnd"/>
            <w:r w:rsidRPr="00854503">
              <w:rPr>
                <w:rFonts w:asciiTheme="minorHAnsi" w:hAnsiTheme="minorHAnsi" w:cstheme="minorHAnsi"/>
                <w:color w:val="000000"/>
                <w:sz w:val="22"/>
              </w:rPr>
              <w:t xml:space="preserve"> (2019)</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GoodRx","given":"","non-dropping-particle":"","parse-names":false,"suffix":""}],"id":"ITEM-1","issued":{"date-parts":[["2019"]]},"title":"Website","type":"webpage"},"uris":["http://www.mendeley.com/documents/?uuid=41514010-50a1-4bdf-9973-1ad75010b83a"]}],"mendeley":{"formattedCitation":"[21]","plainTextFormattedCitation":"[21]","previouslyFormattedCitation":"[21]"},"properties":{"noteIndex":0},"schema":"https://github.com/citation-style-language/schema/raw/master/csl-citation.json"}</w:instrText>
            </w:r>
            <w:r>
              <w:rPr>
                <w:rFonts w:cstheme="minorHAnsi"/>
                <w:color w:val="000000"/>
              </w:rPr>
              <w:fldChar w:fldCharType="separate"/>
            </w:r>
            <w:r w:rsidR="0012304F">
              <w:rPr>
                <w:rFonts w:asciiTheme="minorHAnsi" w:hAnsiTheme="minorHAnsi" w:cstheme="minorHAnsi"/>
                <w:color w:val="000000"/>
                <w:sz w:val="22"/>
              </w:rPr>
              <w:t>[14]</w:t>
            </w:r>
            <w:r>
              <w:rPr>
                <w:rFonts w:cstheme="minorHAnsi"/>
                <w:color w:val="000000"/>
              </w:rPr>
              <w:fldChar w:fldCharType="end"/>
            </w:r>
            <w:r w:rsidRPr="00854503">
              <w:rPr>
                <w:rFonts w:asciiTheme="minorHAnsi" w:hAnsiTheme="minorHAnsi" w:cstheme="minorHAnsi"/>
                <w:color w:val="000000"/>
                <w:sz w:val="22"/>
              </w:rPr>
              <w:t>; TOP (2008)</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{"citationItems":[{"id":"ITEM-1","itemData":{"author":[{"dropping-particle":"","family":"TOP (Toward Optimized Practice)","given":"","non-dropping-particle":"","parse-names":false,"suffix":""}],"id":"ITEM-1","issue":"January","issued":{"date-parts":[["2008"]]},"title":"Diagnosis and treatment of AOM in children: Summary of the Alberta clinical practice guideline for acute otitis media","type":"report"},"uris":["http://www.mendeley.com/documents/?uuid=4cf88c11-593a-4bbc-9e5d-d12ec29eb816"]}],"mendeley":{"formattedCitation":"[32]","plainTextFormattedCitation":"[32]","previouslyFormattedCitation":"[32]"},"properties":{"noteIndex":0},"schema":"https://github.com/citation-style-language/schema/raw/master/csl-citation.json"}</w:instrText>
            </w:r>
            <w:r>
              <w:rPr>
                <w:rFonts w:cstheme="minorHAnsi"/>
                <w:color w:val="000000"/>
              </w:rPr>
              <w:fldChar w:fldCharType="separate"/>
            </w:r>
            <w:r w:rsidR="0012304F">
              <w:rPr>
                <w:rFonts w:asciiTheme="minorHAnsi" w:hAnsiTheme="minorHAnsi" w:cstheme="minorHAnsi"/>
                <w:color w:val="000000"/>
                <w:sz w:val="22"/>
              </w:rPr>
              <w:t>[17]</w:t>
            </w:r>
            <w:r>
              <w:rPr>
                <w:rFonts w:cstheme="minorHAnsi"/>
                <w:color w:val="000000"/>
              </w:rPr>
              <w:fldChar w:fldCharType="end"/>
            </w:r>
            <w:r w:rsidRPr="00854503">
              <w:rPr>
                <w:rFonts w:asciiTheme="minorHAnsi" w:hAnsiTheme="minorHAnsi" w:cstheme="minorHAnsi"/>
                <w:color w:val="000000"/>
                <w:sz w:val="22"/>
              </w:rPr>
              <w:t xml:space="preserve"> </w:t>
            </w:r>
          </w:p>
        </w:tc>
      </w:tr>
      <w:tr w:rsidR="00433DF3" w:rsidRPr="00162BE6" w14:paraId="69987B5D" w14:textId="77777777" w:rsidTr="00F77A75">
        <w:trPr>
          <w:trHeight w:val="288"/>
        </w:trPr>
        <w:tc>
          <w:tcPr>
            <w:tcW w:w="2156" w:type="pct"/>
          </w:tcPr>
          <w:p w14:paraId="1B8526A2" w14:textId="77777777" w:rsidR="00433DF3" w:rsidRPr="00162BE6"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broad-spectrum antibiotic course, AS</w:t>
            </w:r>
          </w:p>
        </w:tc>
        <w:tc>
          <w:tcPr>
            <w:tcW w:w="834" w:type="pct"/>
          </w:tcPr>
          <w:p w14:paraId="5E27D5AA"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86.31</w:t>
            </w:r>
          </w:p>
        </w:tc>
        <w:tc>
          <w:tcPr>
            <w:tcW w:w="2010" w:type="pct"/>
          </w:tcPr>
          <w:p w14:paraId="393CB92B" w14:textId="570FFA68" w:rsidR="00433DF3" w:rsidRPr="00162BE6" w:rsidRDefault="00433DF3" w:rsidP="00162BE6">
            <w:pPr>
              <w:spacing w:after="0" w:line="240" w:lineRule="auto"/>
              <w:ind w:left="60"/>
              <w:rPr>
                <w:rFonts w:asciiTheme="minorHAnsi" w:hAnsiTheme="minorHAnsi" w:cstheme="minorHAnsi"/>
                <w:color w:val="000000"/>
                <w:sz w:val="22"/>
              </w:rPr>
            </w:pPr>
            <w:proofErr w:type="spellStart"/>
            <w:r w:rsidRPr="00854503">
              <w:rPr>
                <w:rFonts w:asciiTheme="minorHAnsi" w:hAnsiTheme="minorHAnsi" w:cstheme="minorHAnsi"/>
                <w:color w:val="000000"/>
                <w:sz w:val="22"/>
              </w:rPr>
              <w:t>GoodRx</w:t>
            </w:r>
            <w:proofErr w:type="spellEnd"/>
            <w:r w:rsidRPr="00854503">
              <w:rPr>
                <w:rFonts w:asciiTheme="minorHAnsi" w:hAnsiTheme="minorHAnsi" w:cstheme="minorHAnsi"/>
                <w:color w:val="000000"/>
                <w:sz w:val="22"/>
              </w:rPr>
              <w:t xml:space="preserve"> (2019)</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GoodRx","given":"","non-dropping-particle":"","parse-names":false,"suffix":""}],"id":"ITEM-1","issued":{"date-parts":[["2019"]]},"title":"Website","type":"webpage"},"uris":["http://www.mendeley.com/documents/?uuid=41514010-50a1-4bdf-9973-1ad75010b83a"]}],"mendeley":{"formattedCitation":"[21]","plainTextFormattedCitation":"[21]","previouslyFormattedCitation":"[21]"},"properties":{"noteIndex":0},"schema":"https://github.com/citation-style-language/schema/raw/master/csl-citation.json"}</w:instrText>
            </w:r>
            <w:r>
              <w:rPr>
                <w:rFonts w:cstheme="minorHAnsi"/>
                <w:color w:val="000000"/>
              </w:rPr>
              <w:fldChar w:fldCharType="separate"/>
            </w:r>
            <w:r w:rsidR="0012304F">
              <w:rPr>
                <w:rFonts w:asciiTheme="minorHAnsi" w:hAnsiTheme="minorHAnsi" w:cstheme="minorHAnsi"/>
                <w:color w:val="000000"/>
                <w:sz w:val="22"/>
              </w:rPr>
              <w:t>[14]</w:t>
            </w:r>
            <w:r>
              <w:rPr>
                <w:rFonts w:cstheme="minorHAnsi"/>
                <w:color w:val="000000"/>
              </w:rPr>
              <w:fldChar w:fldCharType="end"/>
            </w:r>
            <w:r w:rsidRPr="00854503">
              <w:rPr>
                <w:rFonts w:asciiTheme="minorHAnsi" w:hAnsiTheme="minorHAnsi" w:cstheme="minorHAnsi"/>
                <w:color w:val="000000"/>
                <w:sz w:val="22"/>
              </w:rPr>
              <w:t xml:space="preserve">; </w:t>
            </w:r>
            <w:proofErr w:type="spellStart"/>
            <w:r w:rsidRPr="00854503">
              <w:rPr>
                <w:rFonts w:asciiTheme="minorHAnsi" w:hAnsiTheme="minorHAnsi" w:cstheme="minorHAnsi"/>
                <w:color w:val="000000"/>
                <w:sz w:val="22"/>
              </w:rPr>
              <w:t>Demuri</w:t>
            </w:r>
            <w:proofErr w:type="spellEnd"/>
            <w:r w:rsidRPr="00854503">
              <w:rPr>
                <w:rFonts w:asciiTheme="minorHAnsi" w:hAnsiTheme="minorHAnsi" w:cstheme="minorHAnsi"/>
                <w:color w:val="000000"/>
                <w:sz w:val="22"/>
              </w:rPr>
              <w:t xml:space="preserve"> &amp; Wald (2012)</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{"citationItems":[{"id":"ITEM-1","itemData":{"DOI":"10.1056/NEJMcp1106638","ISSN":"15334406","abstract":"A 4-year-old girl who attends day care presents with rhinorrhea and a daytime cough that have been present for 12 days. She has not had fever, but her appetite is poor and her interest in activities is diminished. On physical examination, there is clear rhinorrhea present in the nasal passages. The remainder of the examination is unremarkable. Should she be treated with an antibiotic? Copyright © 2012 Massachusetts Medical Society.","author":[{"dropping-particle":"","family":"DeMuri","given":"Gregory P.","non-dropping-particle":"","parse-names":false,"suffix":""},{"dropping-particle":"","family":"Wald","given":"Ellen R.","non-dropping-particle":"","parse-names":false,"suffix":""}],"container-title":"New England Journal of Medicine","id":"ITEM-1","issue":"12","issued":{"date-parts":[["2012"]]},"page":"1128-1134","title":"Acute bacterial sinusitis in children","type":"article-journal","volume":"367"},"uris":["http://www.mendeley.com/documents/?uuid=0060fc6f-3469-41a5-abea-41f3f37aaba6"]}],"mendeley":{"formattedCitation":"[33]","plainTextFormattedCitation":"[33]","previouslyFormattedCitation":"[33]"},"properties":{"noteIndex":0},"schema":"https://github.com/citation-style-language/schema/raw/master/csl-citation.json"}</w:instrText>
            </w:r>
            <w:r>
              <w:rPr>
                <w:rFonts w:cstheme="minorHAnsi"/>
                <w:color w:val="000000"/>
              </w:rPr>
              <w:fldChar w:fldCharType="separate"/>
            </w:r>
            <w:r w:rsidR="00B05C2F">
              <w:rPr>
                <w:rFonts w:asciiTheme="minorHAnsi" w:hAnsiTheme="minorHAnsi" w:cstheme="minorHAnsi"/>
                <w:color w:val="000000"/>
                <w:sz w:val="22"/>
              </w:rPr>
              <w:t>[18]</w:t>
            </w:r>
            <w:r>
              <w:rPr>
                <w:rFonts w:cstheme="minorHAnsi"/>
                <w:color w:val="000000"/>
              </w:rPr>
              <w:fldChar w:fldCharType="end"/>
            </w:r>
            <w:r w:rsidRPr="00854503">
              <w:rPr>
                <w:rFonts w:asciiTheme="minorHAnsi" w:hAnsiTheme="minorHAnsi" w:cstheme="minorHAnsi"/>
                <w:color w:val="000000"/>
                <w:sz w:val="22"/>
              </w:rPr>
              <w:t xml:space="preserve">; </w:t>
            </w:r>
            <w:proofErr w:type="spellStart"/>
            <w:r w:rsidRPr="00854503">
              <w:rPr>
                <w:rFonts w:asciiTheme="minorHAnsi" w:hAnsiTheme="minorHAnsi" w:cstheme="minorHAnsi"/>
                <w:color w:val="000000"/>
                <w:sz w:val="22"/>
              </w:rPr>
              <w:t>Contopoulous</w:t>
            </w:r>
            <w:proofErr w:type="spellEnd"/>
            <w:r w:rsidRPr="00854503">
              <w:rPr>
                <w:rFonts w:asciiTheme="minorHAnsi" w:hAnsiTheme="minorHAnsi" w:cstheme="minorHAnsi"/>
                <w:color w:val="000000"/>
                <w:sz w:val="22"/>
              </w:rPr>
              <w:t>-Ioannidis, Ioannidis,&amp; Lau (2003)</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{"citationItems":[{"id":"ITEM-1","itemData":{"DOI":"10.2165/00128072-200305020-00001","ISSN":"11745878","abstract":"Acute sinusitis is a very common infection in childhood, but its management remains a controversial issue. Antibacterials may be effective in selected children, but direct evidence is limited. One randomized, placebo-controlled trial has shown that amoxicillin or amoxicillin/clavulanate are better than placebo for children with symptoms of nasal discharge and cough that are persistent (over 10 days) and not improving. However, another placebo-controlled trial of the same agents did not demonstrate any benefit from antibacterials in a patient population selected with a clinical diagnosis of sinusitis of moderate severity, based on a composite clinical symptom score. A systematic assessment of cure rates with various antibacterials shows no consistent differences between classes. Evidence on the use of ancillary measures and nasal corticosteroids is also limited. The only randomized, placebo-controlled trial of antihistamines and decongestants has shown no incremental benefit when given in addition to amoxicillin. Another placebo-controlled randomized trial showed some transient symptomatic improvement with the use of nasal corticosteroids. No randomized trials exist on the use of antral lavage in children with acute sinusitis. The current rates of antimicrobial resistance among commonly implicated pathogens should be considered in therapeutic decisions. However, there is no evidence from well-designed trials on specifically how to manage children at high risk of carrying resistant organisms. The inaccuracy of clinical signs and symptoms in documenting the diagnosis further complicates therapeutic decisions. Nevertheless, radiographic assessment does not meaningfully improve the accuracy of the diagnosis for uncomplicated cases, and it is not cost effective. In the absence of definitive evidence, treatment with amoxicillin 45 mg/kg/day in two divided doses may be used in selected patients with symptoms that are persistent and not improving. High doses (90 mg/kg in two divided doses) may also be considered, and amoxicillin/clavulanate may be a more appropriate choice when there is high risk of resistant pathogens, e.g. in a child attending a childcare center, or recent use of antibacterials. However, a considerable proportion of children, especially those with mild or improving symptoms, may not have to be treated at all.","author":[{"dropping-particle":"","family":"Contopoulos-Ioannidis","given":"Despina G.","non-dropping-particle":"","parse-names":false,"suffix":""},{"dropping-particle":"","family":"Ioannidis","given":"John P.A.","non-dropping-particle":"","parse-names":false,"suffix":""},{"dropping-particle":"","family":"Lau","given":"Joseph","non-dropping-particle":"","parse-names":false,"suffix":""}],"container-title":"Pediatric Drugs","id":"ITEM-1","issue":"2","issued":{"date-parts":[["2003"]]},"page":"71-80","publisher":"Adis International Ltd","title":"Acute sinusitis in children: Current treatment strategies","type":"article","volume":"5"},"uris":["http://www.mendeley.com/documents/?uuid=893ee880-bdd3-367a-b811-4dfb3f4e95de"]}],"mendeley":{"formattedCitation":"[34]","plainTextFormattedCitation":"[34]","previouslyFormattedCitation":"[34]"},"properties":{"noteIndex":0},"schema":"https://github.com/citation-style-language/schema/raw/master/csl-citation.json"}</w:instrText>
            </w:r>
            <w:r>
              <w:rPr>
                <w:rFonts w:cstheme="minorHAnsi"/>
                <w:color w:val="000000"/>
              </w:rPr>
              <w:fldChar w:fldCharType="separate"/>
            </w:r>
            <w:r w:rsidR="00B05C2F">
              <w:rPr>
                <w:rFonts w:asciiTheme="minorHAnsi" w:hAnsiTheme="minorHAnsi" w:cstheme="minorHAnsi"/>
                <w:color w:val="000000"/>
                <w:sz w:val="22"/>
              </w:rPr>
              <w:t>[19]</w:t>
            </w:r>
            <w:r>
              <w:rPr>
                <w:rFonts w:cstheme="minorHAnsi"/>
                <w:color w:val="000000"/>
              </w:rPr>
              <w:fldChar w:fldCharType="end"/>
            </w:r>
            <w:r w:rsidRPr="00854503">
              <w:rPr>
                <w:rFonts w:asciiTheme="minorHAnsi" w:hAnsiTheme="minorHAnsi" w:cstheme="minorHAnsi"/>
                <w:color w:val="000000"/>
                <w:sz w:val="22"/>
              </w:rPr>
              <w:t>; Leung &amp; Kellner (2004)</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{"citationItems":[{"id":"ITEM-1","itemData":{"DOI":"10.1016/j.pedhc.2003.08.007","ISSN":"08915245","abstract":"Acute sinusitis is a common problem in children that is often overlooked. The pathophysiology is related to obstruction of the sinus ostia and mucociliary dysfunction. The predominant pathogens include Streptococcus pneumoniae, Haemophilus influenzae, and Moraxella catarrhalis. The diagnosis of acute sinusitis is based on persistent or severe upper respiratory tract symptoms. The routine use of roentgenograms to confirm the diagnosis of uncomplicated sinusitis is not recommended for children 6 years or younger but may be considered for children older than 6 years. Antimicrobial therapy is the cornerstone of management and amoxicillin is the drug of choice for most cases of uncomplicated sinusitis.","author":[{"dropping-particle":"","family":"Leung","given":"Alexander K.C.","non-dropping-particle":"","parse-names":false,"suffix":""},{"dropping-particle":"","family":"Kellner","given":"James D.","non-dropping-particle":"","parse-names":false,"suffix":""}],"container-title":"Journal of Pediatric Health Care","id":"ITEM-1","issue":"2","issued":{"date-parts":[["2004","3"]]},"page":"72-76","publisher":"J Pediatr Health Care","title":"Acute sinusitis in children: Diagnosis and management","type":"article-journal","volume":"18"},"uris":["http://www.mendeley.com/documents/?uuid=bfd4354c-1995-3170-8fdf-a1d48fe65bee"]}],"mendeley":{"formattedCitation":"[35]","plainTextFormattedCitation":"[35]","previouslyFormattedCitation":"[35]"},"properties":{"noteIndex":0},"schema":"https://github.com/citation-style-language/schema/raw/master/csl-citation.json"}</w:instrText>
            </w:r>
            <w:r>
              <w:rPr>
                <w:rFonts w:cstheme="minorHAnsi"/>
                <w:color w:val="000000"/>
              </w:rPr>
              <w:fldChar w:fldCharType="separate"/>
            </w:r>
            <w:r w:rsidR="00B05C2F">
              <w:rPr>
                <w:rFonts w:asciiTheme="minorHAnsi" w:hAnsiTheme="minorHAnsi" w:cstheme="minorHAnsi"/>
                <w:color w:val="000000"/>
                <w:sz w:val="22"/>
              </w:rPr>
              <w:t>[20]</w:t>
            </w:r>
            <w:r>
              <w:rPr>
                <w:rFonts w:cstheme="minorHAnsi"/>
                <w:color w:val="000000"/>
              </w:rPr>
              <w:fldChar w:fldCharType="end"/>
            </w:r>
            <w:r w:rsidRPr="00854503">
              <w:rPr>
                <w:rFonts w:asciiTheme="minorHAnsi" w:hAnsiTheme="minorHAnsi" w:cstheme="minorHAnsi"/>
                <w:color w:val="000000"/>
                <w:sz w:val="22"/>
              </w:rPr>
              <w:t xml:space="preserve">; </w:t>
            </w:r>
            <w:proofErr w:type="spellStart"/>
            <w:r w:rsidRPr="00854503">
              <w:rPr>
                <w:rFonts w:asciiTheme="minorHAnsi" w:hAnsiTheme="minorHAnsi" w:cstheme="minorHAnsi"/>
                <w:color w:val="000000"/>
                <w:sz w:val="22"/>
              </w:rPr>
              <w:t>Suaya</w:t>
            </w:r>
            <w:proofErr w:type="spellEnd"/>
            <w:r w:rsidRPr="00854503">
              <w:rPr>
                <w:rFonts w:asciiTheme="minorHAnsi" w:hAnsiTheme="minorHAnsi" w:cstheme="minorHAnsi"/>
                <w:color w:val="000000"/>
                <w:sz w:val="22"/>
              </w:rPr>
              <w:t xml:space="preserve"> et al. (2018) </w:t>
            </w:r>
            <w:r w:rsidRPr="00162BE6">
              <w:rPr>
                <w:rFonts w:cstheme="minorHAnsi"/>
                <w:color w:val="000000"/>
              </w:rPr>
              <w:fldChar w:fldCharType="begin" w:fldLock="1"/>
            </w:r>
            <w:r w:rsidRPr="00162BE6">
              <w:rPr>
                <w:rFonts w:asciiTheme="minorHAnsi" w:hAnsiTheme="minorHAnsi" w:cstheme="minorHAnsi"/>
                <w:color w:val="000000"/>
                <w:sz w:val="22"/>
              </w:rPr>
              <w:instrText xml:space="preserve">ADDIN CSL_CITATION {"citationItems":[{"id":"ITEM-1","itemData":{"DOI":"10.1016/j.vaccine.2018.10.060","ISSN":"18732518","abstract":"Introduction: We analyzed outpatient visits, incidence, antimicrobial prescriptions, and medical expenditures for acute otitis media (AOM) in the United States during 2011–2016. Methods: Data sources included the National Disease and Therapeutic Index (NDTI™) projections by IQVIA (for AOM cases), The Medical Expenditure Panel Survey (for medical expenditures) and the US Census (for population estimates). Analyses focused on children aged ≤9 years between 2011 and 2016. We used the 2014 medical expenditure estimate per otitis media episode ($520) as proxy for all years. Results: In 2011, there were an estimated 11.5 million AOM episodes in children aged 0–9 years in the US with AOM incidence rates (IR) of 476, 204, and 284 episodes per 1000 children aged 0–2, 3–9, and 0–9 years, respectively. All subsequent years had lower IRs, and by 2016, IR was 25.1% lower than in 2011 in children 0–9 years. In addition, there were estimates of 10.8 million and 9.2 million fewer cumulative AOM episodes and antimicrobial prescriptions for AOM nationwide between 2012 and 2016, compared to annual 2011 estimates, representing a </w:instrText>
            </w:r>
            <w:r w:rsidRPr="00162BE6">
              <w:rPr>
                <w:rFonts w:ascii="Cambria Math" w:hAnsi="Cambria Math" w:cs="Cambria Math"/>
                <w:color w:val="000000"/>
                <w:sz w:val="22"/>
              </w:rPr>
              <w:instrText>∼</w:instrText>
            </w:r>
            <w:r w:rsidRPr="00162BE6">
              <w:rPr>
                <w:rFonts w:asciiTheme="minorHAnsi" w:hAnsiTheme="minorHAnsi" w:cstheme="minorHAnsi"/>
                <w:color w:val="000000"/>
                <w:sz w:val="22"/>
              </w:rPr>
              <w:instrText>$5.6 billion decrease in direct medical expenditures. The average number of antibiotic prescriptions per AOM visit remained stable with 0.89 and 0.86 prescriptions per visit in 2011 and 2016, respectively. Conclusions: AOM incidence, antimicrobial prescriptions, and associated medical expenses decreased substantially between 2011 and 2016 in the United States. Antimicrobial prescribing practices remain unchanged. Additional studies are warranted to assess causality.","author":[{"dropping-particle":"","family":"Suaya","given":"José A.","non-dropping-particle":"","parse-names":false,"suffix":""},{"dropping-particle":"","family":"Gessner","given":"Bradford D.","non-dropping-particle":"","parse-names":false,"suffix":""},{"dropping-particle":"","family":"Fung","given":"Shirley","non-dropping-particle":"","parse-names":false,"suffix":""},{"dropping-particle":"","family":"Vuocolo","given":"Scott","non-dropping-particle":"","parse-names":false,"suffix":""},{"dropping-particle":"","family":"Scaife","given":"John","non-dropping-particle":"","parse-names":false,"suffix":""},{"dropping-particle":"","family":"Swerdlow","given":"David L.","non-dropping-particle":"","parse-names":false,"suffix":""},{"dropping-particle":"","family":"Isturiz","given":"Raúl E.","non-dropping-particle":"","parse-names":false,"suffix":""},{"dropping-particle":"","family":"Arguedas","given":"Adriano G.","non-dropping-particle":"","parse-names":false,"suffix":""}],"container-title":"Vaccine","id":"ITEM-1","issue":"49","issued":{"date-parts":[["2018"]]},"page":"7479-7486","title":"Acute otitis media, antimicrobial prescriptions, and medical expenses among children in the United States during 2011–2016","type":"article-journal","volume":"36"},"uris":["http://www.mendeley.com/documents/?uuid=6d527ddd-29f9-4f3e-abdf-6d85b1a89920"]}],"mendeley":{"formattedCitation":"[18]","plainTextFormattedCitation":"[18]","previouslyFormattedCitation":"[18]"},"properties":{"noteIndex":0},"schema":"https://github.com/citation-style-language/schema/raw/master/csl-citation.json"}</w:instrText>
            </w:r>
            <w:r w:rsidRPr="00162BE6">
              <w:rPr>
                <w:rFonts w:cstheme="minorHAnsi"/>
                <w:color w:val="000000"/>
              </w:rPr>
              <w:fldChar w:fldCharType="separate"/>
            </w:r>
            <w:r w:rsidR="00BC4FB1">
              <w:rPr>
                <w:rFonts w:asciiTheme="minorHAnsi" w:hAnsiTheme="minorHAnsi" w:cstheme="minorHAnsi"/>
                <w:color w:val="000000"/>
                <w:sz w:val="22"/>
              </w:rPr>
              <w:t>[5]</w:t>
            </w:r>
            <w:r w:rsidRPr="00162BE6">
              <w:rPr>
                <w:rFonts w:cstheme="minorHAnsi"/>
                <w:color w:val="000000"/>
              </w:rPr>
              <w:fldChar w:fldCharType="end"/>
            </w:r>
          </w:p>
        </w:tc>
      </w:tr>
      <w:tr w:rsidR="00433DF3" w:rsidRPr="00162BE6" w14:paraId="488B73F1" w14:textId="77777777" w:rsidTr="00F77A75">
        <w:trPr>
          <w:trHeight w:val="288"/>
        </w:trPr>
        <w:tc>
          <w:tcPr>
            <w:tcW w:w="2156" w:type="pct"/>
          </w:tcPr>
          <w:p w14:paraId="19C18956" w14:textId="77777777" w:rsidR="00433DF3" w:rsidRPr="00162BE6"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narrow-spectrum antibiotic course, GAS</w:t>
            </w:r>
          </w:p>
        </w:tc>
        <w:tc>
          <w:tcPr>
            <w:tcW w:w="834" w:type="pct"/>
          </w:tcPr>
          <w:p w14:paraId="30BE66F5"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31.61</w:t>
            </w:r>
          </w:p>
        </w:tc>
        <w:tc>
          <w:tcPr>
            <w:tcW w:w="2010" w:type="pct"/>
          </w:tcPr>
          <w:p w14:paraId="1380A01F" w14:textId="5283A1D0" w:rsidR="00433DF3" w:rsidRPr="00854503" w:rsidRDefault="00433DF3" w:rsidP="00162BE6">
            <w:pPr>
              <w:spacing w:after="0" w:line="240" w:lineRule="auto"/>
              <w:ind w:left="60"/>
              <w:rPr>
                <w:rFonts w:asciiTheme="minorHAnsi" w:hAnsiTheme="minorHAnsi" w:cstheme="minorHAnsi"/>
                <w:color w:val="000000"/>
                <w:sz w:val="22"/>
              </w:rPr>
            </w:pPr>
            <w:proofErr w:type="spellStart"/>
            <w:r w:rsidRPr="00854503">
              <w:rPr>
                <w:rFonts w:asciiTheme="minorHAnsi" w:hAnsiTheme="minorHAnsi" w:cstheme="minorHAnsi"/>
                <w:color w:val="000000"/>
                <w:sz w:val="22"/>
              </w:rPr>
              <w:t>GoodRx</w:t>
            </w:r>
            <w:proofErr w:type="spellEnd"/>
            <w:r w:rsidRPr="00854503">
              <w:rPr>
                <w:rFonts w:asciiTheme="minorHAnsi" w:hAnsiTheme="minorHAnsi" w:cstheme="minorHAnsi"/>
                <w:color w:val="000000"/>
                <w:sz w:val="22"/>
              </w:rPr>
              <w:t xml:space="preserve"> (2019)</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GoodRx","given":"","non-dropping-particle":"","parse-names":false,"suffix":""}],"id":"ITEM-1","issued":{"date-parts":[["2019"]]},"title":"Website","type":"webpage"},"uris":["http://www.mendeley.com/documents/?uuid=41514010-50a1-4bdf-9973-1ad75010b83a"]}],"mendeley":{"formattedCitation":"[21]","plainTextFormattedCitation":"[21]","previouslyFormattedCitation":"[21]"},"properties":{"noteIndex":0},"schema":"https://github.com/citation-style-language/schema/raw/master/csl-citation.json"}</w:instrText>
            </w:r>
            <w:r>
              <w:rPr>
                <w:rFonts w:cstheme="minorHAnsi"/>
                <w:color w:val="000000"/>
              </w:rPr>
              <w:fldChar w:fldCharType="separate"/>
            </w:r>
            <w:r w:rsidR="0012304F">
              <w:rPr>
                <w:rFonts w:asciiTheme="minorHAnsi" w:hAnsiTheme="minorHAnsi" w:cstheme="minorHAnsi"/>
                <w:color w:val="000000"/>
                <w:sz w:val="22"/>
              </w:rPr>
              <w:t>[14]</w:t>
            </w:r>
            <w:r>
              <w:rPr>
                <w:rFonts w:cstheme="minorHAnsi"/>
                <w:color w:val="000000"/>
              </w:rPr>
              <w:fldChar w:fldCharType="end"/>
            </w:r>
            <w:r w:rsidRPr="00854503">
              <w:rPr>
                <w:rFonts w:asciiTheme="minorHAnsi" w:hAnsiTheme="minorHAnsi" w:cstheme="minorHAnsi"/>
                <w:color w:val="000000"/>
                <w:sz w:val="22"/>
              </w:rPr>
              <w:t xml:space="preserve">; </w:t>
            </w:r>
            <w:proofErr w:type="spellStart"/>
            <w:r w:rsidRPr="00162BE6">
              <w:rPr>
                <w:rFonts w:asciiTheme="minorHAnsi" w:hAnsiTheme="minorHAnsi" w:cstheme="minorHAnsi"/>
                <w:color w:val="000000"/>
                <w:sz w:val="22"/>
              </w:rPr>
              <w:t>Milatovic</w:t>
            </w:r>
            <w:proofErr w:type="spellEnd"/>
            <w:r w:rsidRPr="00162BE6">
              <w:rPr>
                <w:rFonts w:asciiTheme="minorHAnsi" w:hAnsiTheme="minorHAnsi" w:cstheme="minorHAnsi"/>
                <w:color w:val="000000"/>
                <w:sz w:val="22"/>
              </w:rPr>
              <w:t xml:space="preserve"> et al. (1993)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{"citationItems":[{"id":"ITEM-1","itemData":{"DOI":"10.1128/AAC.37.8.1620","ISSN":"00664804","abstract":"In a randomized multicenter study, the efficacy and safety of cefprozil were compared with those of penicillin in the treatment of group A streptococcal tonsillopharyngitis in children. Of the 409 patients enrolled, 323 were evaluable for their clinical and bacteriological responses; of these 323 children, 172 received cefprozil and 151 received penicillin V. The clinical responses in patients treated with cefprozil were significantly better than those in patients who received penicillin (95.3 versus 88.1%; P = 0.023). Eradication of the original serotype of group A streptococci was achieved in 91.3% of patients treated with cefprozil and 87.4% of patients treated with penicillin, the difference not being statistically significant (P = 0.125). However, there were significantly more symptomatic patients among the bacteriological failures in the penicillin group (68.4%) than in the cefprozil group (26.7%). β-Lactamase-producing Staphylococcus aureus was more frequently isolated from the throat flora during penicillin therapy than during cefprozil treatment. No difference in the incidence of adverse events probably related or of unknown relationship to the study drugs was observed in the two treatment groups (5.2% of those treated with cefprozil and 6.0% of those treated with penicillin). Cefprozil can be considered a safe and reliable drug for the treatment of streptococcal pharyngitis in children.","author":[{"dropping-particle":"","family":"Milatovic","given":"D.","non-dropping-particle":"","parse-names":false,"suffix":""},{"dropping-particle":"","family":"Adam","given":"D.","non-dropping-particle":"","parse-names":false,"suffix":""},{"dropping-particle":"","family":"Hamilton","given":"H.","non-dropping-particle":"","parse-names":false,"suffix":""},{"dropping-particle":"","family":"Materman","given":"E.","non-dropping-particle":"","parse-names":false,"suffix":""}],"container-title":"Antimicrobial Agents and Chemotherapy","id":"ITEM-1","issue":"8","issued":{"date-parts":[["1993"]]},"page":"1620-1623","title":"Cefprozil versus penicillin V in treatment of streptococcal tonsillopharyngitis","type":"article-journal","volume":"37"},"uris":["http://www.mendeley.com/documents/?uuid=cd7b7746-f28e-4c6f-b59d-9e1c79982f74"]}],"mendeley":{"formattedCitation":"[36]","plainTextFormattedCitation":"[36]","previouslyFormattedCitation":"[36]"},"properties":{"noteIndex":0},"schema":"https://github.com/citation-style-language/schema/raw/master/csl-citation.json"}</w:instrText>
            </w:r>
            <w:r>
              <w:rPr>
                <w:rFonts w:cstheme="minorHAnsi"/>
                <w:color w:val="000000"/>
              </w:rPr>
              <w:fldChar w:fldCharType="separate"/>
            </w:r>
            <w:r w:rsidR="0033159A">
              <w:rPr>
                <w:rFonts w:asciiTheme="minorHAnsi" w:hAnsiTheme="minorHAnsi" w:cstheme="minorHAnsi"/>
                <w:color w:val="000000"/>
                <w:sz w:val="22"/>
              </w:rPr>
              <w:t>[21]</w:t>
            </w:r>
            <w:r>
              <w:rPr>
                <w:rFonts w:cstheme="minorHAnsi"/>
                <w:color w:val="000000"/>
              </w:rPr>
              <w:fldChar w:fldCharType="end"/>
            </w:r>
            <w:r w:rsidRPr="00854503">
              <w:rPr>
                <w:rFonts w:asciiTheme="minorHAnsi" w:hAnsiTheme="minorHAnsi" w:cstheme="minorHAnsi"/>
                <w:color w:val="000000"/>
                <w:sz w:val="22"/>
              </w:rPr>
              <w:t xml:space="preserve">; </w:t>
            </w:r>
            <w:proofErr w:type="spellStart"/>
            <w:r w:rsidRPr="00854503">
              <w:rPr>
                <w:rFonts w:asciiTheme="minorHAnsi" w:hAnsiTheme="minorHAnsi" w:cstheme="minorHAnsi"/>
                <w:color w:val="000000"/>
                <w:sz w:val="22"/>
              </w:rPr>
              <w:t>Syrogiannopoulos</w:t>
            </w:r>
            <w:proofErr w:type="spellEnd"/>
            <w:r w:rsidRPr="00854503">
              <w:rPr>
                <w:rFonts w:asciiTheme="minorHAnsi" w:hAnsiTheme="minorHAnsi" w:cstheme="minorHAnsi"/>
                <w:color w:val="000000"/>
                <w:sz w:val="22"/>
              </w:rPr>
              <w:t xml:space="preserve"> et al. (2004)</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{"citationItems":[{"id":"ITEM-1","itemData":{"DOI":"10.1097/01.inf.0000138080.74674.a2","ISSN":"08913668","abstract":"Background: Short course antimicrobial therapy is suggested for group A streptococcal tonsillopharyngitis. Methods: The bacteriologic and clinical efficacies of clarithromycin [30 or 15 mg/kg/day twice daily (b.i.d.)] or amoxicillin/clavulanate (43.8/6.2 mg/kg/day b.i.d.) for 5 days or penicillin V (30 mg/kg/day 3 times a day) for 10 days were compared. In a randomized, open label, parallel group, multicenter study, 626 children (2-16 years old) with tonsillopharyngitis were enrolled; 537 were evaluable for efficacy. Follow-up evaluations were performed at 4-8 and 21-28 days after therapy. Results: At enrollment, 26% of the Streptococcus pyogenes isolates were clarithromycin- nonsusceptible. All regimens had an apparently similar clinical efficacy. The long term S. pyogenes eradication rates were 102 of 123 (83%) with amoxicillin/clavulanate and 88 of 114 (77%) with penicillin V. In the 30- and 15-mg/kg/day clarithromycin groups, eradication occurred in 71 of 86 (83%) and 59 of 80 (74%) of the clarithromycin-susceptible isolates (P = 0.33), and in 4 of 28 (14%) and 5 of 26 (19%) of the clarithromycin-resistant isolates, respectively (clarithromycin-susceptible versus -resistant, P &lt; 0.0001). Both clarithromycin dosages were well-tolerated. Conclusions: In group A streptococcal tonsillopharyngitis, 5 days of clarithromycin or amoxicillin/clavulanate treatment had clinical efficacy comparable with that of 10 days of penicillin V treatment; however, amoxicillin/clavulanate and penicillin V were bacteriologically more effective than clarithromycin because of its failure to eradicate the clarithromycin-resistant S. pyogenes isolates. The 5-day clarithromycin regimens are not recommended for treatment of streptococcal tonsillopharyngitis in areas where in vitro resistance of group A streptococci to clarithromycin is common.","author":[{"dropping-particle":"","family":"Syrogiannopoulos","given":"George A.","non-dropping-particle":"","parse-names":false,"suffix":""},{"dropping-particle":"","family":"Bozdogan","given":"Bülent","non-dropping-particle":"","parse-names":false,"suffix":""},{"dropping-particle":"","family":"Grivea","given":"Ioanna N.","non-dropping-particle":"","parse-names":false,"suffix":""},{"dropping-particle":"","family":"Ednie","given":"Lois M.","non-dropping-particle":"","parse-names":false,"suffix":""},{"dropping-particle":"","family":"Kritikou","given":"Dimitra I.","non-dropping-particle":"","parse-names":false,"suffix":""},{"dropping-particle":"","family":"Katopodis","given":"George D.","non-dropping-particle":"","parse-names":false,"suffix":""},{"dropping-particle":"","family":"Beratis","given":"Nicholas G.","non-dropping-particle":"","parse-names":false,"suffix":""},{"dropping-particle":"","family":"Appelbaum","given":"Peter C.","non-dropping-particle":"","parse-names":false,"suffix":""}],"container-title":"Pediatric Infectious Disease Journal","id":"ITEM-1","issue":"9","issued":{"date-parts":[["2004","9"]]},"page":"857-865","publisher":"Pediatr Infect Dis J","title":"Two dosages of clarithromycin for five days, amoxicillin/clavulanate for five days or penicillin V for ten days in acute group A streptococcal tonsillopharyngitis","type":"article-journal","volume":"23"},"uris":["http://www.mendeley.com/documents/?uuid=7d8ed040-4ffc-3abd-a62e-7047d001ee64"]}],"mendeley":{"formattedCitation":"[37]","plainTextFormattedCitation":"[37]","previouslyFormattedCitation":"[37]"},"properties":{"noteIndex":0},"schema":"https://github.com/citation-style-language/schema/raw/master/csl-citation.json"}</w:instrText>
            </w:r>
            <w:r>
              <w:rPr>
                <w:rFonts w:cstheme="minorHAnsi"/>
                <w:color w:val="000000"/>
              </w:rPr>
              <w:fldChar w:fldCharType="separate"/>
            </w:r>
            <w:r w:rsidR="0033159A">
              <w:rPr>
                <w:rFonts w:asciiTheme="minorHAnsi" w:hAnsiTheme="minorHAnsi" w:cstheme="minorHAnsi"/>
                <w:color w:val="000000"/>
                <w:sz w:val="22"/>
              </w:rPr>
              <w:t>[22]</w:t>
            </w:r>
            <w:r>
              <w:rPr>
                <w:rFonts w:cstheme="minorHAnsi"/>
                <w:color w:val="000000"/>
              </w:rPr>
              <w:fldChar w:fldCharType="end"/>
            </w:r>
            <w:r w:rsidRPr="00854503">
              <w:rPr>
                <w:rFonts w:asciiTheme="minorHAnsi" w:hAnsiTheme="minorHAnsi" w:cstheme="minorHAnsi"/>
                <w:color w:val="000000"/>
                <w:sz w:val="22"/>
              </w:rPr>
              <w:t>; Tack et al. (1997)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{"citationItems":[{"id":"ITEM-1","itemData":{"DOI":"10.1128/aac.42.5.1073","ISSN":"00664804","abstract":"A multicenter, randomized, controlled, investigator-blind study was performed to evaluate the safety and efficacy of oral cefdinir versus oral penicillin V for the treatment of pharyngitis due to group A beta-hemolytic streptococci (GABHS). Patients 13 years of age and older were randomized to receive either oral cefdinir (300 mg twice a day) for 5 days followed by placebo for 5 days or oral penicillin V (250 mg four times a day) for 10 days. Throat cultures were obtained, and signs and symptoms of pharyngitis were recorded at study admission and follow-up visits on study days 11 to 15, 16 to 20, and 25 to 31. Patients kept a diary to record medication intake and their assessment of throat pain at admission and at each day of study treatment. Five hundred fifty-eight patients were enrolled, of whom 432 (77.4%) were clinically and microbiologically evaluable. The GABHS eradication rates 5 to 10 days after completion of therapy were 193 of 218 (88.5%) in the cefdinir group and 176 of 214 (82.2%) in the penicillin group (P = 0.053). Clinical cure rates were 89.0 and 84.6%, respectively (P = 0.80). By the time of the long-term follow-up visit, 2 to 3 weeks after completion of treatment, 156 of 191 (81.7%) of the assessable cefdinir patients and 152 of 195 (77.9%) of the penicillin patients remained free of GABHS. Both treatments were well tolerated, with adverse reaction rates of 183% in the cefdinir study arm and 15.0% in the penicillin study arm (P = 0.278). Five-day treatment with cefdinir is safe and effective therapy for GABHS pharyngitis. Based on its twice-a-day dosage and shorter course of therapy, leading to potentially greater patient compliance, cefdinir may be considered for use in the treatment of pharyngitis caused by GABHS.","author":[{"dropping-particle":"","family":"Tack","given":"Kenneth J.","non-dropping-particle":"","parse-names":false,"suffix":""},{"dropping-particle":"","family":"Henry","given":"Daniel C.","non-dropping-particle":"","parse-names":false,"suffix":""},{"dropping-particle":"","family":"Manford Gooch","given":"W.","non-dropping-particle":"","parse-names":false,"suffix":""},{"dropping-particle":"","family":"Brink","given":"Douglas N.","non-dropping-particle":"","parse-names":false,"suffix":""},{"dropping-particle":"","family":"Keyserling","given":"Constange H.","non-dropping-particle":"","parse-names":false,"suffix":""},{"dropping-particle":"","family":"Adelglass","given":"Jeffrey M.","non-dropping-particle":"","parse-names":false,"suffix":""},{"dropping-particle":"","family":"Black","given":"Ross","non-dropping-particle":"","parse-names":false,"suffix":""},{"dropping-particle":"","family":"Cochran","given":"Bert","non-dropping-particle":"","parse-names":false,"suffix":""},{"dropping-particle":"","family":"Collins","given":"Harry","non-dropping-particle":"","parse-names":false,"suffix":""},{"dropping-particle":"","family":"Downing","given":"Jill","non-dropping-particle":"","parse-names":false,"suffix":""},{"dropping-particle":"","family":"Drehobl","given":"Margaret","non-dropping-particle":"","parse-names":false,"suffix":""},{"dropping-particle":"","family":"Elinoff","given":"Victor","non-dropping-particle":"","parse-names":false,"suffix":""},{"dropping-particle":"","family":"Gooch","given":"W. Manford","non-dropping-particle":"","parse-names":false,"suffix":""},{"dropping-particle":"","family":"Gore","given":"Randall","non-dropping-particle":"","parse-names":false,"suffix":""},{"dropping-particle":"","family":"Hedrick","given":"James","non-dropping-particle":"","parse-names":false,"suffix":""},{"dropping-particle":"","family":"Kirkegaard","given":"Lance","non-dropping-particle":"","parse-names":false,"suffix":""},{"dropping-particle":"","family":"Littlejohn","given":"Thomas W.","non-dropping-particle":"","parse-names":false,"suffix":""},{"dropping-particle":"","family":"Mazzone","given":"Frank","non-dropping-particle":"","parse-names":false,"suffix":""},{"dropping-particle":"","family":"McCarty","given":"James","non-dropping-particle":"","parse-names":false,"suffix":""},{"dropping-particle":"","family":"McCluskey","given":"Dennis","non-dropping-particle":"","parse-names":false,"suffix":""},{"dropping-particle":"","family":"Ondrejicka","given":"John","non-dropping-particle":"","parse-names":false,"suffix":""},{"dropping-particle":"","family":"Pastor","given":"R. Zorba","non-dropping-particle":"","parse-names":false,"suffix":""},{"dropping-particle":"","family":"Puopolo","given":"Anthony D.","non-dropping-particle":"","parse-names":false,"suffix":""},{"dropping-particle":"","family":"Roberts","given":"Sam","non-dropping-particle":"","parse-names":false,"suffix":""},{"dropping-particle":"","family":"Smucker","given":"Jerry D.","non-dropping-particle":"","parse-names":false,"suffix":""},{"dropping-particle":"","family":"Sperling","given":"Malcolm J.","non-dropping-particle":"","parse-names":false,"suffix":""},{"dropping-particle":"","family":"Wiederhold","given":"Sandra","non-dropping-particle":"","parse-names":false,"suffix":""}],"container-title":"Antimicrobial Agents and Chemotherapy","id":"ITEM-1","issue":"5","issued":{"date-parts":[["1998"]]},"page":"1073-1075","title":"Five-day cefdinir treatment for streptococcal pharyngitis","type":"article-journal","volume":"42"},"uris":["http://www.mendeley.com/documents/?uuid=eead4d28-0470-4c66-b4eb-8332a5cdaeb0"]}],"mendeley":{"formattedCitation":"[38]","plainTextFormattedCitation":"[38]","previouslyFormattedCitation":"[38]"},"properties":{"noteIndex":0},"schema":"https://github.com/citation-style-language/schema/raw/master/csl-citation.json"}</w:instrText>
            </w:r>
            <w:r>
              <w:rPr>
                <w:rFonts w:cstheme="minorHAnsi"/>
                <w:color w:val="000000"/>
              </w:rPr>
              <w:fldChar w:fldCharType="separate"/>
            </w:r>
            <w:r w:rsidR="0033159A">
              <w:rPr>
                <w:rFonts w:asciiTheme="minorHAnsi" w:hAnsiTheme="minorHAnsi" w:cstheme="minorHAnsi"/>
                <w:color w:val="000000"/>
                <w:sz w:val="22"/>
              </w:rPr>
              <w:t>[23]</w:t>
            </w:r>
            <w:r>
              <w:rPr>
                <w:rFonts w:cstheme="minorHAnsi"/>
                <w:color w:val="000000"/>
              </w:rPr>
              <w:fldChar w:fldCharType="end"/>
            </w:r>
            <w:r w:rsidRPr="00854503">
              <w:rPr>
                <w:rFonts w:asciiTheme="minorHAnsi" w:hAnsiTheme="minorHAnsi" w:cstheme="minorHAnsi"/>
                <w:color w:val="000000"/>
                <w:sz w:val="22"/>
              </w:rPr>
              <w:t xml:space="preserve">; Chahine, Chamoun, &amp; </w:t>
            </w:r>
            <w:proofErr w:type="spellStart"/>
            <w:r w:rsidRPr="00854503">
              <w:rPr>
                <w:rFonts w:asciiTheme="minorHAnsi" w:hAnsiTheme="minorHAnsi" w:cstheme="minorHAnsi"/>
                <w:color w:val="000000"/>
                <w:sz w:val="22"/>
              </w:rPr>
              <w:t>Soucher</w:t>
            </w:r>
            <w:proofErr w:type="spellEnd"/>
            <w:r w:rsidRPr="00854503">
              <w:rPr>
                <w:rFonts w:asciiTheme="minorHAnsi" w:hAnsiTheme="minorHAnsi" w:cstheme="minorHAnsi"/>
                <w:color w:val="000000"/>
                <w:sz w:val="22"/>
              </w:rPr>
              <w:t xml:space="preserve"> (2013)</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{"citationItems":[{"id":"ITEM-1","itemData":{"author":[{"dropping-particle":"","family":"Chahine","given":"Elias B.","non-dropping-particle":"","parse-names":false,"suffix":""},{"dropping-particle":"","family":"Chamoun","given":"John","non-dropping-particle":"","parse-names":false,"suffix":""},{"dropping-particle":"","family":"Sucher","given":"Allana J.","non-dropping-particle":"","parse-names":false,"suffix":""}],"container-title":"US Pharm","id":"ITEM-1","issue":"7","issued":{"date-parts":[["2013"]]},"page":"51-56","title":"Management of Streptococcal Pharyngitis","type":"article-journal","volume":"38"},"uris":["http://www.mendeley.com/documents/?uuid=84e7f559-55c1-3d26-a9ca-3ffcffd12aad"]}],"mendeley":{"formattedCitation":"[39]","plainTextFormattedCitation":"[39]","previouslyFormattedCitation":"[39]"},"properties":{"noteIndex":0},"schema":"https://github.com/citation-style-language/schema/raw/master/csl-citation.json"}</w:instrText>
            </w:r>
            <w:r>
              <w:rPr>
                <w:rFonts w:cstheme="minorHAnsi"/>
                <w:color w:val="000000"/>
              </w:rPr>
              <w:fldChar w:fldCharType="separate"/>
            </w:r>
            <w:r w:rsidR="0033159A">
              <w:rPr>
                <w:rFonts w:asciiTheme="minorHAnsi" w:hAnsiTheme="minorHAnsi" w:cstheme="minorHAnsi"/>
                <w:color w:val="000000"/>
                <w:sz w:val="22"/>
              </w:rPr>
              <w:t>[24]</w:t>
            </w:r>
            <w:r>
              <w:rPr>
                <w:rFonts w:cstheme="minorHAnsi"/>
                <w:color w:val="000000"/>
              </w:rPr>
              <w:fldChar w:fldCharType="end"/>
            </w:r>
            <w:r w:rsidRPr="00854503">
              <w:rPr>
                <w:rFonts w:asciiTheme="minorHAnsi" w:hAnsiTheme="minorHAnsi" w:cstheme="minorHAnsi"/>
                <w:color w:val="000000"/>
                <w:sz w:val="22"/>
              </w:rPr>
              <w:t xml:space="preserve">; </w:t>
            </w:r>
            <w:r>
              <w:rPr>
                <w:rFonts w:asciiTheme="minorHAnsi" w:hAnsiTheme="minorHAnsi" w:cstheme="minorHAnsi"/>
                <w:color w:val="000000"/>
                <w:sz w:val="22"/>
              </w:rPr>
              <w:t xml:space="preserve">Shulman et al. (2014)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{"citationItems":[{"id":"ITEM-1","itemData":{"DOI":"10.1093/cid/cis629","ISBN":"1537-6591 (Electronic)\\r1058-4838 (Linking)","PMID":"22965026","abstract":"The guideline is intended for use by healthcare providers who care for adult and pediatric patients with group A streptococcal pharyngitis. The guideline updates the 2002 Infectious Diseases Society of America guideline and discusses diagnosis and management, and recommendations are provided regarding antibiotic choices and dosing. Penicillin or amoxicillin remain the treatments of choice, and recommendations are made for the penicillin-allergic patient, which now include clindamycin.","author":[{"dropping-particle":"","family":"Shulman","given":"Stanford T.","non-dropping-particle":"","parse-names":false,"suffix":""},{"dropping-particle":"","family":"Bisno","given":"Alan L.","non-dropping-particle":"","parse-names":false,"suffix":""},{"dropping-particle":"","family":"Clegg","given":"Herbert W.","non-dropping-particle":"","parse-names":false,"suffix":""},{"dropping-particle":"","family":"Gerber","given":"Michael A.","non-dropping-particle":"","parse-names":false,"suffix":""},{"dropping-particle":"","family":"Kaplan","given":"Edward L.","non-dropping-particle":"","parse-names":false,"suffix":""},{"dropping-particle":"","family":"Lee","given":"Grace","non-dropping-particle":"","parse-names":false,"suffix":""},{"dropping-particle":"","family":"Martin","given":"Judith M","non-dropping-particle":"","parse-names":false,"suffix":""},{"dropping-particle":"","family":"Beneden","given":"Chris","non-dropping-particle":"Van","parse-names":false,"suffix":""}],"container-title":"Clinical Infectious Diseases","id":"ITEM-1","issue":"10","issued":{"date-parts":[["2014"]]},"page":"1496","title":"Clinical Practice Guideline for the Diagnosis and Management of Group A Streptococcal Pharyngitis: 2012 Update by the Infectious Diseases Society of America Published correction in Clinical Infectious Diseases (2014), 58(10), 1496]","type":"article-journal","volume":"58"},"uris":["http://www.mendeley.com/documents/?uuid=931224b2-07d0-4a60-9428-b41f93ccb79b"]}],"mendeley":{"formattedCitation":"[14]","plainTextFormattedCitation":"[14]","previouslyFormattedCitation":"[14]"},"properties":{"noteIndex":0},"schema":"https://github.com/citation-style-language/schema/raw/master/csl-citation.json"}</w:instrText>
            </w:r>
            <w:r>
              <w:rPr>
                <w:rFonts w:cstheme="minorHAnsi"/>
                <w:color w:val="000000"/>
              </w:rPr>
              <w:fldChar w:fldCharType="separate"/>
            </w:r>
            <w:r w:rsidRPr="00B26598">
              <w:rPr>
                <w:rFonts w:asciiTheme="minorHAnsi" w:hAnsiTheme="minorHAnsi" w:cstheme="minorHAnsi"/>
                <w:color w:val="000000"/>
                <w:sz w:val="22"/>
              </w:rPr>
              <w:t>[14]</w:t>
            </w:r>
            <w:r>
              <w:rPr>
                <w:rFonts w:cstheme="minorHAnsi"/>
                <w:color w:val="000000"/>
              </w:rPr>
              <w:fldChar w:fldCharType="end"/>
            </w:r>
            <w:r w:rsidRPr="00854503">
              <w:rPr>
                <w:rFonts w:asciiTheme="minorHAnsi" w:hAnsiTheme="minorHAnsi" w:cstheme="minorHAnsi"/>
                <w:color w:val="000000"/>
                <w:sz w:val="22"/>
              </w:rPr>
              <w:t xml:space="preserve">; </w:t>
            </w:r>
            <w:proofErr w:type="spellStart"/>
            <w:r w:rsidRPr="00854503">
              <w:rPr>
                <w:rFonts w:asciiTheme="minorHAnsi" w:hAnsiTheme="minorHAnsi" w:cstheme="minorHAnsi"/>
                <w:color w:val="000000"/>
                <w:sz w:val="22"/>
              </w:rPr>
              <w:t>Choby</w:t>
            </w:r>
            <w:proofErr w:type="spellEnd"/>
            <w:r w:rsidRPr="00854503">
              <w:rPr>
                <w:rFonts w:asciiTheme="minorHAnsi" w:hAnsiTheme="minorHAnsi" w:cstheme="minorHAnsi"/>
                <w:color w:val="000000"/>
                <w:sz w:val="22"/>
              </w:rPr>
              <w:t xml:space="preserve"> (2009) </w:t>
            </w:r>
            <w:r>
              <w:rPr>
                <w:rFonts w:cstheme="minorHAnsi"/>
                <w:color w:val="000000"/>
              </w:rPr>
              <w:fldChar w:fldCharType="begin" w:fldLock="1"/>
            </w:r>
            <w:r>
              <w:rPr>
                <w:rFonts w:asciiTheme="minorHAnsi" w:hAnsiTheme="minorHAnsi" w:cstheme="minorHAnsi"/>
                <w:color w:val="000000"/>
                <w:sz w:val="22"/>
              </w:rPr>
              <w:instrText>ADDIN CSL_CITATION {"citationItems":[{"id":"ITEM-1","itemData":{"ISSN":"0002838X","abstract":"Common signs and symptoms of streptococcal pharyngitis include sore throat, temperature greater than 100.4 degrees F (38 degrees C), tonsillar exudates, and cervical adenopathy. Cough, coryza, and diarrhea are more common with viral pharyngitis. Available diagnostic tests include throat culture and rapid antigen detection testing. Throat culture is considered the diagnostic standard, although the sensitivity and specificity of rapid antigen detection testing have improved significantly. The modified Centor score can be used to help physicians decide which patients need no testing, throat culture/rapid antigen detection testing, or empiric antibiotic therapy. Penicillin (10 days of oral therapy or one injection of intramuscular benzathine penicillin) is the treatment of choice because of cost, narrow spectrum of activity, and effectiveness. Amoxicillin is equally effective and more palatable. Erythromycin and first-generation cephalosporins are options in patients with penicillin allergy. Increased group A beta-hemolytic streptococcus (GABHS) treatment failure with penicillin has been reported. Although current guidelines recommend first-generation cephalosporins for persons with penicillin allergy, some advocate the use of cephalosporins in all nonallergic patients because of better GABHS eradication and effectiveness against chronic GABHS carriage. Chronic GABHS colonization is common despite appropriate use of antibiotic therapy. Chronic carriers are at low risk of transmitting disease or developing invasive GABHS infections, and there is generally no need to treat carriers. Whether tonsillectomy or adenoidectomy decreases the incidence of GABHS pharyngitis is poorly understood. At this time, the benefits are too small to outweigh the associated costs and surgical risks.","author":[{"dropping-particle":"","family":"Choby","given":"Beth A.","non-dropping-particle":"","parse-names":false,"suffix":""}],"container-title":"American Family Physician","id":"ITEM-1","issue":"5","issued":{"date-parts":[["2009"]]},"page":"383-390","title":"Diagnosis and treatment of streptococcal pharyngitis","type":"article-journal","volume":"79"},"uris":["http://www.mendeley.com/documents/?uuid=e988ba85-1699-4f31-8333-767fcfcbfa68"]}],"mendeley":{"formattedCitation":"[40]","plainTextFormattedCitation":"[40]","previouslyFormattedCitation":"[40]"},"properties":{"noteIndex":0},"schema":"https://github.com/citation-style-language/schema/raw/master/csl-citation.json"}</w:instrText>
            </w:r>
            <w:r>
              <w:rPr>
                <w:rFonts w:cstheme="minorHAnsi"/>
                <w:color w:val="000000"/>
              </w:rPr>
              <w:fldChar w:fldCharType="separate"/>
            </w:r>
            <w:r w:rsidR="0033159A">
              <w:rPr>
                <w:rFonts w:asciiTheme="minorHAnsi" w:hAnsiTheme="minorHAnsi" w:cstheme="minorHAnsi"/>
                <w:color w:val="000000"/>
                <w:sz w:val="22"/>
              </w:rPr>
              <w:t>[25]</w:t>
            </w:r>
            <w:r>
              <w:rPr>
                <w:rFonts w:cstheme="minorHAnsi"/>
                <w:color w:val="000000"/>
              </w:rPr>
              <w:fldChar w:fldCharType="end"/>
            </w:r>
          </w:p>
        </w:tc>
      </w:tr>
      <w:tr w:rsidR="00433DF3" w:rsidRPr="00162BE6" w14:paraId="670ACDF7" w14:textId="77777777" w:rsidTr="00F77A75">
        <w:trPr>
          <w:trHeight w:val="288"/>
        </w:trPr>
        <w:tc>
          <w:tcPr>
            <w:tcW w:w="2156" w:type="pct"/>
          </w:tcPr>
          <w:p w14:paraId="28EBC49C" w14:textId="77777777" w:rsidR="00433DF3" w:rsidRPr="00162BE6"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broad-spectrum antibiotic course, GAS</w:t>
            </w:r>
          </w:p>
        </w:tc>
        <w:tc>
          <w:tcPr>
            <w:tcW w:w="834" w:type="pct"/>
          </w:tcPr>
          <w:p w14:paraId="77E26943"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71.59</w:t>
            </w:r>
          </w:p>
        </w:tc>
        <w:tc>
          <w:tcPr>
            <w:tcW w:w="2010" w:type="pct"/>
          </w:tcPr>
          <w:p w14:paraId="43ED3251" w14:textId="2D18075F" w:rsidR="00433DF3" w:rsidRPr="00854503" w:rsidRDefault="00433DF3" w:rsidP="00162BE6">
            <w:pPr>
              <w:spacing w:after="0" w:line="240" w:lineRule="auto"/>
              <w:ind w:left="60"/>
              <w:rPr>
                <w:rFonts w:asciiTheme="minorHAnsi" w:hAnsiTheme="minorHAnsi" w:cstheme="minorHAnsi"/>
                <w:color w:val="000000"/>
                <w:sz w:val="22"/>
              </w:rPr>
            </w:pPr>
            <w:proofErr w:type="spellStart"/>
            <w:r w:rsidRPr="00854503">
              <w:rPr>
                <w:rFonts w:asciiTheme="minorHAnsi" w:hAnsiTheme="minorHAnsi" w:cstheme="minorHAnsi"/>
                <w:color w:val="000000"/>
                <w:sz w:val="22"/>
              </w:rPr>
              <w:t>GoodRx</w:t>
            </w:r>
            <w:proofErr w:type="spellEnd"/>
            <w:r w:rsidRPr="00854503">
              <w:rPr>
                <w:rFonts w:asciiTheme="minorHAnsi" w:hAnsiTheme="minorHAnsi" w:cstheme="minorHAnsi"/>
                <w:color w:val="000000"/>
                <w:sz w:val="22"/>
              </w:rPr>
              <w:t xml:space="preserve"> (2019)</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GoodRx","given":"","non-dropping-particle":"","parse-names":false,"suffix":""}],"id":"ITEM-1","issued":{"date-parts":[["2019"]]},"title":"Website","type":"webpage"},"uris":["http://www.mendeley.com/documents/?uuid=41514010-50a1-4bdf-9973-1ad75010b83a"]}],"mendeley":{"formattedCitation":"[21]","plainTextFormattedCitation":"[21]","previouslyFormattedCitation":"[21]"},"properties":{"noteIndex":0},"schema":"https://github.com/citation-style-language/schema/raw/master/csl-citation.json"}</w:instrText>
            </w:r>
            <w:r>
              <w:rPr>
                <w:rFonts w:cstheme="minorHAnsi"/>
                <w:color w:val="000000"/>
              </w:rPr>
              <w:fldChar w:fldCharType="separate"/>
            </w:r>
            <w:r w:rsidR="0012304F">
              <w:rPr>
                <w:rFonts w:asciiTheme="minorHAnsi" w:hAnsiTheme="minorHAnsi" w:cstheme="minorHAnsi"/>
                <w:color w:val="000000"/>
                <w:sz w:val="22"/>
              </w:rPr>
              <w:t>[14]</w:t>
            </w:r>
            <w:r>
              <w:rPr>
                <w:rFonts w:cstheme="minorHAnsi"/>
                <w:color w:val="000000"/>
              </w:rPr>
              <w:fldChar w:fldCharType="end"/>
            </w:r>
            <w:r w:rsidRPr="00854503">
              <w:rPr>
                <w:rFonts w:asciiTheme="minorHAnsi" w:hAnsiTheme="minorHAnsi" w:cstheme="minorHAnsi"/>
                <w:color w:val="000000"/>
                <w:sz w:val="22"/>
              </w:rPr>
              <w:t xml:space="preserve">; </w:t>
            </w:r>
            <w:proofErr w:type="spellStart"/>
            <w:r w:rsidRPr="00854503">
              <w:rPr>
                <w:rFonts w:asciiTheme="minorHAnsi" w:hAnsiTheme="minorHAnsi" w:cstheme="minorHAnsi"/>
                <w:color w:val="000000"/>
                <w:sz w:val="22"/>
              </w:rPr>
              <w:t>Syrogiannopoulos</w:t>
            </w:r>
            <w:proofErr w:type="spellEnd"/>
            <w:r w:rsidRPr="00854503">
              <w:rPr>
                <w:rFonts w:asciiTheme="minorHAnsi" w:hAnsiTheme="minorHAnsi" w:cstheme="minorHAnsi"/>
                <w:color w:val="000000"/>
                <w:sz w:val="22"/>
              </w:rPr>
              <w:t xml:space="preserve"> et al. (2004)</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{"citationItems":[{"id":"ITEM-1","itemData":{"DOI":"10.1097/01.inf.0000138080.74674.a2","ISSN":"08913668","abstract":"Background: Short course antimicrobial therapy is suggested for group A streptococcal tonsillopharyngitis. Methods: The bacteriologic and clinical efficacies of clarithromycin [30 or 15 mg/kg/day twice daily (b.i.d.)] or amoxicillin/clavulanate (43.8/6.2 mg/kg/day b.i.d.) for 5 days or penicillin V (30 mg/kg/day 3 times a day) for 10 days were compared. In a randomized, open label, parallel group, multicenter study, 626 children (2-16 years old) with tonsillopharyngitis were enrolled; 537 were evaluable for efficacy. Follow-up evaluations were performed at 4-8 and 21-28 days after therapy. Results: At enrollment, 26% of the Streptococcus pyogenes isolates were clarithromycin- nonsusceptible. All regimens had an apparently similar clinical efficacy. The long term S. pyogenes eradication rates were 102 of 123 (83%) with amoxicillin/clavulanate and 88 of 114 (77%) with penicillin V. In the 30- and 15-mg/kg/day clarithromycin groups, eradication occurred in 71 of 86 (83%) and 59 of 80 (74%) of the clarithromycin-susceptible isolates (P = 0.33), and in 4 of 28 (14%) and 5 of 26 (19%) of the clarithromycin-resistant isolates, respectively (clarithromycin-susceptible versus -resistant, P &lt; 0.0001). Both clarithromycin dosages were well-tolerated. Conclusions: In group A streptococcal tonsillopharyngitis, 5 days of clarithromycin or amoxicillin/clavulanate treatment had clinical efficacy comparable with that of 10 days of penicillin V treatment; however, amoxicillin/clavulanate and penicillin V were bacteriologically more effective than clarithromycin because of its failure to eradicate the clarithromycin-resistant S. pyogenes isolates. The 5-day clarithromycin regimens are not recommended for treatment of streptococcal tonsillopharyngitis in areas where in vitro resistance of group A streptococci to clarithromycin is common.","author":[{"dropping-particle":"","family":"Syrogiannopoulos","given":"George A.","non-dropping-particle":"","parse-names":false,"suffix":""},{"dropping-particle":"","family":"Bozdogan","given":"Bülent","non-dropping-particle":"","parse-names":false,"suffix":""},{"dropping-particle":"","family":"Grivea","given":"Ioanna N.","non-dropping-particle":"","parse-names":false,"suffix":""},{"dropping-particle":"","family":"Ednie","given":"Lois M.","non-dropping-particle":"","parse-names":false,"suffix":""},{"dropping-particle":"","family":"Kritikou","given":"Dimitra I.","non-dropping-particle":"","parse-names":false,"suffix":""},{"dropping-particle":"","family":"Katopodis","given":"George D.","non-dropping-particle":"","parse-names":false,"suffix":""},{"dropping-particle":"","family":"Beratis","given":"Nicholas G.","non-dropping-particle":"","parse-names":false,"suffix":""},{"dropping-particle":"","family":"Appelbaum","given":"Peter C.","non-dropping-particle":"","parse-names":false,"suffix":""}],"container-title":"Pediatric Infectious Disease Journal","id":"ITEM-1","issue":"9","issued":{"date-parts":[["2004","9"]]},"page":"857-865","publisher":"Pediatr Infect Dis J","title":"Two dosages of clarithromycin for five days, amoxicillin/clavulanate for five days or penicillin V for ten days in acute group A streptococcal tonsillopharyngitis","type":"article-journal","volume":"23"},"uris":["http://www.mendeley.com/documents/?uuid=7d8ed040-4ffc-3abd-a62e-7047d001ee64"]}],"mendeley":{"formattedCitation":"[37]","plainTextFormattedCitation":"[37]","previouslyFormattedCitation":"[37]"},"properties":{"noteIndex":0},"schema":"https://github.com/citation-style-language/schema/raw/master/csl-citation.json"}</w:instrText>
            </w:r>
            <w:r>
              <w:rPr>
                <w:rFonts w:cstheme="minorHAnsi"/>
                <w:color w:val="000000"/>
              </w:rPr>
              <w:fldChar w:fldCharType="separate"/>
            </w:r>
            <w:r w:rsidR="0033159A">
              <w:rPr>
                <w:rFonts w:asciiTheme="minorHAnsi" w:hAnsiTheme="minorHAnsi" w:cstheme="minorHAnsi"/>
                <w:color w:val="000000"/>
                <w:sz w:val="22"/>
              </w:rPr>
              <w:t>[22]</w:t>
            </w:r>
            <w:r>
              <w:rPr>
                <w:rFonts w:cstheme="minorHAnsi"/>
                <w:color w:val="000000"/>
              </w:rPr>
              <w:fldChar w:fldCharType="end"/>
            </w:r>
            <w:r w:rsidRPr="00854503">
              <w:rPr>
                <w:rFonts w:asciiTheme="minorHAnsi" w:hAnsiTheme="minorHAnsi" w:cstheme="minorHAnsi"/>
                <w:color w:val="000000"/>
                <w:sz w:val="22"/>
              </w:rPr>
              <w:t>; Chahine et al. (2013)</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{"citationItems":[{"id":"ITEM-1","itemData":{"author":[{"dropping-particle":"","family":"Chahine","given":"Elias B.","non-dropping-particle":"","parse-names":false,"suffix":""},{"dropping-particle":"","family":"Chamoun","given":"John","non-dropping-particle":"","parse-names":false,"suffix":""},{"dropping-particle":"","family":"Sucher","given":"Allana J.","non-dropping-particle":"","parse-names":false,"suffix":""}],"container-title":"US Pharm","id":"ITEM-1","issue":"7","issued":{"date-parts":[["2013"]]},"page":"51-56","title":"Management of Streptococcal Pharyngitis","type":"article-journal","volume":"38"},"uris":["http://www.mendeley.com/documents/?uuid=84e7f559-55c1-3d26-a9ca-3ffcffd12aad"]}],"mendeley":{"formattedCitation":"[39]","plainTextFormattedCitation":"[39]","previouslyFormattedCitation":"[39]"},"properties":{"noteIndex":0},"schema":"https://github.com/citation-style-language/schema/raw/master/csl-citation.json"}</w:instrText>
            </w:r>
            <w:r>
              <w:rPr>
                <w:rFonts w:cstheme="minorHAnsi"/>
                <w:color w:val="000000"/>
              </w:rPr>
              <w:fldChar w:fldCharType="separate"/>
            </w:r>
            <w:r w:rsidR="0033159A">
              <w:rPr>
                <w:rFonts w:asciiTheme="minorHAnsi" w:hAnsiTheme="minorHAnsi" w:cstheme="minorHAnsi"/>
                <w:color w:val="000000"/>
                <w:sz w:val="22"/>
              </w:rPr>
              <w:t>[24]</w:t>
            </w:r>
            <w:r>
              <w:rPr>
                <w:rFonts w:cstheme="minorHAnsi"/>
                <w:color w:val="000000"/>
              </w:rPr>
              <w:fldChar w:fldCharType="end"/>
            </w:r>
            <w:r w:rsidRPr="00854503">
              <w:rPr>
                <w:rFonts w:asciiTheme="minorHAnsi" w:hAnsiTheme="minorHAnsi" w:cstheme="minorHAnsi"/>
                <w:color w:val="000000"/>
                <w:sz w:val="22"/>
              </w:rPr>
              <w:t xml:space="preserve">; </w:t>
            </w:r>
            <w:r>
              <w:rPr>
                <w:rFonts w:asciiTheme="minorHAnsi" w:hAnsiTheme="minorHAnsi" w:cstheme="minorHAnsi"/>
                <w:color w:val="000000"/>
                <w:sz w:val="22"/>
              </w:rPr>
              <w:t xml:space="preserve">Shulman et al. (2014)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{"citationItems":[{"id":"ITEM-1","itemData":{"DOI":"10.1093/cid/cis629","ISBN":"1537-6591 (Electronic)\\r1058-4838 (Linking)","PMID":"22965026","abstract":"The guideline is intended for use by healthcare providers who care for adult and pediatric patients with group A streptococcal pharyngitis. The guideline updates the 2002 Infectious Diseases Society of America guideline and discusses diagnosis and management, and recommendations are provided regarding antibiotic choices and dosing. Penicillin or amoxicillin remain the treatments of choice, and recommendations are made for the penicillin-allergic patient, which now include clindamycin.","author":[{"dropping-particle":"","family":"Shulman","given":"Stanford T.","non-dropping-particle":"","parse-names":false,"suffix":""},{"dropping-particle":"","family":"Bisno","given":"Alan L.","non-dropping-particle":"","parse-names":false,"suffix":""},{"dropping-particle":"","family":"Clegg","given":"Herbert W.","non-dropping-particle":"","parse-names":false,"suffix":""},{"dropping-particle":"","family":"Gerber","given":"Michael A.","non-dropping-particle":"","parse-names":false,"suffix":""},{"dropping-particle":"","family":"Kaplan","given":"Edward L.","non-dropping-particle":"","parse-names":false,"suffix":""},{"dropping-particle":"","family":"Lee","given":"Grace","non-dropping-particle":"","parse-names":false,"suffix":""},{"dropping-particle":"","family":"Martin","given":"Judith M","non-dropping-particle":"","parse-names":false,"suffix":""},{"dropping-particle":"","family":"Beneden","given":"Chris","non-dropping-particle":"Van","parse-names":false,"suffix":""}],"container-title":"Clinical Infectious Diseases","id":"ITEM-1","issue":"10","issued":{"date-parts":[["2014"]]},"page":"1496","title":"Clinical Practice Guideline for the Diagnosis and Management of Group A Streptococcal Pharyngitis: 2012 Update by the Infectious Diseases Society of America Published correction in Clinical Infectious Diseases (2014), 58(10), 1496]","type":"article-journal","volume":"58"},"uris":["http://www.mendeley.com/documents/?uuid=931224b2-07d0-4a60-9428-b41f93ccb79b"]}],"mendeley":{"formattedCitation":"[14]","plainTextFormattedCitation":"[14]","previouslyFormattedCitation":"[14]"},"properties":{"noteIndex":0},"schema":"https://github.com/citation-style-language/schema/raw/master/csl-citation.json"}</w:instrText>
            </w:r>
            <w:r>
              <w:rPr>
                <w:rFonts w:cstheme="minorHAnsi"/>
                <w:color w:val="000000"/>
              </w:rPr>
              <w:fldChar w:fldCharType="separate"/>
            </w:r>
            <w:r w:rsidRPr="00B26598">
              <w:rPr>
                <w:rFonts w:asciiTheme="minorHAnsi" w:hAnsiTheme="minorHAnsi" w:cstheme="minorHAnsi"/>
                <w:color w:val="000000"/>
                <w:sz w:val="22"/>
              </w:rPr>
              <w:t>[14]</w:t>
            </w:r>
            <w:r>
              <w:rPr>
                <w:rFonts w:cstheme="minorHAnsi"/>
                <w:color w:val="000000"/>
              </w:rPr>
              <w:fldChar w:fldCharType="end"/>
            </w:r>
            <w:r w:rsidRPr="00854503">
              <w:rPr>
                <w:rFonts w:asciiTheme="minorHAnsi" w:hAnsiTheme="minorHAnsi" w:cstheme="minorHAnsi"/>
                <w:color w:val="000000"/>
                <w:sz w:val="22"/>
              </w:rPr>
              <w:t>;</w:t>
            </w:r>
          </w:p>
          <w:p w14:paraId="7DB01461" w14:textId="1A47CCFF" w:rsidR="00433DF3" w:rsidRPr="00162BE6"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 xml:space="preserve">Tack et al. </w:t>
            </w:r>
            <w:r w:rsidRPr="00162BE6">
              <w:rPr>
                <w:rFonts w:asciiTheme="minorHAnsi" w:hAnsiTheme="minorHAnsi" w:cstheme="minorHAnsi"/>
                <w:color w:val="000000"/>
                <w:sz w:val="22"/>
              </w:rPr>
              <w:t>(1997)</w:t>
            </w:r>
            <w:r>
              <w:rPr>
                <w:rFonts w:asciiTheme="minorHAnsi" w:hAnsiTheme="minorHAnsi" w:cstheme="minorHAnsi"/>
                <w:color w:val="000000"/>
                <w:sz w:val="22"/>
              </w:rPr>
              <w:t xml:space="preserve">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{"citationItems":[{"id":"ITEM-1","itemData":{"DOI":"10.1128/aac.42.5.1073","ISSN":"00664804","abstract":"A multicenter, randomized, controlled, investigator-blind study was performed to evaluate the safety and efficacy of oral cefdinir versus oral penicillin V for the treatment of pharyngitis due to group A beta-hemolytic streptococci (GABHS). Patients 13 years of age and older were randomized to receive either oral cefdinir (300 mg twice a day) for 5 days followed by placebo for 5 days or oral penicillin V (250 mg four times a day) for 10 days. Throat cultures were obtained, and signs and symptoms of pharyngitis were recorded at study admission and follow-up visits on study days 11 to 15, 16 to 20, and 25 to 31. Patients kept a diary to record medication intake and their assessment of throat pain at admission and at each day of study treatment. Five hundred fifty-eight patients were enrolled, of whom 432 (77.4%) were clinically and microbiologically evaluable. The GABHS eradication rates 5 to 10 days after completion of therapy were 193 of 218 (88.5%) in the cefdinir group and 176 of 214 (82.2%) in the penicillin group (P = 0.053). Clinical cure rates were 89.0 and 84.6%, respectively (P = 0.80). By the time of the long-term follow-up visit, 2 to 3 weeks after completion of treatment, 156 of 191 (81.7%) of the assessable cefdinir patients and 152 of 195 (77.9%) of the penicillin patients remained free of GABHS. Both treatments were well tolerated, with adverse reaction rates of 183% in the cefdinir study arm and 15.0% in the penicillin study arm (P = 0.278). Five-day treatment with cefdinir is safe and effective therapy for GABHS pharyngitis. Based on its twice-a-day dosage and shorter course of therapy, leading to potentially greater patient compliance, cefdinir may be considered for use in the treatment of pharyngitis caused by GABHS.","author":[{"dropping-particle":"","family":"Tack","given":"Kenneth J.","non-dropping-particle":"","parse-names":false,"suffix":""},{"dropping-particle":"","family":"Henry","given":"Daniel C.","non-dropping-particle":"","parse-names":false,"suffix":""},{"dropping-particle":"","family":"Manford Gooch","given":"W.","non-dropping-particle":"","parse-names":false,"suffix":""},{"dropping-particle":"","family":"Brink","given":"Douglas N.","non-dropping-particle":"","parse-names":false,"suffix":""},{"dropping-particle":"","family":"Keyserling","given":"Constange H.","non-dropping-particle":"","parse-names":false,"suffix":""},{"dropping-particle":"","family":"Adelglass","given":"Jeffrey M.","non-dropping-particle":"","parse-names":false,"suffix":""},{"dropping-particle":"","family":"Black","given":"Ross","non-dropping-particle":"","parse-names":false,"suffix":""},{"dropping-particle":"","family":"Cochran","given":"Bert","non-dropping-particle":"","parse-names":false,"suffix":""},{"dropping-particle":"","family":"Collins","given":"Harry","non-dropping-particle":"","parse-names":false,"suffix":""},{"dropping-particle":"","family":"Downing","given":"Jill","non-dropping-particle":"","parse-names":false,"suffix":""},{"dropping-particle":"","family":"Drehobl","given":"Margaret","non-dropping-particle":"","parse-names":false,"suffix":""},{"dropping-particle":"","family":"Elinoff","given":"Victor","non-dropping-particle":"","parse-names":false,"suffix":""},{"dropping-particle":"","family":"Gooch","given":"W. Manford","non-dropping-particle":"","parse-names":false,"suffix":""},{"dropping-particle":"","family":"Gore","given":"Randall","non-dropping-particle":"","parse-names":false,"suffix":""},{"dropping-particle":"","family":"Hedrick","given":"James","non-dropping-particle":"","parse-names":false,"suffix":""},{"dropping-particle":"","family":"Kirkegaard","given":"Lance","non-dropping-particle":"","parse-names":false,"suffix":""},{"dropping-particle":"","family":"Littlejohn","given":"Thomas W.","non-dropping-particle":"","parse-names":false,"suffix":""},{"dropping-particle":"","family":"Mazzone","given":"Frank","non-dropping-particle":"","parse-names":false,"suffix":""},{"dropping-particle":"","family":"McCarty","given":"James","non-dropping-particle":"","parse-names":false,"suffix":""},{"dropping-particle":"","family":"McCluskey","given":"Dennis","non-dropping-particle":"","parse-names":false,"suffix":""},{"dropping-particle":"","family":"Ondrejicka","given":"John","non-dropping-particle":"","parse-names":false,"suffix":""},{"dropping-particle":"","family":"Pastor","given":"R. Zorba","non-dropping-particle":"","parse-names":false,"suffix":""},{"dropping-particle":"","family":"Puopolo","given":"Anthony D.","non-dropping-particle":"","parse-names":false,"suffix":""},{"dropping-particle":"","family":"Roberts","given":"Sam","non-dropping-particle":"","parse-names":false,"suffix":""},{"dropping-particle":"","family":"Smucker","given":"Jerry D.","non-dropping-particle":"","parse-names":false,"suffix":""},{"dropping-particle":"","family":"Sperling","given":"Malcolm J.","non-dropping-particle":"","parse-names":false,"suffix":""},{"dropping-particle":"","family":"Wiederhold","given":"Sandra","non-dropping-particle":"","parse-names":false,"suffix":""}],"container-title":"Antimicrobial Agents and Chemotherapy","id":"ITEM-1","issue":"5","issued":{"date-parts":[["1998"]]},"page":"1073-1075","title":"Five-day cefdinir treatment for streptococcal pharyngitis","type":"article-journal","volume":"42"},"uris":["http://www.mendeley.com/documents/?uuid=eead4d28-0470-4c66-b4eb-8332a5cdaeb0"]}],"mendeley":{"formattedCitation":"[38]","plainTextFormattedCitation":"[38]","previouslyFormattedCitation":"[38]"},"properties":{"noteIndex":0},"schema":"https://github.com/citation-style-language/schema/raw/master/csl-citation.json"}</w:instrText>
            </w:r>
            <w:r>
              <w:rPr>
                <w:rFonts w:cstheme="minorHAnsi"/>
                <w:color w:val="000000"/>
              </w:rPr>
              <w:fldChar w:fldCharType="separate"/>
            </w:r>
            <w:r w:rsidR="0033159A">
              <w:rPr>
                <w:rFonts w:asciiTheme="minorHAnsi" w:hAnsiTheme="minorHAnsi" w:cstheme="minorHAnsi"/>
                <w:color w:val="000000"/>
                <w:sz w:val="22"/>
              </w:rPr>
              <w:t>[23]</w:t>
            </w:r>
            <w:r>
              <w:rPr>
                <w:rFonts w:cstheme="minorHAnsi"/>
                <w:color w:val="000000"/>
              </w:rPr>
              <w:fldChar w:fldCharType="end"/>
            </w:r>
            <w:r w:rsidRPr="00162BE6">
              <w:rPr>
                <w:rFonts w:asciiTheme="minorHAnsi" w:hAnsiTheme="minorHAnsi" w:cstheme="minorHAnsi"/>
                <w:color w:val="000000"/>
                <w:sz w:val="22"/>
              </w:rPr>
              <w:t xml:space="preserve">; </w:t>
            </w:r>
            <w:proofErr w:type="spellStart"/>
            <w:r w:rsidRPr="00162BE6">
              <w:rPr>
                <w:rFonts w:asciiTheme="minorHAnsi" w:hAnsiTheme="minorHAnsi" w:cstheme="minorHAnsi"/>
                <w:color w:val="000000"/>
                <w:sz w:val="22"/>
              </w:rPr>
              <w:t>Milatovic</w:t>
            </w:r>
            <w:proofErr w:type="spellEnd"/>
            <w:r w:rsidRPr="00162BE6">
              <w:rPr>
                <w:rFonts w:asciiTheme="minorHAnsi" w:hAnsiTheme="minorHAnsi" w:cstheme="minorHAnsi"/>
                <w:color w:val="000000"/>
                <w:sz w:val="22"/>
              </w:rPr>
              <w:t xml:space="preserve"> et al. (1993) </w:t>
            </w:r>
            <w:r>
              <w:rPr>
                <w:rFonts w:cstheme="minorHAnsi"/>
                <w:color w:val="000000"/>
              </w:rPr>
              <w:fldChar w:fldCharType="begin" w:fldLock="1"/>
            </w:r>
            <w:r>
              <w:rPr>
                <w:rFonts w:asciiTheme="minorHAnsi" w:hAnsiTheme="minorHAnsi" w:cstheme="minorHAnsi"/>
                <w:color w:val="000000"/>
                <w:sz w:val="22"/>
              </w:rPr>
              <w:instrText>ADDIN CSL_CITATION {"citationItems":[{"id":"ITEM-1","itemData":{"DOI":"10.1128/AAC.37.8.1620","ISSN":"00664804","abstract":"In a randomized multicenter study, the efficacy and safety of cefprozil were compared with those of penicillin in the treatment of group A streptococcal tonsillopharyngitis in children. Of the 409 patients enrolled, 323 were evaluable for their clinical and bacteriological responses; of these 323 children, 172 received cefprozil and 151 received penicillin V. The clinical responses in patients treated with cefprozil were significantly better than those in patients who received penicillin (95.3 versus 88.1%; P = 0.023). Eradication of the original serotype of group A streptococci was achieved in 91.3% of patients treated with cefprozil and 87.4% of patients treated with penicillin, the difference not being statistically significant (P = 0.125). However, there were significantly more symptomatic patients among the bacteriological failures in the penicillin group (68.4%) than in the cefprozil group (26.7%). β-Lactamase-producing Staphylococcus aureus was more frequently isolated from the throat flora during penicillin therapy than during cefprozil treatment. No difference in the incidence of adverse events probably related or of unknown relationship to the study drugs was observed in the two treatment groups (5.2% of those treated with cefprozil and 6.0% of those treated with penicillin). Cefprozil can be considered a safe and reliable drug for the treatment of streptococcal pharyngitis in children.","author":[{"dropping-particle":"","family":"Milatovic","given":"D.","non-dropping-particle":"","parse-names":false,"suffix":""},{"dropping-particle":"","family":"Adam","given":"D.","non-dropping-particle":"","parse-names":false,"suffix":""},{"dropping-particle":"","family":"Hamilton","given":"H.","non-dropping-particle":"","parse-names":false,"suffix":""},{"dropping-particle":"","family":"Materman","given":"E.","non-dropping-particle":"","parse-names":false,"suffix":""}],"container-title":"Antimicrobial Agents and Chemotherapy","id":"ITEM-1","issue":"8","issued":{"date-parts":[["1993"]]},"page":"1620-1623","title":"Cefprozil versus penicillin V in treatment of streptococcal tonsillopharyngitis","type":"article-journal","volume":"37"},"uris":["http://www.mendeley.com/documents/?uuid=cd7b7746-f28e-4c6f-b59d-9e1c79982f74"]}],"mendeley":{"formattedCitation":"[36]","plainTextFormattedCitation":"[36]","previouslyFormattedCitation":"[36]"},"properties":{"noteIndex":0},"schema":"https://github.com/citation-style-language/schema/raw/master/csl-citation.json"}</w:instrText>
            </w:r>
            <w:r>
              <w:rPr>
                <w:rFonts w:cstheme="minorHAnsi"/>
                <w:color w:val="000000"/>
              </w:rPr>
              <w:fldChar w:fldCharType="separate"/>
            </w:r>
            <w:r w:rsidR="0033159A">
              <w:rPr>
                <w:rFonts w:asciiTheme="minorHAnsi" w:hAnsiTheme="minorHAnsi" w:cstheme="minorHAnsi"/>
                <w:color w:val="000000"/>
                <w:sz w:val="22"/>
              </w:rPr>
              <w:t>[21]</w:t>
            </w:r>
            <w:r>
              <w:rPr>
                <w:rFonts w:cstheme="minorHAnsi"/>
                <w:color w:val="000000"/>
              </w:rPr>
              <w:fldChar w:fldCharType="end"/>
            </w:r>
            <w:r w:rsidRPr="00162BE6">
              <w:rPr>
                <w:rFonts w:asciiTheme="minorHAnsi" w:hAnsiTheme="minorHAnsi" w:cstheme="minorHAnsi"/>
                <w:color w:val="000000"/>
                <w:sz w:val="22"/>
              </w:rPr>
              <w:t xml:space="preserve">; </w:t>
            </w:r>
            <w:proofErr w:type="spellStart"/>
            <w:r w:rsidRPr="00162BE6">
              <w:rPr>
                <w:rFonts w:asciiTheme="minorHAnsi" w:hAnsiTheme="minorHAnsi" w:cstheme="minorHAnsi"/>
                <w:color w:val="000000"/>
                <w:sz w:val="22"/>
              </w:rPr>
              <w:t>Choby</w:t>
            </w:r>
            <w:proofErr w:type="spellEnd"/>
            <w:r w:rsidRPr="00162BE6">
              <w:rPr>
                <w:rFonts w:asciiTheme="minorHAnsi" w:hAnsiTheme="minorHAnsi" w:cstheme="minorHAnsi"/>
                <w:color w:val="000000"/>
                <w:sz w:val="22"/>
              </w:rPr>
              <w:t xml:space="preserve"> (2009) </w:t>
            </w:r>
            <w:r>
              <w:rPr>
                <w:rFonts w:cstheme="minorHAnsi"/>
                <w:color w:val="000000"/>
              </w:rPr>
              <w:fldChar w:fldCharType="begin" w:fldLock="1"/>
            </w:r>
            <w:r>
              <w:rPr>
                <w:rFonts w:asciiTheme="minorHAnsi" w:hAnsiTheme="minorHAnsi" w:cstheme="minorHAnsi"/>
                <w:color w:val="000000"/>
                <w:sz w:val="22"/>
              </w:rPr>
              <w:instrText>ADDIN CSL_CITATION {"citationItems":[{"id":"ITEM-1","itemData":{"ISSN":"0002838X","abstract":"Common signs and symptoms of streptococcal pharyngitis include sore throat, temperature greater than 100.4 degrees F (38 degrees C), tonsillar exudates, and cervical adenopathy. Cough, coryza, and diarrhea are more common with viral pharyngitis. Available diagnostic tests include throat culture and rapid antigen detection testing. Throat culture is considered the diagnostic standard, although the sensitivity and specificity of rapid antigen detection testing have improved significantly. The modified Centor score can be used to help physicians decide which patients need no testing, throat culture/rapid antigen detection testing, or empiric antibiotic therapy. Penicillin (10 days of oral therapy or one injection of intramuscular benzathine penicillin) is the treatment of choice because of cost, narrow spectrum of activity, and effectiveness. Amoxicillin is equally effective and more palatable. Erythromycin and first-generation cephalosporins are options in patients with penicillin allergy. Increased group A beta-hemolytic streptococcus (GABHS) treatment failure with penicillin has been reported. Although current guidelines recommend first-generation cephalosporins for persons with penicillin allergy, some advocate the use of cephalosporins in all nonallergic patients because of better GABHS eradication and effectiveness against chronic GABHS carriage. Chronic GABHS colonization is common despite appropriate use of antibiotic therapy. Chronic carriers are at low risk of transmitting disease or developing invasive GABHS infections, and there is generally no need to treat carriers. Whether tonsillectomy or adenoidectomy decreases the incidence of GABHS pharyngitis is poorly understood. At this time, the benefits are too small to outweigh the associated costs and surgical risks.","author":[{"dropping-particle":"","family":"Choby","given":"Beth A.","non-dropping-particle":"","parse-names":false,"suffix":""}],"container-title":"American Family Physician","id":"ITEM-1","issue":"5","issued":{"date-parts":[["2009"]]},"page":"383-390","title":"Diagnosis and treatment of streptococcal pharyngitis","type":"article-journal","volume":"79"},"uris":["http://www.mendeley.com/documents/?uuid=e988ba85-1699-4f31-8333-767fcfcbfa68"]}],"mendeley":{"formattedCitation":"[40]","plainTextFormattedCitation":"[40]","previouslyFormattedCitation":"[40]"},"properties":{"noteIndex":0},"schema":"https://github.com/citation-style-language/schema/raw/master/csl-citation.json"}</w:instrText>
            </w:r>
            <w:r>
              <w:rPr>
                <w:rFonts w:cstheme="minorHAnsi"/>
                <w:color w:val="000000"/>
              </w:rPr>
              <w:fldChar w:fldCharType="separate"/>
            </w:r>
            <w:r w:rsidR="0033159A">
              <w:rPr>
                <w:rFonts w:asciiTheme="minorHAnsi" w:hAnsiTheme="minorHAnsi" w:cstheme="minorHAnsi"/>
                <w:color w:val="000000"/>
                <w:sz w:val="22"/>
              </w:rPr>
              <w:t>[25]</w:t>
            </w:r>
            <w:r>
              <w:rPr>
                <w:rFonts w:cstheme="minorHAnsi"/>
                <w:color w:val="000000"/>
              </w:rPr>
              <w:fldChar w:fldCharType="end"/>
            </w:r>
            <w:r w:rsidRPr="00162BE6">
              <w:rPr>
                <w:rFonts w:asciiTheme="minorHAnsi" w:hAnsiTheme="minorHAnsi" w:cstheme="minorHAnsi"/>
                <w:color w:val="000000"/>
                <w:sz w:val="22"/>
              </w:rPr>
              <w:t xml:space="preserve">; </w:t>
            </w:r>
            <w:proofErr w:type="spellStart"/>
            <w:r w:rsidRPr="00162BE6">
              <w:rPr>
                <w:rFonts w:asciiTheme="minorHAnsi" w:hAnsiTheme="minorHAnsi" w:cstheme="minorHAnsi"/>
                <w:color w:val="000000"/>
                <w:sz w:val="22"/>
              </w:rPr>
              <w:t>Suaya</w:t>
            </w:r>
            <w:proofErr w:type="spellEnd"/>
            <w:r w:rsidRPr="00162BE6">
              <w:rPr>
                <w:rFonts w:asciiTheme="minorHAnsi" w:hAnsiTheme="minorHAnsi" w:cstheme="minorHAnsi"/>
                <w:color w:val="000000"/>
                <w:sz w:val="22"/>
              </w:rPr>
              <w:t xml:space="preserve"> et al. </w:t>
            </w:r>
            <w:r w:rsidRPr="00854503">
              <w:rPr>
                <w:rFonts w:asciiTheme="minorHAnsi" w:hAnsiTheme="minorHAnsi" w:cstheme="minorHAnsi"/>
                <w:color w:val="000000"/>
                <w:sz w:val="22"/>
              </w:rPr>
              <w:t>(2018)</w:t>
            </w:r>
            <w:r>
              <w:rPr>
                <w:rFonts w:asciiTheme="minorHAnsi" w:hAnsiTheme="minorHAnsi" w:cstheme="minorHAnsi"/>
                <w:color w:val="000000"/>
                <w:sz w:val="22"/>
              </w:rPr>
              <w:t xml:space="preserve"> </w:t>
            </w:r>
            <w:r w:rsidRPr="00162BE6">
              <w:rPr>
                <w:rFonts w:cstheme="minorHAnsi"/>
                <w:color w:val="000000"/>
              </w:rPr>
              <w:fldChar w:fldCharType="begin" w:fldLock="1"/>
            </w:r>
            <w:r w:rsidRPr="00162BE6">
              <w:rPr>
                <w:rFonts w:asciiTheme="minorHAnsi" w:hAnsiTheme="minorHAnsi" w:cstheme="minorHAnsi"/>
                <w:color w:val="000000"/>
                <w:sz w:val="22"/>
              </w:rPr>
              <w:instrText xml:space="preserve">ADDIN CSL_CITATION {"citationItems":[{"id":"ITEM-1","itemData":{"DOI":"10.1016/j.vaccine.2018.10.060","ISSN":"18732518","abstract":"Introduction: We analyzed outpatient visits, incidence, antimicrobial prescriptions, and medical expenditures for acute otitis media (AOM) in the United States during 2011–2016. Methods: Data sources included the National Disease and Therapeutic Index (NDTI™) projections by IQVIA (for AOM cases), The Medical Expenditure Panel Survey (for medical expenditures) and the US Census (for population estimates). Analyses focused on children aged ≤9 years between 2011 and 2016. We used the 2014 medical expenditure estimate per otitis media episode ($520) as proxy for all years. Results: In 2011, there were an estimated 11.5 million AOM episodes in children aged 0–9 years in the US with AOM incidence rates (IR) of 476, 204, and 284 episodes per 1000 children aged 0–2, 3–9, and 0–9 years, respectively. All subsequent years had lower IRs, and by 2016, IR was 25.1% lower than in 2011 in children 0–9 years. In addition, there were estimates of 10.8 million and 9.2 million fewer cumulative AOM episodes and antimicrobial prescriptions for AOM nationwide between 2012 and 2016, compared to annual 2011 estimates, representing a </w:instrText>
            </w:r>
            <w:r w:rsidRPr="00162BE6">
              <w:rPr>
                <w:rFonts w:ascii="Cambria Math" w:hAnsi="Cambria Math" w:cs="Cambria Math"/>
                <w:color w:val="000000"/>
                <w:sz w:val="22"/>
              </w:rPr>
              <w:instrText>∼</w:instrText>
            </w:r>
            <w:r w:rsidRPr="00162BE6">
              <w:rPr>
                <w:rFonts w:asciiTheme="minorHAnsi" w:hAnsiTheme="minorHAnsi" w:cstheme="minorHAnsi"/>
                <w:color w:val="000000"/>
                <w:sz w:val="22"/>
              </w:rPr>
              <w:instrText>$5.6 billion decrease in direct medical expenditures. The average number of antibiotic prescriptions per AOM visit remained stable with 0.89 and 0.86 prescriptions per visit in 2011 and 2016, respectively. Conclusions: AOM incidence, antimicrobial prescriptions, and associated medical expenses decreased substantially between 2011 and 2016 in the United States. Antimicrobial prescribing practices remain unchanged. Additional studies are warranted to assess causality.","author":[{"dropping-particle":"","family":"Suaya","given":"José A.","non-dropping-particle":"","parse-names":false,"suffix":""},{"dropping-particle":"","family":"Gessner","given":"Bradford D.","non-dropping-particle":"","parse-names":false,"suffix":""},{"dropping-particle":"","family":"Fung","given":"Shirley","non-dropping-particle":"","parse-names":false,"suffix":""},{"dropping-particle":"","family":"Vuocolo","given":"Scott","non-dropping-particle":"","parse-names":false,"suffix":""},{"dropping-particle":"","family":"Scaife","given":"John","non-dropping-particle":"","parse-names":false,"suffix":""},{"dropping-particle":"","family":"Swerdlow","given":"David L.","non-dropping-particle":"","parse-names":false,"suffix":""},{"dropping-particle":"","family":"Isturiz","given":"Raúl E.","non-dropping-particle":"","parse-names":false,"suffix":""},{"dropping-particle":"","family":"Arguedas","given":"Adriano G.","non-dropping-particle":"","parse-names":false,"suffix":""}],"container-title":"Vaccine","id":"ITEM-1","issue":"49","issued":{"date-parts":[["2018"]]},"page":"7479-7486","title":"Acute otitis media, antimicrobial prescriptions, and medical expenses among children in the United States during 2011–2016","type":"article-journal","volume":"36"},"uris":["http://www.mendeley.com/documents/?uuid=6d527ddd-29f9-4f3e-abdf-6d85b1a89920"]}],"mendeley":{"formattedCitation":"[18]","plainTextFormattedCitation":"[18]","previouslyFormattedCitation":"[18]"},"properties":{"noteIndex":0},"schema":"https://github.com/citation-style-language/schema/raw/master/csl-citation.json"}</w:instrText>
            </w:r>
            <w:r w:rsidRPr="00162BE6">
              <w:rPr>
                <w:rFonts w:cstheme="minorHAnsi"/>
                <w:color w:val="000000"/>
              </w:rPr>
              <w:fldChar w:fldCharType="separate"/>
            </w:r>
            <w:r w:rsidR="00BC4FB1">
              <w:rPr>
                <w:rFonts w:asciiTheme="minorHAnsi" w:hAnsiTheme="minorHAnsi" w:cstheme="minorHAnsi"/>
                <w:color w:val="000000"/>
                <w:sz w:val="22"/>
              </w:rPr>
              <w:t>[5]</w:t>
            </w:r>
            <w:r w:rsidRPr="00162BE6">
              <w:rPr>
                <w:rFonts w:cstheme="minorHAnsi"/>
                <w:color w:val="000000"/>
              </w:rPr>
              <w:fldChar w:fldCharType="end"/>
            </w:r>
          </w:p>
        </w:tc>
      </w:tr>
      <w:tr w:rsidR="00433DF3" w:rsidRPr="00162BE6" w14:paraId="4C6D02F1" w14:textId="77777777" w:rsidTr="00F77A75">
        <w:trPr>
          <w:trHeight w:val="288"/>
        </w:trPr>
        <w:tc>
          <w:tcPr>
            <w:tcW w:w="2156" w:type="pct"/>
          </w:tcPr>
          <w:p w14:paraId="248C58F8"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hospitalization for TF, OM</w:t>
            </w:r>
          </w:p>
        </w:tc>
        <w:tc>
          <w:tcPr>
            <w:tcW w:w="834" w:type="pct"/>
          </w:tcPr>
          <w:p w14:paraId="373DEC93"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2831.233</w:t>
            </w:r>
          </w:p>
        </w:tc>
        <w:tc>
          <w:tcPr>
            <w:tcW w:w="2010" w:type="pct"/>
          </w:tcPr>
          <w:p w14:paraId="5DA98C02" w14:textId="7E11A830"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351FF2EC" w14:textId="77777777" w:rsidTr="00F77A75">
        <w:trPr>
          <w:trHeight w:val="288"/>
        </w:trPr>
        <w:tc>
          <w:tcPr>
            <w:tcW w:w="2156" w:type="pct"/>
          </w:tcPr>
          <w:p w14:paraId="0D16A5B4"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hospitalization for TF, OM</w:t>
            </w:r>
          </w:p>
        </w:tc>
        <w:tc>
          <w:tcPr>
            <w:tcW w:w="834" w:type="pct"/>
          </w:tcPr>
          <w:p w14:paraId="38DFAF2D"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185.955</w:t>
            </w:r>
          </w:p>
        </w:tc>
        <w:tc>
          <w:tcPr>
            <w:tcW w:w="2010" w:type="pct"/>
          </w:tcPr>
          <w:p w14:paraId="78502171" w14:textId="4B72BF36"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65FD36AE" w14:textId="77777777" w:rsidTr="00F77A75">
        <w:trPr>
          <w:trHeight w:val="288"/>
        </w:trPr>
        <w:tc>
          <w:tcPr>
            <w:tcW w:w="2156" w:type="pct"/>
          </w:tcPr>
          <w:p w14:paraId="25B71FC7"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ED visit for TF, OM</w:t>
            </w:r>
          </w:p>
        </w:tc>
        <w:tc>
          <w:tcPr>
            <w:tcW w:w="834" w:type="pct"/>
          </w:tcPr>
          <w:p w14:paraId="7D4AD92D"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329.485</w:t>
            </w:r>
          </w:p>
        </w:tc>
        <w:tc>
          <w:tcPr>
            <w:tcW w:w="2010" w:type="pct"/>
          </w:tcPr>
          <w:p w14:paraId="3B7A82EB" w14:textId="03BD311E"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46FAECAE" w14:textId="77777777" w:rsidTr="00F77A75">
        <w:trPr>
          <w:trHeight w:val="288"/>
        </w:trPr>
        <w:tc>
          <w:tcPr>
            <w:tcW w:w="2156" w:type="pct"/>
          </w:tcPr>
          <w:p w14:paraId="3E278BBA"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ED visit for TF, OM</w:t>
            </w:r>
          </w:p>
        </w:tc>
        <w:tc>
          <w:tcPr>
            <w:tcW w:w="834" w:type="pct"/>
          </w:tcPr>
          <w:p w14:paraId="0E28223C"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41.934</w:t>
            </w:r>
          </w:p>
        </w:tc>
        <w:tc>
          <w:tcPr>
            <w:tcW w:w="2010" w:type="pct"/>
          </w:tcPr>
          <w:p w14:paraId="34B60C19" w14:textId="2A4AEE5E"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6624ACC7" w14:textId="77777777" w:rsidTr="00F77A75">
        <w:trPr>
          <w:trHeight w:val="288"/>
        </w:trPr>
        <w:tc>
          <w:tcPr>
            <w:tcW w:w="2156" w:type="pct"/>
          </w:tcPr>
          <w:p w14:paraId="2356A1A2"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outpatient visit for TF, OM</w:t>
            </w:r>
          </w:p>
        </w:tc>
        <w:tc>
          <w:tcPr>
            <w:tcW w:w="834" w:type="pct"/>
          </w:tcPr>
          <w:p w14:paraId="4D839632"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165.543</w:t>
            </w:r>
          </w:p>
        </w:tc>
        <w:tc>
          <w:tcPr>
            <w:tcW w:w="2010" w:type="pct"/>
          </w:tcPr>
          <w:p w14:paraId="4C25EDE8" w14:textId="085476E0"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12A72F3D" w14:textId="77777777" w:rsidTr="00F77A75">
        <w:trPr>
          <w:trHeight w:val="288"/>
        </w:trPr>
        <w:tc>
          <w:tcPr>
            <w:tcW w:w="2156" w:type="pct"/>
          </w:tcPr>
          <w:p w14:paraId="280543C8"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outpatient visit for TF, OM</w:t>
            </w:r>
          </w:p>
        </w:tc>
        <w:tc>
          <w:tcPr>
            <w:tcW w:w="834" w:type="pct"/>
          </w:tcPr>
          <w:p w14:paraId="6D06224D"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26.607</w:t>
            </w:r>
          </w:p>
        </w:tc>
        <w:tc>
          <w:tcPr>
            <w:tcW w:w="2010" w:type="pct"/>
          </w:tcPr>
          <w:p w14:paraId="1F5ECB3A" w14:textId="492C6F3D"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7B98E58E" w14:textId="77777777" w:rsidTr="00F77A75">
        <w:trPr>
          <w:trHeight w:val="288"/>
        </w:trPr>
        <w:tc>
          <w:tcPr>
            <w:tcW w:w="2156" w:type="pct"/>
          </w:tcPr>
          <w:p w14:paraId="32CBEF5C"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hospitalization for TF, AS</w:t>
            </w:r>
          </w:p>
        </w:tc>
        <w:tc>
          <w:tcPr>
            <w:tcW w:w="834" w:type="pct"/>
          </w:tcPr>
          <w:p w14:paraId="54AA58BD"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2531.179</w:t>
            </w:r>
          </w:p>
        </w:tc>
        <w:tc>
          <w:tcPr>
            <w:tcW w:w="2010" w:type="pct"/>
          </w:tcPr>
          <w:p w14:paraId="261B2CF8" w14:textId="4691B5D2"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33FB1BB7" w14:textId="77777777" w:rsidTr="00F77A75">
        <w:trPr>
          <w:trHeight w:val="288"/>
        </w:trPr>
        <w:tc>
          <w:tcPr>
            <w:tcW w:w="2156" w:type="pct"/>
          </w:tcPr>
          <w:p w14:paraId="33AB7305"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hospitalization for TF, AS</w:t>
            </w:r>
          </w:p>
        </w:tc>
        <w:tc>
          <w:tcPr>
            <w:tcW w:w="834" w:type="pct"/>
          </w:tcPr>
          <w:p w14:paraId="53685929"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166.248</w:t>
            </w:r>
          </w:p>
        </w:tc>
        <w:tc>
          <w:tcPr>
            <w:tcW w:w="2010" w:type="pct"/>
          </w:tcPr>
          <w:p w14:paraId="65316BA2" w14:textId="159EBC4F"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22B9E935" w14:textId="77777777" w:rsidTr="00F77A75">
        <w:trPr>
          <w:trHeight w:val="288"/>
        </w:trPr>
        <w:tc>
          <w:tcPr>
            <w:tcW w:w="2156" w:type="pct"/>
          </w:tcPr>
          <w:p w14:paraId="43630A9B"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ED visit for TF, AS</w:t>
            </w:r>
          </w:p>
        </w:tc>
        <w:tc>
          <w:tcPr>
            <w:tcW w:w="834" w:type="pct"/>
          </w:tcPr>
          <w:p w14:paraId="499AAEF4"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394.317</w:t>
            </w:r>
          </w:p>
        </w:tc>
        <w:tc>
          <w:tcPr>
            <w:tcW w:w="2010" w:type="pct"/>
          </w:tcPr>
          <w:p w14:paraId="4E36ADE4" w14:textId="064629C1"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51E3A321" w14:textId="77777777" w:rsidTr="00F77A75">
        <w:trPr>
          <w:trHeight w:val="288"/>
        </w:trPr>
        <w:tc>
          <w:tcPr>
            <w:tcW w:w="2156" w:type="pct"/>
          </w:tcPr>
          <w:p w14:paraId="513466E0"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ED visit for TF, AS</w:t>
            </w:r>
          </w:p>
        </w:tc>
        <w:tc>
          <w:tcPr>
            <w:tcW w:w="834" w:type="pct"/>
          </w:tcPr>
          <w:p w14:paraId="625B8A4C"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33.903</w:t>
            </w:r>
          </w:p>
        </w:tc>
        <w:tc>
          <w:tcPr>
            <w:tcW w:w="2010" w:type="pct"/>
          </w:tcPr>
          <w:p w14:paraId="6CD5672A" w14:textId="79C3E92B"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w:t>
            </w:r>
            <w:r>
              <w:rPr>
                <w:rFonts w:asciiTheme="minorHAnsi" w:hAnsiTheme="minorHAnsi" w:cstheme="minorHAnsi"/>
                <w:color w:val="000000"/>
                <w:sz w:val="22"/>
              </w:rPr>
              <w:t xml:space="preserve"> </w:t>
            </w:r>
            <w:r w:rsidRPr="00854503">
              <w:rPr>
                <w:rFonts w:asciiTheme="minorHAnsi" w:hAnsiTheme="minorHAnsi" w:cstheme="minorHAnsi"/>
                <w:color w:val="000000"/>
                <w:sz w:val="22"/>
              </w:rPr>
              <w:t>(2019)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0899020A" w14:textId="77777777" w:rsidTr="00F77A75">
        <w:trPr>
          <w:trHeight w:val="288"/>
        </w:trPr>
        <w:tc>
          <w:tcPr>
            <w:tcW w:w="2156" w:type="pct"/>
          </w:tcPr>
          <w:p w14:paraId="24F5FFFB"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outpatient visit for TF, AS</w:t>
            </w:r>
          </w:p>
        </w:tc>
        <w:tc>
          <w:tcPr>
            <w:tcW w:w="834" w:type="pct"/>
          </w:tcPr>
          <w:p w14:paraId="0C6A159B"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119.766</w:t>
            </w:r>
          </w:p>
        </w:tc>
        <w:tc>
          <w:tcPr>
            <w:tcW w:w="2010" w:type="pct"/>
          </w:tcPr>
          <w:p w14:paraId="5CCB917B" w14:textId="6691E893"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06AA29B9" w14:textId="77777777" w:rsidTr="00F77A75">
        <w:trPr>
          <w:trHeight w:val="288"/>
        </w:trPr>
        <w:tc>
          <w:tcPr>
            <w:tcW w:w="2156" w:type="pct"/>
          </w:tcPr>
          <w:p w14:paraId="70EFF1C0"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outpatient visit for TF, AS</w:t>
            </w:r>
          </w:p>
        </w:tc>
        <w:tc>
          <w:tcPr>
            <w:tcW w:w="834" w:type="pct"/>
          </w:tcPr>
          <w:p w14:paraId="401A54D3"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25.844</w:t>
            </w:r>
          </w:p>
        </w:tc>
        <w:tc>
          <w:tcPr>
            <w:tcW w:w="2010" w:type="pct"/>
          </w:tcPr>
          <w:p w14:paraId="4D350914" w14:textId="0193CC6F"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5F962602" w14:textId="77777777" w:rsidTr="00F77A75">
        <w:trPr>
          <w:trHeight w:val="288"/>
        </w:trPr>
        <w:tc>
          <w:tcPr>
            <w:tcW w:w="2156" w:type="pct"/>
          </w:tcPr>
          <w:p w14:paraId="490F4F6F"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hospitalization for TF, GAS</w:t>
            </w:r>
          </w:p>
        </w:tc>
        <w:tc>
          <w:tcPr>
            <w:tcW w:w="834" w:type="pct"/>
          </w:tcPr>
          <w:p w14:paraId="6B673C20"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2531.179</w:t>
            </w:r>
          </w:p>
        </w:tc>
        <w:tc>
          <w:tcPr>
            <w:tcW w:w="2010" w:type="pct"/>
          </w:tcPr>
          <w:p w14:paraId="727A798E" w14:textId="5F044C8A"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2EFDC5A4" w14:textId="77777777" w:rsidTr="00F77A75">
        <w:trPr>
          <w:trHeight w:val="288"/>
        </w:trPr>
        <w:tc>
          <w:tcPr>
            <w:tcW w:w="2156" w:type="pct"/>
          </w:tcPr>
          <w:p w14:paraId="1E3D0A72"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hospitalization for TF, GAS</w:t>
            </w:r>
          </w:p>
        </w:tc>
        <w:tc>
          <w:tcPr>
            <w:tcW w:w="834" w:type="pct"/>
          </w:tcPr>
          <w:p w14:paraId="26C68A96"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166.248</w:t>
            </w:r>
          </w:p>
        </w:tc>
        <w:tc>
          <w:tcPr>
            <w:tcW w:w="2010" w:type="pct"/>
          </w:tcPr>
          <w:p w14:paraId="29BF67CC" w14:textId="6DA7896A"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43CA39D9" w14:textId="77777777" w:rsidTr="00F77A75">
        <w:trPr>
          <w:trHeight w:val="288"/>
        </w:trPr>
        <w:tc>
          <w:tcPr>
            <w:tcW w:w="2156" w:type="pct"/>
          </w:tcPr>
          <w:p w14:paraId="5893F7D3"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 xml:space="preserve">Payer </w:t>
            </w:r>
            <w:proofErr w:type="gramStart"/>
            <w:r w:rsidRPr="00854503">
              <w:rPr>
                <w:rFonts w:asciiTheme="minorHAnsi" w:hAnsiTheme="minorHAnsi" w:cstheme="minorHAnsi"/>
                <w:color w:val="000000"/>
                <w:sz w:val="22"/>
              </w:rPr>
              <w:t>cost ,</w:t>
            </w:r>
            <w:proofErr w:type="gramEnd"/>
            <w:r w:rsidRPr="00854503">
              <w:rPr>
                <w:rFonts w:asciiTheme="minorHAnsi" w:hAnsiTheme="minorHAnsi" w:cstheme="minorHAnsi"/>
                <w:color w:val="000000"/>
                <w:sz w:val="22"/>
              </w:rPr>
              <w:t xml:space="preserve"> ED visit for TF, GAS</w:t>
            </w:r>
          </w:p>
        </w:tc>
        <w:tc>
          <w:tcPr>
            <w:tcW w:w="834" w:type="pct"/>
          </w:tcPr>
          <w:p w14:paraId="3F972BED"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394.317</w:t>
            </w:r>
          </w:p>
        </w:tc>
        <w:tc>
          <w:tcPr>
            <w:tcW w:w="2010" w:type="pct"/>
          </w:tcPr>
          <w:p w14:paraId="257CE782" w14:textId="3C329643"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54B39FF3" w14:textId="77777777" w:rsidTr="00F77A75">
        <w:trPr>
          <w:trHeight w:val="288"/>
        </w:trPr>
        <w:tc>
          <w:tcPr>
            <w:tcW w:w="2156" w:type="pct"/>
          </w:tcPr>
          <w:p w14:paraId="401A0895"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lastRenderedPageBreak/>
              <w:t>OOP cost, ED visit for TF, GAS</w:t>
            </w:r>
          </w:p>
        </w:tc>
        <w:tc>
          <w:tcPr>
            <w:tcW w:w="834" w:type="pct"/>
          </w:tcPr>
          <w:p w14:paraId="41C8124C"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33.903</w:t>
            </w:r>
          </w:p>
        </w:tc>
        <w:tc>
          <w:tcPr>
            <w:tcW w:w="2010" w:type="pct"/>
          </w:tcPr>
          <w:p w14:paraId="3372C31B" w14:textId="60531DA1"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2515E5E6" w14:textId="77777777" w:rsidTr="00F77A75">
        <w:trPr>
          <w:trHeight w:val="288"/>
        </w:trPr>
        <w:tc>
          <w:tcPr>
            <w:tcW w:w="2156" w:type="pct"/>
          </w:tcPr>
          <w:p w14:paraId="0A0C0F83"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outpatient visit for TF, GAS</w:t>
            </w:r>
          </w:p>
        </w:tc>
        <w:tc>
          <w:tcPr>
            <w:tcW w:w="834" w:type="pct"/>
          </w:tcPr>
          <w:p w14:paraId="0BBBCD17"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119.766</w:t>
            </w:r>
          </w:p>
        </w:tc>
        <w:tc>
          <w:tcPr>
            <w:tcW w:w="2010" w:type="pct"/>
          </w:tcPr>
          <w:p w14:paraId="3EB79D2F" w14:textId="17B063C6"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16FAAC42" w14:textId="77777777" w:rsidTr="00F77A75">
        <w:trPr>
          <w:trHeight w:val="288"/>
        </w:trPr>
        <w:tc>
          <w:tcPr>
            <w:tcW w:w="2156" w:type="pct"/>
          </w:tcPr>
          <w:p w14:paraId="54216984"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outpatient visit for TF, GAS</w:t>
            </w:r>
          </w:p>
        </w:tc>
        <w:tc>
          <w:tcPr>
            <w:tcW w:w="834" w:type="pct"/>
          </w:tcPr>
          <w:p w14:paraId="20D9D94D"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25.844</w:t>
            </w:r>
          </w:p>
        </w:tc>
        <w:tc>
          <w:tcPr>
            <w:tcW w:w="2010" w:type="pct"/>
          </w:tcPr>
          <w:p w14:paraId="60722B79" w14:textId="747196F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w:t>
            </w:r>
            <w:r>
              <w:rPr>
                <w:rFonts w:asciiTheme="minorHAnsi" w:hAnsiTheme="minorHAnsi" w:cstheme="minorHAnsi"/>
                <w:color w:val="000000"/>
                <w:sz w:val="22"/>
              </w:rPr>
              <w:t xml:space="preserve"> </w:t>
            </w:r>
            <w:r w:rsidRPr="00854503">
              <w:rPr>
                <w:rFonts w:asciiTheme="minorHAnsi" w:hAnsiTheme="minorHAnsi" w:cstheme="minorHAnsi"/>
                <w:color w:val="000000"/>
                <w:sz w:val="22"/>
              </w:rPr>
              <w:t>(2019)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1F18C839" w14:textId="77777777" w:rsidTr="00F77A75">
        <w:trPr>
          <w:trHeight w:val="288"/>
        </w:trPr>
        <w:tc>
          <w:tcPr>
            <w:tcW w:w="2156" w:type="pct"/>
          </w:tcPr>
          <w:p w14:paraId="29AF17A6"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hospitalization for ADR, OM</w:t>
            </w:r>
          </w:p>
        </w:tc>
        <w:tc>
          <w:tcPr>
            <w:tcW w:w="834" w:type="pct"/>
          </w:tcPr>
          <w:p w14:paraId="3D2B1392"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5808.304</w:t>
            </w:r>
          </w:p>
        </w:tc>
        <w:tc>
          <w:tcPr>
            <w:tcW w:w="2010" w:type="pct"/>
          </w:tcPr>
          <w:p w14:paraId="389AA0D4" w14:textId="1B7B426B"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05BB659E" w14:textId="77777777" w:rsidTr="00F77A75">
        <w:trPr>
          <w:trHeight w:val="288"/>
        </w:trPr>
        <w:tc>
          <w:tcPr>
            <w:tcW w:w="2156" w:type="pct"/>
          </w:tcPr>
          <w:p w14:paraId="14C5F911"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hospitalization for ADR, OM</w:t>
            </w:r>
          </w:p>
        </w:tc>
        <w:tc>
          <w:tcPr>
            <w:tcW w:w="834" w:type="pct"/>
          </w:tcPr>
          <w:p w14:paraId="09F0CA29"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381.489</w:t>
            </w:r>
          </w:p>
        </w:tc>
        <w:tc>
          <w:tcPr>
            <w:tcW w:w="2010" w:type="pct"/>
          </w:tcPr>
          <w:p w14:paraId="75883738" w14:textId="0D0402B4"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2222D463" w14:textId="77777777" w:rsidTr="00F77A75">
        <w:trPr>
          <w:trHeight w:val="288"/>
        </w:trPr>
        <w:tc>
          <w:tcPr>
            <w:tcW w:w="2156" w:type="pct"/>
          </w:tcPr>
          <w:p w14:paraId="0136250F"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ED visit for ADR, OM</w:t>
            </w:r>
          </w:p>
        </w:tc>
        <w:tc>
          <w:tcPr>
            <w:tcW w:w="834" w:type="pct"/>
          </w:tcPr>
          <w:p w14:paraId="15386EF1"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456.962</w:t>
            </w:r>
          </w:p>
        </w:tc>
        <w:tc>
          <w:tcPr>
            <w:tcW w:w="2010" w:type="pct"/>
          </w:tcPr>
          <w:p w14:paraId="3104D9C3" w14:textId="05CDDAB3"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7C01D445" w14:textId="77777777" w:rsidTr="00F77A75">
        <w:trPr>
          <w:trHeight w:val="288"/>
        </w:trPr>
        <w:tc>
          <w:tcPr>
            <w:tcW w:w="2156" w:type="pct"/>
          </w:tcPr>
          <w:p w14:paraId="2D3AA130"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ED visit for ADR, OM</w:t>
            </w:r>
          </w:p>
        </w:tc>
        <w:tc>
          <w:tcPr>
            <w:tcW w:w="834" w:type="pct"/>
          </w:tcPr>
          <w:p w14:paraId="3D4667A5"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43.372</w:t>
            </w:r>
          </w:p>
        </w:tc>
        <w:tc>
          <w:tcPr>
            <w:tcW w:w="2010" w:type="pct"/>
          </w:tcPr>
          <w:p w14:paraId="510305C9" w14:textId="027F5ABB"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671FD95B" w14:textId="77777777" w:rsidTr="00F77A75">
        <w:trPr>
          <w:trHeight w:val="288"/>
        </w:trPr>
        <w:tc>
          <w:tcPr>
            <w:tcW w:w="2156" w:type="pct"/>
          </w:tcPr>
          <w:p w14:paraId="6D395C9D"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outpatient visit for ADR, OM</w:t>
            </w:r>
          </w:p>
        </w:tc>
        <w:tc>
          <w:tcPr>
            <w:tcW w:w="834" w:type="pct"/>
          </w:tcPr>
          <w:p w14:paraId="4CA2F57C"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198.957</w:t>
            </w:r>
          </w:p>
        </w:tc>
        <w:tc>
          <w:tcPr>
            <w:tcW w:w="2010" w:type="pct"/>
          </w:tcPr>
          <w:p w14:paraId="22B07907" w14:textId="282351EC"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3CE420BE" w14:textId="77777777" w:rsidTr="00F77A75">
        <w:trPr>
          <w:trHeight w:val="288"/>
        </w:trPr>
        <w:tc>
          <w:tcPr>
            <w:tcW w:w="2156" w:type="pct"/>
          </w:tcPr>
          <w:p w14:paraId="4BE273C4"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outpatient visit for ADR, OM</w:t>
            </w:r>
          </w:p>
        </w:tc>
        <w:tc>
          <w:tcPr>
            <w:tcW w:w="834" w:type="pct"/>
          </w:tcPr>
          <w:p w14:paraId="497FFBC5"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32.899</w:t>
            </w:r>
          </w:p>
        </w:tc>
        <w:tc>
          <w:tcPr>
            <w:tcW w:w="2010" w:type="pct"/>
          </w:tcPr>
          <w:p w14:paraId="4DEA9F0A" w14:textId="2502DEFF"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3B743084" w14:textId="77777777" w:rsidTr="00F77A75">
        <w:trPr>
          <w:trHeight w:val="288"/>
        </w:trPr>
        <w:tc>
          <w:tcPr>
            <w:tcW w:w="2156" w:type="pct"/>
          </w:tcPr>
          <w:p w14:paraId="16C8F843"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hospitalization for ADR, AS</w:t>
            </w:r>
          </w:p>
        </w:tc>
        <w:tc>
          <w:tcPr>
            <w:tcW w:w="834" w:type="pct"/>
          </w:tcPr>
          <w:p w14:paraId="36E8D0A5"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7747.178</w:t>
            </w:r>
          </w:p>
        </w:tc>
        <w:tc>
          <w:tcPr>
            <w:tcW w:w="2010" w:type="pct"/>
          </w:tcPr>
          <w:p w14:paraId="1C992D86" w14:textId="5D0D5C34"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2B4CAEBE" w14:textId="77777777" w:rsidTr="00F77A75">
        <w:trPr>
          <w:trHeight w:val="288"/>
        </w:trPr>
        <w:tc>
          <w:tcPr>
            <w:tcW w:w="2156" w:type="pct"/>
          </w:tcPr>
          <w:p w14:paraId="737612B0"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hospitalization for ADR, AS</w:t>
            </w:r>
          </w:p>
        </w:tc>
        <w:tc>
          <w:tcPr>
            <w:tcW w:w="834" w:type="pct"/>
          </w:tcPr>
          <w:p w14:paraId="13B7E8DE"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508.834</w:t>
            </w:r>
          </w:p>
        </w:tc>
        <w:tc>
          <w:tcPr>
            <w:tcW w:w="2010" w:type="pct"/>
          </w:tcPr>
          <w:p w14:paraId="116D5B1A" w14:textId="12D122F4"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4025E8F3" w14:textId="77777777" w:rsidTr="00F77A75">
        <w:trPr>
          <w:trHeight w:val="288"/>
        </w:trPr>
        <w:tc>
          <w:tcPr>
            <w:tcW w:w="2156" w:type="pct"/>
          </w:tcPr>
          <w:p w14:paraId="37D86EA3"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ED visit for ADR, AS</w:t>
            </w:r>
          </w:p>
        </w:tc>
        <w:tc>
          <w:tcPr>
            <w:tcW w:w="834" w:type="pct"/>
          </w:tcPr>
          <w:p w14:paraId="0519453A"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499.596</w:t>
            </w:r>
          </w:p>
        </w:tc>
        <w:tc>
          <w:tcPr>
            <w:tcW w:w="2010" w:type="pct"/>
          </w:tcPr>
          <w:p w14:paraId="358165AA" w14:textId="570EEE8D"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75012F72" w14:textId="77777777" w:rsidTr="00F77A75">
        <w:trPr>
          <w:trHeight w:val="288"/>
        </w:trPr>
        <w:tc>
          <w:tcPr>
            <w:tcW w:w="2156" w:type="pct"/>
          </w:tcPr>
          <w:p w14:paraId="096682FB"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ED visit for ADR, AS</w:t>
            </w:r>
          </w:p>
        </w:tc>
        <w:tc>
          <w:tcPr>
            <w:tcW w:w="834" w:type="pct"/>
          </w:tcPr>
          <w:p w14:paraId="3CBB7C59"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42.604</w:t>
            </w:r>
          </w:p>
        </w:tc>
        <w:tc>
          <w:tcPr>
            <w:tcW w:w="2010" w:type="pct"/>
          </w:tcPr>
          <w:p w14:paraId="7F9E3FC4" w14:textId="75FB2EC1"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50FD8F8B" w14:textId="77777777" w:rsidTr="00F77A75">
        <w:trPr>
          <w:trHeight w:val="288"/>
        </w:trPr>
        <w:tc>
          <w:tcPr>
            <w:tcW w:w="2156" w:type="pct"/>
          </w:tcPr>
          <w:p w14:paraId="49862252"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outpatient visit for ADR, AS</w:t>
            </w:r>
          </w:p>
        </w:tc>
        <w:tc>
          <w:tcPr>
            <w:tcW w:w="834" w:type="pct"/>
          </w:tcPr>
          <w:p w14:paraId="39DF9202"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140.591</w:t>
            </w:r>
          </w:p>
        </w:tc>
        <w:tc>
          <w:tcPr>
            <w:tcW w:w="2010" w:type="pct"/>
          </w:tcPr>
          <w:p w14:paraId="50F137FC" w14:textId="173852CC"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3F6A4721" w14:textId="77777777" w:rsidTr="00F77A75">
        <w:trPr>
          <w:trHeight w:val="288"/>
        </w:trPr>
        <w:tc>
          <w:tcPr>
            <w:tcW w:w="2156" w:type="pct"/>
          </w:tcPr>
          <w:p w14:paraId="2A78AEE6"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outpatient visit for ADR, AS</w:t>
            </w:r>
          </w:p>
        </w:tc>
        <w:tc>
          <w:tcPr>
            <w:tcW w:w="834" w:type="pct"/>
          </w:tcPr>
          <w:p w14:paraId="72DA7A81"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30.800</w:t>
            </w:r>
          </w:p>
        </w:tc>
        <w:tc>
          <w:tcPr>
            <w:tcW w:w="2010" w:type="pct"/>
          </w:tcPr>
          <w:p w14:paraId="429A959C" w14:textId="64E15365"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1FF8C527" w14:textId="77777777" w:rsidTr="00F77A75">
        <w:trPr>
          <w:trHeight w:val="288"/>
        </w:trPr>
        <w:tc>
          <w:tcPr>
            <w:tcW w:w="2156" w:type="pct"/>
          </w:tcPr>
          <w:p w14:paraId="6B37A570"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hospitalization for ADR, GAS</w:t>
            </w:r>
          </w:p>
        </w:tc>
        <w:tc>
          <w:tcPr>
            <w:tcW w:w="834" w:type="pct"/>
          </w:tcPr>
          <w:p w14:paraId="50D29B78"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8122.610</w:t>
            </w:r>
          </w:p>
        </w:tc>
        <w:tc>
          <w:tcPr>
            <w:tcW w:w="2010" w:type="pct"/>
          </w:tcPr>
          <w:p w14:paraId="3AA32615" w14:textId="191E3BFC"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2061F3C9" w14:textId="77777777" w:rsidTr="00F77A75">
        <w:trPr>
          <w:trHeight w:val="288"/>
        </w:trPr>
        <w:tc>
          <w:tcPr>
            <w:tcW w:w="2156" w:type="pct"/>
          </w:tcPr>
          <w:p w14:paraId="25B0349F"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hospitalization for ADR, GAS</w:t>
            </w:r>
          </w:p>
        </w:tc>
        <w:tc>
          <w:tcPr>
            <w:tcW w:w="834" w:type="pct"/>
          </w:tcPr>
          <w:p w14:paraId="73DF8E3A"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533.493</w:t>
            </w:r>
          </w:p>
        </w:tc>
        <w:tc>
          <w:tcPr>
            <w:tcW w:w="2010" w:type="pct"/>
          </w:tcPr>
          <w:p w14:paraId="6260386F" w14:textId="0AF3535D"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63F270B4" w14:textId="77777777" w:rsidTr="00F77A75">
        <w:trPr>
          <w:trHeight w:val="288"/>
        </w:trPr>
        <w:tc>
          <w:tcPr>
            <w:tcW w:w="2156" w:type="pct"/>
          </w:tcPr>
          <w:p w14:paraId="68D22A5A"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ED visit for ADR, GAS</w:t>
            </w:r>
          </w:p>
        </w:tc>
        <w:tc>
          <w:tcPr>
            <w:tcW w:w="834" w:type="pct"/>
          </w:tcPr>
          <w:p w14:paraId="61AFB1B5"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501.624</w:t>
            </w:r>
          </w:p>
        </w:tc>
        <w:tc>
          <w:tcPr>
            <w:tcW w:w="2010" w:type="pct"/>
          </w:tcPr>
          <w:p w14:paraId="2C4165FD" w14:textId="102436B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58517185" w14:textId="77777777" w:rsidTr="00F77A75">
        <w:trPr>
          <w:trHeight w:val="288"/>
        </w:trPr>
        <w:tc>
          <w:tcPr>
            <w:tcW w:w="2156" w:type="pct"/>
          </w:tcPr>
          <w:p w14:paraId="66DA8267"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ED visit for ADR, GAS</w:t>
            </w:r>
          </w:p>
        </w:tc>
        <w:tc>
          <w:tcPr>
            <w:tcW w:w="834" w:type="pct"/>
          </w:tcPr>
          <w:p w14:paraId="67C9A187"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39.508</w:t>
            </w:r>
          </w:p>
        </w:tc>
        <w:tc>
          <w:tcPr>
            <w:tcW w:w="2010" w:type="pct"/>
          </w:tcPr>
          <w:p w14:paraId="3D469867" w14:textId="2293B02F"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0F2FB818" w14:textId="77777777" w:rsidTr="00F77A75">
        <w:trPr>
          <w:trHeight w:val="288"/>
        </w:trPr>
        <w:tc>
          <w:tcPr>
            <w:tcW w:w="2156" w:type="pct"/>
          </w:tcPr>
          <w:p w14:paraId="477CEDCF"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Payer cost, outpatient visit for ADR, GAS</w:t>
            </w:r>
          </w:p>
        </w:tc>
        <w:tc>
          <w:tcPr>
            <w:tcW w:w="834" w:type="pct"/>
          </w:tcPr>
          <w:p w14:paraId="1EBBE6A8"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139.852</w:t>
            </w:r>
          </w:p>
        </w:tc>
        <w:tc>
          <w:tcPr>
            <w:tcW w:w="2010" w:type="pct"/>
          </w:tcPr>
          <w:p w14:paraId="298C874F" w14:textId="5F5B7DE6"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301A3D64" w14:textId="77777777" w:rsidTr="00F77A75">
        <w:trPr>
          <w:trHeight w:val="288"/>
        </w:trPr>
        <w:tc>
          <w:tcPr>
            <w:tcW w:w="2156" w:type="pct"/>
          </w:tcPr>
          <w:p w14:paraId="34B634C1"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OOP cost, outpatient visit for ADR, GAS</w:t>
            </w:r>
          </w:p>
        </w:tc>
        <w:tc>
          <w:tcPr>
            <w:tcW w:w="834" w:type="pct"/>
          </w:tcPr>
          <w:p w14:paraId="4D12A741"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33.385</w:t>
            </w:r>
          </w:p>
        </w:tc>
        <w:tc>
          <w:tcPr>
            <w:tcW w:w="2010" w:type="pct"/>
          </w:tcPr>
          <w:p w14:paraId="5FA74BF7" w14:textId="335E6D9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MEPS (2019)</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{"citationItems":[{"id":"ITEM-1","itemData":{"URL":"https://meps.ahrq.gov/mepsweb/data_stats/download_data_files.jsp","author":[{"dropping-particle":"","family":"AHRQ (Agency for Healthcare Hesearch and Quality)","given":"","non-dropping-particle":"","parse-names":false,"suffix":""}],"container-title":"2019","id":"ITEM-1","issued":{"date-parts":[["0"]]},"title":"MEPS: Medical Expenditure Panel Survey 2006–2015 data","type":"webpage"},"uris":["http://www.mendeley.com/documents/?uuid=82a2790d-fc86-4620-a1c6-01ba830a2c60"]}],"mendeley":{"formattedCitation":"[22]","plainTextFormattedCitation":"[22]","previouslyFormattedCitation":"[22]"},"properties":{"noteIndex":0},"schema":"https://github.com/citation-style-language/schema/raw/master/csl-citation.json"}</w:instrText>
            </w:r>
            <w:r w:rsidRPr="00162BE6">
              <w:rPr>
                <w:rFonts w:cstheme="minorHAnsi"/>
                <w:color w:val="000000"/>
              </w:rPr>
              <w:fldChar w:fldCharType="separate"/>
            </w:r>
            <w:r w:rsidR="00425455">
              <w:rPr>
                <w:rFonts w:asciiTheme="minorHAnsi" w:hAnsiTheme="minorHAnsi" w:cstheme="minorHAnsi"/>
                <w:color w:val="000000"/>
                <w:sz w:val="22"/>
              </w:rPr>
              <w:t>[13]</w:t>
            </w:r>
            <w:r w:rsidRPr="00162BE6">
              <w:rPr>
                <w:rFonts w:cstheme="minorHAnsi"/>
                <w:color w:val="000000"/>
              </w:rPr>
              <w:fldChar w:fldCharType="end"/>
            </w:r>
          </w:p>
        </w:tc>
      </w:tr>
      <w:tr w:rsidR="00433DF3" w:rsidRPr="00162BE6" w14:paraId="38D3F19E" w14:textId="77777777" w:rsidTr="00F77A75">
        <w:trPr>
          <w:trHeight w:val="288"/>
        </w:trPr>
        <w:tc>
          <w:tcPr>
            <w:tcW w:w="5000" w:type="pct"/>
            <w:gridSpan w:val="3"/>
            <w:shd w:val="clear" w:color="auto" w:fill="F2F2F2" w:themeFill="background1" w:themeFillShade="F2"/>
          </w:tcPr>
          <w:p w14:paraId="79B1E610" w14:textId="77777777" w:rsidR="00433DF3" w:rsidRPr="00162BE6" w:rsidRDefault="00433DF3" w:rsidP="00162BE6">
            <w:pPr>
              <w:pStyle w:val="TableText-IPR"/>
              <w:rPr>
                <w:rFonts w:asciiTheme="minorHAnsi" w:hAnsiTheme="minorHAnsi" w:cstheme="minorHAnsi"/>
                <w:b/>
                <w:sz w:val="22"/>
                <w:szCs w:val="22"/>
              </w:rPr>
            </w:pPr>
            <w:r w:rsidRPr="00162BE6">
              <w:rPr>
                <w:rFonts w:asciiTheme="minorHAnsi" w:hAnsiTheme="minorHAnsi" w:cstheme="minorHAnsi"/>
                <w:b/>
                <w:sz w:val="22"/>
                <w:szCs w:val="22"/>
              </w:rPr>
              <w:t>Productivity Parameters</w:t>
            </w:r>
          </w:p>
        </w:tc>
      </w:tr>
      <w:tr w:rsidR="00433DF3" w:rsidRPr="00162BE6" w14:paraId="5E3D865B" w14:textId="77777777" w:rsidTr="00F77A75">
        <w:trPr>
          <w:trHeight w:val="288"/>
        </w:trPr>
        <w:tc>
          <w:tcPr>
            <w:tcW w:w="2156" w:type="pct"/>
          </w:tcPr>
          <w:p w14:paraId="35E91357"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Missed school days</w:t>
            </w:r>
          </w:p>
        </w:tc>
        <w:tc>
          <w:tcPr>
            <w:tcW w:w="834" w:type="pct"/>
          </w:tcPr>
          <w:p w14:paraId="4997BB62"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1.522</w:t>
            </w:r>
          </w:p>
        </w:tc>
        <w:tc>
          <w:tcPr>
            <w:tcW w:w="2010" w:type="pct"/>
          </w:tcPr>
          <w:p w14:paraId="5CFC8314" w14:textId="5C07C8E2" w:rsidR="00433DF3" w:rsidRPr="00162BE6"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 xml:space="preserve">Adams et al. (1999)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{"citationItems":[{"id":"ITEM-1","itemData":{"author":[{"dropping-particle":"","family":"Adams","given":"P. F.","non-dropping-particle":"","parse-names":false,"suffix":""},{"dropping-particle":"","family":"Hendershot","given":"G. E.","non-dropping-particle":"","parse-names":false,"suffix":""},{"dropping-particle":"","family":"Marano","given":"M. A.","non-dropping-particle":"","parse-names":false,"suffix":""}],"container-title":"Centers for Disease Control and Prevention Public Health Publications","id":"ITEM-1","issued":{"date-parts":[["1999"]]},"title":"Current estimates from the National Health Interview Survey, 1996","type":"report"},"uris":["http://www.mendeley.com/documents/?uuid=11a3566c-ee0e-4304-8ad7-4efe7816ce20"]}],"mendeley":{"formattedCitation":"[43]","plainTextFormattedCitation":"[43]","previouslyFormattedCitation":"[43]"},"properties":{"noteIndex":0},"schema":"https://github.com/citation-style-language/schema/raw/master/csl-citation.json"}</w:instrText>
            </w:r>
            <w:r w:rsidRPr="00162BE6">
              <w:rPr>
                <w:rFonts w:cstheme="minorHAnsi"/>
                <w:color w:val="000000"/>
              </w:rPr>
              <w:fldChar w:fldCharType="separate"/>
            </w:r>
            <w:r w:rsidRPr="00386225">
              <w:rPr>
                <w:rFonts w:asciiTheme="minorHAnsi" w:hAnsiTheme="minorHAnsi" w:cstheme="minorHAnsi"/>
                <w:color w:val="000000"/>
                <w:sz w:val="22"/>
              </w:rPr>
              <w:t>[</w:t>
            </w:r>
            <w:r w:rsidR="00323560">
              <w:rPr>
                <w:rFonts w:asciiTheme="minorHAnsi" w:hAnsiTheme="minorHAnsi" w:cstheme="minorHAnsi"/>
                <w:color w:val="000000"/>
                <w:sz w:val="22"/>
              </w:rPr>
              <w:t>1</w:t>
            </w:r>
            <w:r w:rsidR="00C071C3">
              <w:rPr>
                <w:rFonts w:asciiTheme="minorHAnsi" w:hAnsiTheme="minorHAnsi" w:cstheme="minorHAnsi"/>
                <w:color w:val="000000"/>
                <w:sz w:val="22"/>
              </w:rPr>
              <w:t>2</w:t>
            </w:r>
            <w:r w:rsidRPr="00386225">
              <w:rPr>
                <w:rFonts w:asciiTheme="minorHAnsi" w:hAnsiTheme="minorHAnsi" w:cstheme="minorHAnsi"/>
                <w:color w:val="000000"/>
                <w:sz w:val="22"/>
              </w:rPr>
              <w:t>]</w:t>
            </w:r>
            <w:r w:rsidRPr="00162BE6">
              <w:rPr>
                <w:rFonts w:cstheme="minorHAnsi"/>
                <w:color w:val="000000"/>
              </w:rPr>
              <w:fldChar w:fldCharType="end"/>
            </w:r>
          </w:p>
        </w:tc>
      </w:tr>
      <w:tr w:rsidR="00433DF3" w:rsidRPr="00162BE6" w14:paraId="12174E14" w14:textId="77777777" w:rsidTr="00F77A75">
        <w:trPr>
          <w:trHeight w:val="288"/>
        </w:trPr>
        <w:tc>
          <w:tcPr>
            <w:tcW w:w="2156" w:type="pct"/>
          </w:tcPr>
          <w:p w14:paraId="79584711"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Travel time for visit</w:t>
            </w:r>
          </w:p>
        </w:tc>
        <w:tc>
          <w:tcPr>
            <w:tcW w:w="834" w:type="pct"/>
          </w:tcPr>
          <w:p w14:paraId="4AAB5A9A"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0.83</w:t>
            </w:r>
          </w:p>
        </w:tc>
        <w:tc>
          <w:tcPr>
            <w:tcW w:w="2010" w:type="pct"/>
          </w:tcPr>
          <w:p w14:paraId="2ABF9080" w14:textId="148FD971"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Ray et al. (2015)</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{"citationItems":[{"id":"ITEM-1","itemData":{"ISSN":"10880224","abstract":"OBJECTIVES The typical focus in discussions of healthcare spending is on direct medical costs such as physician reimbursement. The indirect costs of healthcare-patient opportunity costs associated with seeking care, for example-have not been adequately quantified. We aimed to quantify the opportunity costs for adults seeking medical care for themselves or others. STUDY DESIGN Secondary analysis of the 2003-2010 American Time Use Survey (ATUS). METHODS We used the nationally representative 2003-2010 ATUS to estimate opportunity costs associated with ambulatory medical visits. We estimated opportunity costs for employed adults using self-reported hourly wages and for unemployed adults using a Heckman selection model. We used the Medical Expenditure Panel Survey to compare opportunity costs with direct costs (ie, patient out-of-pocket, provider reimbursement) in 2010. RESULTS Average total time per visit was 121 minutes (95% CI, 118-124), with 37 minutes (95% CI, 36-39) of travel time and 84 minutes (95% CI, 81-86) of clinic time. The average opportunity cost per visit was $43, which exceeds the average patient's out-of-pocket payment. Total opportunity costs per year for all physician visits in the United States were $52 billion in 2010. For every dollar spent in visit reimbursement, an additional 15 cents were spent in opportunity costs. CONCLUSIONS In the United States, opportunity costs associated with ambulatory medical care are substantial. Accounting for patient opportunity costs is important for examining US healthcare system efficiency and for evaluating methods to improve the efficient delivery of patient-centered care.","author":[{"dropping-particle":"","family":"Ray","given":"Kristin N.","non-dropping-particle":"","parse-names":false,"suffix":""},{"dropping-particle":"V.","family":"Chari","given":"Amalavoyal","non-dropping-particle":"","parse-names":false,"suffix":""},{"dropping-particle":"","family":"Engberg","given":"John","non-dropping-particle":"","parse-names":false,"suffix":""},{"dropping-particle":"","family":"Bertolet","given":"Marnie","non-dropping-particle":"","parse-names":false,"suffix":""},{"dropping-particle":"","family":"Mehrotra","given":"Ateev","non-dropping-particle":"","parse-names":false,"suffix":""}],"container-title":"American Journal of Managed Care","id":"ITEM-1","issue":"8","issued":{"date-parts":[["2015"]]},"page":"567-574","title":"Opportunity costs of ambulatory medical care in the United States","type":"article-journal","volume":"21"},"uris":["http://www.mendeley.com/documents/?uuid=5752449e-8900-44da-ab08-db0158f06e2e"]}],"mendeley":{"formattedCitation":"[24]","plainTextFormattedCitation":"[24]","previouslyFormattedCitation":"[24]"},"properties":{"noteIndex":0},"schema":"https://github.com/citation-style-language/schema/raw/master/csl-citation.json"}</w:instrText>
            </w:r>
            <w:r w:rsidRPr="00162BE6">
              <w:rPr>
                <w:rFonts w:cstheme="minorHAnsi"/>
                <w:color w:val="000000"/>
              </w:rPr>
              <w:fldChar w:fldCharType="separate"/>
            </w:r>
            <w:r w:rsidRPr="00B26598">
              <w:rPr>
                <w:rFonts w:asciiTheme="minorHAnsi" w:hAnsiTheme="minorHAnsi" w:cstheme="minorHAnsi"/>
                <w:color w:val="000000"/>
                <w:sz w:val="22"/>
              </w:rPr>
              <w:t>[2</w:t>
            </w:r>
            <w:r w:rsidR="00323560">
              <w:rPr>
                <w:rFonts w:asciiTheme="minorHAnsi" w:hAnsiTheme="minorHAnsi" w:cstheme="minorHAnsi"/>
                <w:color w:val="000000"/>
                <w:sz w:val="22"/>
              </w:rPr>
              <w:t>6</w:t>
            </w:r>
            <w:r w:rsidRPr="00B26598">
              <w:rPr>
                <w:rFonts w:asciiTheme="minorHAnsi" w:hAnsiTheme="minorHAnsi" w:cstheme="minorHAnsi"/>
                <w:color w:val="000000"/>
                <w:sz w:val="22"/>
              </w:rPr>
              <w:t>]</w:t>
            </w:r>
            <w:r w:rsidRPr="00162BE6">
              <w:rPr>
                <w:rFonts w:cstheme="minorHAnsi"/>
                <w:color w:val="000000"/>
              </w:rPr>
              <w:fldChar w:fldCharType="end"/>
            </w:r>
          </w:p>
        </w:tc>
      </w:tr>
      <w:tr w:rsidR="00433DF3" w:rsidRPr="00162BE6" w14:paraId="1C3B2D2D" w14:textId="77777777" w:rsidTr="00F77A75">
        <w:trPr>
          <w:trHeight w:val="288"/>
        </w:trPr>
        <w:tc>
          <w:tcPr>
            <w:tcW w:w="2156" w:type="pct"/>
          </w:tcPr>
          <w:p w14:paraId="231B04FF"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Travel cost</w:t>
            </w:r>
          </w:p>
        </w:tc>
        <w:tc>
          <w:tcPr>
            <w:tcW w:w="834" w:type="pct"/>
          </w:tcPr>
          <w:p w14:paraId="5E9B7929" w14:textId="77777777"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$15.67</w:t>
            </w:r>
          </w:p>
        </w:tc>
        <w:tc>
          <w:tcPr>
            <w:tcW w:w="2010" w:type="pct"/>
          </w:tcPr>
          <w:p w14:paraId="0D840186" w14:textId="188E9E25" w:rsidR="00433DF3" w:rsidRPr="00854503" w:rsidRDefault="00433DF3" w:rsidP="00162BE6">
            <w:pPr>
              <w:spacing w:after="0" w:line="240" w:lineRule="auto"/>
              <w:ind w:left="60"/>
              <w:rPr>
                <w:rFonts w:asciiTheme="minorHAnsi" w:hAnsiTheme="minorHAnsi" w:cstheme="minorHAnsi"/>
                <w:color w:val="000000"/>
                <w:sz w:val="22"/>
              </w:rPr>
            </w:pPr>
            <w:proofErr w:type="spellStart"/>
            <w:r w:rsidRPr="00854503">
              <w:rPr>
                <w:rFonts w:asciiTheme="minorHAnsi" w:hAnsiTheme="minorHAnsi" w:cstheme="minorHAnsi"/>
                <w:color w:val="000000"/>
                <w:sz w:val="22"/>
              </w:rPr>
              <w:t>Schmier</w:t>
            </w:r>
            <w:proofErr w:type="spellEnd"/>
            <w:r w:rsidRPr="00854503">
              <w:rPr>
                <w:rFonts w:asciiTheme="minorHAnsi" w:hAnsiTheme="minorHAnsi" w:cstheme="minorHAnsi"/>
                <w:color w:val="000000"/>
                <w:sz w:val="22"/>
              </w:rPr>
              <w:t xml:space="preserve"> et al. (2017)</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{"citationItems":[{"id":"ITEM-1","itemData":{"DOI":"10.1016/j.clinthera.2017.06.007","ISSN":"1879114X","abstract":"Purpose Many hospital-based infusion centers treat patients with rheumatoid arthritis (RA) with intravenous biologic agents, yet may have a limited understanding of the overall costs of infusion in this setting. The purposes of this study were to conduct a microcosting analysis from a hospital perspective and to develop a model using an activity-based costing approach for estimating costs associated with the provision of hospital-based infusion services (preparation, administration, and follow-up) in the United States for maintenance treatment of moderate to severe RA. Methods A spreadsheet-based model was developed. Inputs included hourly wages, time spent providing care, supply/overhead costs, laboratory testing, infusion center size, and practice pattern information. Base-case values were derived from data from surveys, published studies, standard cost sources, and expert opinion. Costs are presented in year-2017 US dollars. The base case modeled a hospital infusion center serving patients with RA treated with abatacept, tocilizumab, infliximab, or rituximab. Findings Estimated overall costs of infusions per patient per year were $36,663 (rituximab), $36,821 (tocilizumab), $44,973 (infliximab), and $46,532 (abatacept). Of all therapies, the biologic agents represented the greatest share of overall costs, ranging from 87% to $91% of overall costs per year. Excluding infusion drug costs, labor accounted for 53% to 57% of infusion costs. Implications Biologic agents represented the highest single cost associated with RA infusion care; however, personnel, supplies, and overhead costs also contributed substantially to overall costs (8%–16%). This model may provide a helpful and adaptable framework for use by hospitals in informing decision making about services offered and their associated financial implications.","author":[{"dropping-particle":"","family":"Schmier","given":"Jordana","non-dropping-particle":"","parse-names":false,"suffix":""},{"dropping-particle":"","family":"Ogden","given":"Kristine","non-dropping-particle":"","parse-names":false,"suffix":""},{"dropping-particle":"","family":"Nickman","given":"Nancy","non-dropping-particle":"","parse-names":false,"suffix":""},{"dropping-particle":"","family":"Halpern","given":"Michael T.","non-dropping-particle":"","parse-names":false,"suffix":""},{"dropping-particle":"","family":"Cifaldi","given":"Mary","non-dropping-particle":"","parse-names":false,"suffix":""},{"dropping-particle":"","family":"Ganguli","given":"Arijit","non-dropping-particle":"","parse-names":false,"suffix":""},{"dropping-particle":"","family":"Bao","given":"Yanjun","non-dropping-particle":"","parse-names":false,"suffix":""},{"dropping-particle":"","family":"Garg","given":"Vishvas","non-dropping-particle":"","parse-names":false,"suffix":""}],"container-title":"Clinical Therapeutics","id":"ITEM-1","issue":"8","issued":{"date-parts":[["2017"]]},"page":"1600-1617","publisher":"Elsevier HS Journals, Inc.","title":"Costs of Providing Infusion Therapy for Rheumatoid Arthritis in a Hospital-based Infusion Center Setting","type":"article-journal","volume":"39"},"uris":["http://www.mendeley.com/documents/?uuid=f916bae3-f850-4420-86e3-0a898d41bb7f"]}],"mendeley":{"formattedCitation":"[25]","plainTextFormattedCitation":"[25]","previouslyFormattedCitation":"[25]"},"properties":{"noteIndex":0},"schema":"https://github.com/citation-style-language/schema/raw/master/csl-citation.json"}</w:instrText>
            </w:r>
            <w:r w:rsidRPr="00162BE6">
              <w:rPr>
                <w:rFonts w:cstheme="minorHAnsi"/>
                <w:color w:val="000000"/>
              </w:rPr>
              <w:fldChar w:fldCharType="separate"/>
            </w:r>
            <w:r w:rsidRPr="00B26598">
              <w:rPr>
                <w:rFonts w:asciiTheme="minorHAnsi" w:hAnsiTheme="minorHAnsi" w:cstheme="minorHAnsi"/>
                <w:color w:val="000000"/>
                <w:sz w:val="22"/>
              </w:rPr>
              <w:t>[2</w:t>
            </w:r>
            <w:r w:rsidR="00323560">
              <w:rPr>
                <w:rFonts w:asciiTheme="minorHAnsi" w:hAnsiTheme="minorHAnsi" w:cstheme="minorHAnsi"/>
                <w:color w:val="000000"/>
                <w:sz w:val="22"/>
              </w:rPr>
              <w:t>7</w:t>
            </w:r>
            <w:r w:rsidRPr="00B26598">
              <w:rPr>
                <w:rFonts w:asciiTheme="minorHAnsi" w:hAnsiTheme="minorHAnsi" w:cstheme="minorHAnsi"/>
                <w:color w:val="000000"/>
                <w:sz w:val="22"/>
              </w:rPr>
              <w:t>]</w:t>
            </w:r>
            <w:r w:rsidRPr="00162BE6">
              <w:rPr>
                <w:rFonts w:cstheme="minorHAnsi"/>
                <w:color w:val="000000"/>
              </w:rPr>
              <w:fldChar w:fldCharType="end"/>
            </w:r>
          </w:p>
        </w:tc>
      </w:tr>
      <w:tr w:rsidR="00433DF3" w:rsidRPr="00162BE6" w14:paraId="36CAC0D6" w14:textId="77777777" w:rsidTr="00F77A75">
        <w:trPr>
          <w:trHeight w:val="288"/>
        </w:trPr>
        <w:tc>
          <w:tcPr>
            <w:tcW w:w="2156" w:type="pct"/>
          </w:tcPr>
          <w:p w14:paraId="2540D35E"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Paid work hours per day per adult with own child</w:t>
            </w:r>
          </w:p>
        </w:tc>
        <w:tc>
          <w:tcPr>
            <w:tcW w:w="834" w:type="pct"/>
          </w:tcPr>
          <w:p w14:paraId="42F98395"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5.51</w:t>
            </w:r>
          </w:p>
        </w:tc>
        <w:tc>
          <w:tcPr>
            <w:tcW w:w="2010" w:type="pct"/>
          </w:tcPr>
          <w:p w14:paraId="7939BB13" w14:textId="7279290A" w:rsidR="00433DF3" w:rsidRPr="00162BE6"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U.S. DOL BLA (2018</w:t>
            </w:r>
            <w:r w:rsidR="00323560">
              <w:rPr>
                <w:rFonts w:asciiTheme="minorHAnsi" w:hAnsiTheme="minorHAnsi" w:cstheme="minorHAnsi"/>
                <w:color w:val="000000"/>
                <w:sz w:val="22"/>
              </w:rPr>
              <w:t>a</w:t>
            </w:r>
            <w:r w:rsidRPr="00854503">
              <w:rPr>
                <w:rFonts w:asciiTheme="minorHAnsi" w:hAnsiTheme="minorHAnsi" w:cstheme="minorHAnsi"/>
                <w:color w:val="000000"/>
                <w:sz w:val="22"/>
              </w:rPr>
              <w:t>)</w:t>
            </w:r>
            <w:r>
              <w:rPr>
                <w:rFonts w:asciiTheme="minorHAnsi" w:hAnsiTheme="minorHAnsi" w:cstheme="minorHAnsi"/>
                <w:color w:val="000000"/>
                <w:sz w:val="22"/>
              </w:rPr>
              <w:t xml:space="preserve"> </w:t>
            </w:r>
            <w:r w:rsidRPr="00162BE6">
              <w:rPr>
                <w:rFonts w:cstheme="minorHAnsi"/>
                <w:color w:val="000000"/>
              </w:rPr>
              <w:fldChar w:fldCharType="begin" w:fldLock="1"/>
            </w:r>
            <w:r>
              <w:rPr>
                <w:rFonts w:asciiTheme="minorHAnsi" w:hAnsiTheme="minorHAnsi" w:cstheme="minorHAnsi"/>
                <w:color w:val="000000"/>
                <w:sz w:val="22"/>
              </w:rPr>
              <w:instrText>ADDIN CSL_CITATION {"citationItems":[{"id":"ITEM-1","itemData":{"URL":"https://www.bls.gov/charts/employment-situation/civilian-labor-force-participation-rate.htm","author":[{"dropping-particle":"","family":"BLS DOL","given":"","non-dropping-particle":"","parse-names":false,"suffix":""}],"id":"ITEM-1","issued":{"date-parts":[["2018"]]},"title":"Civilian labor force participation rate, seasonally adjusted total for all months in 2018 [News release chart]","type":"webpage"},"uris":["http://www.mendeley.com/documents/?uuid=0dcbb881-53f3-44b6-a937-131ca120f5a7"]}],"mendeley":{"formattedCitation":"[41]","plainTextFormattedCitation":"[41]","previouslyFormattedCitation":"[41]"},"properties":{"noteIndex":0},"schema":"https://github.com/citation-style-language/schema/raw/master/csl-citation.json"}</w:instrText>
            </w:r>
            <w:r w:rsidRPr="00162BE6">
              <w:rPr>
                <w:rFonts w:cstheme="minorHAnsi"/>
                <w:color w:val="000000"/>
              </w:rPr>
              <w:fldChar w:fldCharType="separate"/>
            </w:r>
            <w:r w:rsidRPr="00386225">
              <w:rPr>
                <w:rFonts w:asciiTheme="minorHAnsi" w:hAnsiTheme="minorHAnsi" w:cstheme="minorHAnsi"/>
                <w:color w:val="000000"/>
                <w:sz w:val="22"/>
              </w:rPr>
              <w:t>[</w:t>
            </w:r>
            <w:r w:rsidR="00323560">
              <w:rPr>
                <w:rFonts w:asciiTheme="minorHAnsi" w:hAnsiTheme="minorHAnsi" w:cstheme="minorHAnsi"/>
                <w:color w:val="000000"/>
                <w:sz w:val="22"/>
              </w:rPr>
              <w:t>28</w:t>
            </w:r>
            <w:r w:rsidRPr="00386225">
              <w:rPr>
                <w:rFonts w:asciiTheme="minorHAnsi" w:hAnsiTheme="minorHAnsi" w:cstheme="minorHAnsi"/>
                <w:color w:val="000000"/>
                <w:sz w:val="22"/>
              </w:rPr>
              <w:t>]</w:t>
            </w:r>
            <w:r w:rsidRPr="00162BE6">
              <w:rPr>
                <w:rFonts w:cstheme="minorHAnsi"/>
                <w:color w:val="000000"/>
              </w:rPr>
              <w:fldChar w:fldCharType="end"/>
            </w:r>
          </w:p>
        </w:tc>
      </w:tr>
      <w:tr w:rsidR="00433DF3" w:rsidRPr="00162BE6" w14:paraId="0EEB8F5B" w14:textId="77777777" w:rsidTr="00F77A75">
        <w:trPr>
          <w:trHeight w:val="288"/>
        </w:trPr>
        <w:tc>
          <w:tcPr>
            <w:tcW w:w="2156" w:type="pct"/>
          </w:tcPr>
          <w:p w14:paraId="1B54B22D"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Average hourly wage ($)</w:t>
            </w:r>
          </w:p>
        </w:tc>
        <w:tc>
          <w:tcPr>
            <w:tcW w:w="834" w:type="pct"/>
          </w:tcPr>
          <w:p w14:paraId="1B44396C" w14:textId="77777777" w:rsidR="00433DF3" w:rsidRPr="00854503" w:rsidRDefault="00433DF3" w:rsidP="00162BE6">
            <w:pPr>
              <w:spacing w:after="0" w:line="240" w:lineRule="auto"/>
              <w:ind w:left="60"/>
              <w:rPr>
                <w:rFonts w:asciiTheme="minorHAnsi" w:hAnsiTheme="minorHAnsi" w:cstheme="minorHAnsi"/>
                <w:color w:val="000000"/>
                <w:sz w:val="22"/>
              </w:rPr>
            </w:pPr>
            <w:r w:rsidRPr="00854503">
              <w:rPr>
                <w:rFonts w:asciiTheme="minorHAnsi" w:hAnsiTheme="minorHAnsi" w:cstheme="minorHAnsi"/>
                <w:color w:val="000000"/>
                <w:sz w:val="22"/>
              </w:rPr>
              <w:t>$29.95</w:t>
            </w:r>
          </w:p>
        </w:tc>
        <w:tc>
          <w:tcPr>
            <w:tcW w:w="2010" w:type="pct"/>
          </w:tcPr>
          <w:p w14:paraId="235BAC3E" w14:textId="538ECE74" w:rsidR="00433DF3" w:rsidRPr="00162BE6" w:rsidRDefault="00433DF3" w:rsidP="00162BE6">
            <w:pPr>
              <w:spacing w:after="0" w:line="240" w:lineRule="auto"/>
              <w:ind w:left="60"/>
              <w:rPr>
                <w:rFonts w:asciiTheme="minorHAnsi" w:hAnsiTheme="minorHAnsi" w:cstheme="minorHAnsi"/>
                <w:color w:val="000000"/>
                <w:sz w:val="22"/>
              </w:rPr>
            </w:pPr>
            <w:r w:rsidRPr="00162BE6">
              <w:rPr>
                <w:rFonts w:asciiTheme="minorHAnsi" w:hAnsiTheme="minorHAnsi" w:cstheme="minorHAnsi"/>
                <w:color w:val="000000"/>
                <w:sz w:val="22"/>
              </w:rPr>
              <w:t>U.S. DOL BLA (2018</w:t>
            </w:r>
            <w:r w:rsidR="00323560">
              <w:rPr>
                <w:rFonts w:asciiTheme="minorHAnsi" w:hAnsiTheme="minorHAnsi" w:cstheme="minorHAnsi"/>
                <w:color w:val="000000"/>
                <w:sz w:val="22"/>
              </w:rPr>
              <w:t>b</w:t>
            </w:r>
            <w:r w:rsidRPr="00162BE6">
              <w:rPr>
                <w:rFonts w:asciiTheme="minorHAnsi" w:hAnsiTheme="minorHAnsi" w:cstheme="minorHAnsi"/>
                <w:color w:val="000000"/>
                <w:sz w:val="22"/>
              </w:rPr>
              <w:t xml:space="preserve">) </w:t>
            </w:r>
            <w:r w:rsidRPr="00162BE6">
              <w:rPr>
                <w:rFonts w:cstheme="minorHAnsi"/>
                <w:color w:val="000000"/>
              </w:rPr>
              <w:fldChar w:fldCharType="begin" w:fldLock="1"/>
            </w:r>
            <w:r w:rsidRPr="00162BE6">
              <w:rPr>
                <w:rFonts w:asciiTheme="minorHAnsi" w:hAnsiTheme="minorHAnsi" w:cstheme="minorHAnsi"/>
                <w:color w:val="000000"/>
                <w:sz w:val="22"/>
              </w:rPr>
              <w:instrText>ADDIN CSL_CITATION {"citationItems":[{"id":"ITEM-1","itemData":{"URL":"https://beta.bls.gov/dataViewer/view/timeseries/LEU0252881500","accessed":{"date-parts":[["2020","4","9"]]},"author":[{"dropping-particle":"","family":"U.S. DOL BLS (Department of Labor","given":"Bureau of Labor Statistics)","non-dropping-particle":"","parse-names":false,"suffix":""}],"container-title":"BLS data viewer","id":"ITEM-1","issued":{"date-parts":[["2018"]]},"title":"Current Population Survey","type":"webpage"},"uris":["http://www.mendeley.com/documents/?uuid=8d925da1-0c0c-39ea-b15c-5e92f757eb6e"]}],"mendeley":{"formattedCitation":"[26]","plainTextFormattedCitation":"[26]","previouslyFormattedCitation":"[26]"},"properties":{"noteIndex":0},"schema":"https://github.com/citation-style-language/schema/raw/master/csl-citation.json"}</w:instrText>
            </w:r>
            <w:r w:rsidRPr="00162BE6">
              <w:rPr>
                <w:rFonts w:cstheme="minorHAnsi"/>
                <w:color w:val="000000"/>
              </w:rPr>
              <w:fldChar w:fldCharType="separate"/>
            </w:r>
            <w:r w:rsidRPr="00162BE6">
              <w:rPr>
                <w:rFonts w:asciiTheme="minorHAnsi" w:hAnsiTheme="minorHAnsi" w:cstheme="minorHAnsi"/>
                <w:color w:val="000000"/>
                <w:sz w:val="22"/>
              </w:rPr>
              <w:t>[2</w:t>
            </w:r>
            <w:r w:rsidR="00323560">
              <w:rPr>
                <w:rFonts w:asciiTheme="minorHAnsi" w:hAnsiTheme="minorHAnsi" w:cstheme="minorHAnsi"/>
                <w:color w:val="000000"/>
                <w:sz w:val="22"/>
              </w:rPr>
              <w:t>9</w:t>
            </w:r>
            <w:r w:rsidRPr="00162BE6">
              <w:rPr>
                <w:rFonts w:asciiTheme="minorHAnsi" w:hAnsiTheme="minorHAnsi" w:cstheme="minorHAnsi"/>
                <w:color w:val="000000"/>
                <w:sz w:val="22"/>
              </w:rPr>
              <w:t>]</w:t>
            </w:r>
            <w:r w:rsidRPr="00162BE6">
              <w:rPr>
                <w:rFonts w:cstheme="minorHAnsi"/>
                <w:color w:val="000000"/>
              </w:rPr>
              <w:fldChar w:fldCharType="end"/>
            </w:r>
          </w:p>
        </w:tc>
      </w:tr>
    </w:tbl>
    <w:p w14:paraId="7DE75ECF" w14:textId="77777777" w:rsidR="00433DF3" w:rsidRPr="00A06D5C" w:rsidRDefault="00433DF3" w:rsidP="00433DF3">
      <w:pPr>
        <w:pStyle w:val="FtnteTable-IPR"/>
        <w:spacing w:before="0"/>
        <w:rPr>
          <w:rFonts w:asciiTheme="minorHAnsi" w:hAnsiTheme="minorHAnsi" w:cstheme="minorHAnsi"/>
          <w:sz w:val="20"/>
        </w:rPr>
      </w:pPr>
      <w:r w:rsidRPr="00A06D5C">
        <w:rPr>
          <w:rFonts w:asciiTheme="minorHAnsi" w:hAnsiTheme="minorHAnsi" w:cstheme="minorHAnsi"/>
          <w:sz w:val="20"/>
        </w:rPr>
        <w:t xml:space="preserve">Notes: ADR = adverse drug reaction; AS = acute sinusitis; ED = emergency department; GAS = Group A streptococcal pharyngitis; </w:t>
      </w:r>
      <w:proofErr w:type="spellStart"/>
      <w:r w:rsidRPr="00A06D5C">
        <w:rPr>
          <w:rFonts w:asciiTheme="minorHAnsi" w:hAnsiTheme="minorHAnsi" w:cstheme="minorHAnsi"/>
          <w:sz w:val="20"/>
        </w:rPr>
        <w:t>mo</w:t>
      </w:r>
      <w:proofErr w:type="spellEnd"/>
      <w:r w:rsidRPr="00A06D5C">
        <w:rPr>
          <w:rFonts w:asciiTheme="minorHAnsi" w:hAnsiTheme="minorHAnsi" w:cstheme="minorHAnsi"/>
          <w:sz w:val="20"/>
        </w:rPr>
        <w:t xml:space="preserve"> = month(s); OM = otitis media; OOP = out of pocket; pop = population; prob = probability; risk diff = risk difference; TF = treatment failure; </w:t>
      </w:r>
      <w:proofErr w:type="spellStart"/>
      <w:r w:rsidRPr="00A06D5C">
        <w:rPr>
          <w:rFonts w:asciiTheme="minorHAnsi" w:hAnsiTheme="minorHAnsi" w:cstheme="minorHAnsi"/>
          <w:sz w:val="20"/>
        </w:rPr>
        <w:t>yr</w:t>
      </w:r>
      <w:proofErr w:type="spellEnd"/>
      <w:r w:rsidRPr="00A06D5C">
        <w:rPr>
          <w:rFonts w:asciiTheme="minorHAnsi" w:hAnsiTheme="minorHAnsi" w:cstheme="minorHAnsi"/>
          <w:sz w:val="20"/>
        </w:rPr>
        <w:t xml:space="preserve"> = year(s)</w:t>
      </w:r>
    </w:p>
    <w:p w14:paraId="302D39B7" w14:textId="77777777" w:rsidR="00433DF3" w:rsidRPr="00A06D5C" w:rsidRDefault="00433DF3" w:rsidP="00433DF3">
      <w:pPr>
        <w:pStyle w:val="FtnteTable-IPR"/>
        <w:spacing w:before="0"/>
        <w:rPr>
          <w:rFonts w:asciiTheme="minorHAnsi" w:hAnsiTheme="minorHAnsi" w:cstheme="minorHAnsi"/>
          <w:b/>
          <w:i/>
          <w:sz w:val="20"/>
        </w:rPr>
      </w:pPr>
      <w:r w:rsidRPr="00A06D5C">
        <w:rPr>
          <w:rFonts w:asciiTheme="minorHAnsi" w:hAnsiTheme="minorHAnsi" w:cstheme="minorHAnsi"/>
          <w:sz w:val="20"/>
        </w:rPr>
        <w:t xml:space="preserve">Negative risk difference means broad spectrum is associated with lower risk of ADR or TF. </w:t>
      </w:r>
    </w:p>
    <w:p w14:paraId="520BE78A" w14:textId="77777777" w:rsidR="00433DF3" w:rsidRPr="00854503" w:rsidRDefault="00433DF3" w:rsidP="00433DF3">
      <w:pPr>
        <w:rPr>
          <w:rFonts w:eastAsia="Times New Roman" w:cstheme="minorHAnsi"/>
          <w:b/>
          <w:i/>
        </w:rPr>
      </w:pPr>
      <w:r w:rsidRPr="00854503">
        <w:rPr>
          <w:rFonts w:cstheme="minorHAnsi"/>
        </w:rPr>
        <w:br w:type="page"/>
      </w:r>
    </w:p>
    <w:p w14:paraId="2DBE6C9B" w14:textId="77777777" w:rsidR="00433DF3" w:rsidRDefault="00433DF3" w:rsidP="00433DF3">
      <w:pPr>
        <w:pStyle w:val="AppTableTitle-IPR"/>
        <w:spacing w:before="240"/>
        <w:rPr>
          <w:rFonts w:asciiTheme="minorHAnsi" w:hAnsiTheme="minorHAnsi" w:cstheme="minorHAnsi"/>
          <w:szCs w:val="22"/>
        </w:rPr>
        <w:sectPr w:rsidR="00433DF3" w:rsidSect="003B0EAB">
          <w:footerReference w:type="default" r:id="rId7"/>
          <w:pgSz w:w="12240" w:h="15840"/>
          <w:pgMar w:top="1440" w:right="1440" w:bottom="1440" w:left="1440" w:header="720" w:footer="720" w:gutter="0"/>
          <w:pgNumType w:start="1"/>
          <w:cols w:space="720"/>
          <w:docGrid w:linePitch="360"/>
        </w:sectPr>
      </w:pPr>
    </w:p>
    <w:p w14:paraId="7D59371E" w14:textId="77777777" w:rsidR="00433DF3" w:rsidRPr="00854503" w:rsidRDefault="00433DF3" w:rsidP="00433DF3">
      <w:pPr>
        <w:pStyle w:val="AppTableTitle-IPR"/>
        <w:spacing w:before="240"/>
        <w:rPr>
          <w:rFonts w:asciiTheme="minorHAnsi" w:hAnsiTheme="minorHAnsi" w:cstheme="minorHAnsi"/>
          <w:szCs w:val="22"/>
        </w:rPr>
      </w:pPr>
      <w:r w:rsidRPr="00854503">
        <w:rPr>
          <w:rFonts w:asciiTheme="minorHAnsi" w:hAnsiTheme="minorHAnsi" w:cstheme="minorHAnsi"/>
          <w:szCs w:val="22"/>
        </w:rPr>
        <w:lastRenderedPageBreak/>
        <w:t>Table A-2. Ranges Used for One-Way Sensitivity Analysis and Distributions Used for Probabilistic Sensitivity Analysis</w:t>
      </w:r>
    </w:p>
    <w:tbl>
      <w:tblPr>
        <w:tblStyle w:val="InsightTable"/>
        <w:tblW w:w="0" w:type="auto"/>
        <w:tblLayout w:type="fixed"/>
        <w:tblCellMar>
          <w:left w:w="29" w:type="dxa"/>
          <w:right w:w="29" w:type="dxa"/>
        </w:tblCellMar>
        <w:tblLook w:val="04A0" w:firstRow="1" w:lastRow="0" w:firstColumn="1" w:lastColumn="0" w:noHBand="0" w:noVBand="1"/>
      </w:tblPr>
      <w:tblGrid>
        <w:gridCol w:w="4892"/>
        <w:gridCol w:w="1170"/>
        <w:gridCol w:w="1042"/>
        <w:gridCol w:w="1085"/>
        <w:gridCol w:w="985"/>
        <w:gridCol w:w="1028"/>
        <w:gridCol w:w="900"/>
        <w:gridCol w:w="1800"/>
      </w:tblGrid>
      <w:tr w:rsidR="00433DF3" w:rsidRPr="00854503" w14:paraId="4CD86BD9" w14:textId="77777777" w:rsidTr="00377D8B">
        <w:trPr>
          <w:cnfStyle w:val="100000000000" w:firstRow="1" w:lastRow="0" w:firstColumn="0" w:lastColumn="0" w:oddVBand="0" w:evenVBand="0" w:oddHBand="0" w:evenHBand="0" w:firstRowFirstColumn="0" w:firstRowLastColumn="0" w:lastRowFirstColumn="0" w:lastRowLastColumn="0"/>
          <w:trHeight w:val="360"/>
          <w:tblHeader/>
        </w:trPr>
        <w:tc>
          <w:tcPr>
            <w:tcW w:w="4892" w:type="dxa"/>
            <w:tcBorders>
              <w:top w:val="single" w:sz="8" w:space="0" w:color="auto"/>
              <w:bottom w:val="single" w:sz="8" w:space="0" w:color="auto"/>
            </w:tcBorders>
            <w:shd w:val="clear" w:color="auto" w:fill="auto"/>
            <w:noWrap/>
          </w:tcPr>
          <w:p w14:paraId="62A47EAB" w14:textId="77777777" w:rsidR="00433DF3" w:rsidRPr="00854503" w:rsidRDefault="00433DF3" w:rsidP="00C071C3">
            <w:pPr>
              <w:spacing w:after="0" w:line="240" w:lineRule="auto"/>
              <w:contextualSpacing/>
              <w:rPr>
                <w:rFonts w:asciiTheme="minorHAnsi" w:eastAsia="Times New Roman" w:hAnsiTheme="minorHAnsi" w:cstheme="minorHAnsi"/>
                <w:b/>
                <w:bCs/>
                <w:sz w:val="22"/>
              </w:rPr>
            </w:pPr>
            <w:r w:rsidRPr="00854503">
              <w:rPr>
                <w:rFonts w:asciiTheme="minorHAnsi" w:eastAsia="Times New Roman" w:hAnsiTheme="minorHAnsi" w:cstheme="minorHAnsi"/>
                <w:b/>
                <w:sz w:val="22"/>
              </w:rPr>
              <w:t>Study Population Parameters</w:t>
            </w:r>
          </w:p>
        </w:tc>
        <w:tc>
          <w:tcPr>
            <w:tcW w:w="1170" w:type="dxa"/>
            <w:tcBorders>
              <w:top w:val="single" w:sz="8" w:space="0" w:color="auto"/>
              <w:bottom w:val="single" w:sz="8" w:space="0" w:color="auto"/>
            </w:tcBorders>
            <w:shd w:val="clear" w:color="auto" w:fill="auto"/>
          </w:tcPr>
          <w:p w14:paraId="5B9C613A" w14:textId="77777777" w:rsidR="00433DF3" w:rsidRPr="00854503" w:rsidRDefault="00433DF3" w:rsidP="00C071C3">
            <w:pPr>
              <w:spacing w:after="0" w:line="240" w:lineRule="auto"/>
              <w:contextualSpacing/>
              <w:rPr>
                <w:rFonts w:eastAsia="Times New Roman" w:cstheme="minorHAnsi"/>
                <w:b/>
                <w:bCs/>
              </w:rPr>
            </w:pPr>
            <w:r w:rsidRPr="00854503">
              <w:rPr>
                <w:rFonts w:asciiTheme="minorHAnsi" w:eastAsia="Times New Roman" w:hAnsiTheme="minorHAnsi" w:cstheme="minorHAnsi"/>
                <w:b/>
                <w:sz w:val="22"/>
              </w:rPr>
              <w:t>Default</w:t>
            </w:r>
          </w:p>
        </w:tc>
        <w:tc>
          <w:tcPr>
            <w:tcW w:w="2127" w:type="dxa"/>
            <w:gridSpan w:val="2"/>
            <w:tcBorders>
              <w:top w:val="single" w:sz="8" w:space="0" w:color="auto"/>
              <w:bottom w:val="single" w:sz="8" w:space="0" w:color="auto"/>
            </w:tcBorders>
            <w:shd w:val="clear" w:color="auto" w:fill="auto"/>
          </w:tcPr>
          <w:p w14:paraId="194AD89F" w14:textId="77777777" w:rsidR="00433DF3" w:rsidRPr="00854503" w:rsidRDefault="00433DF3" w:rsidP="00C071C3">
            <w:pPr>
              <w:spacing w:after="0" w:line="240" w:lineRule="auto"/>
              <w:contextualSpacing/>
              <w:rPr>
                <w:rFonts w:asciiTheme="minorHAnsi" w:eastAsia="Times New Roman" w:hAnsiTheme="minorHAnsi" w:cstheme="minorHAnsi"/>
                <w:b/>
                <w:bCs/>
                <w:sz w:val="22"/>
              </w:rPr>
            </w:pPr>
            <w:r w:rsidRPr="00854503">
              <w:rPr>
                <w:rFonts w:asciiTheme="minorHAnsi" w:eastAsia="Times New Roman" w:hAnsiTheme="minorHAnsi" w:cstheme="minorHAnsi"/>
                <w:b/>
                <w:sz w:val="22"/>
              </w:rPr>
              <w:t>&lt; Range &gt;</w:t>
            </w:r>
          </w:p>
        </w:tc>
        <w:tc>
          <w:tcPr>
            <w:tcW w:w="985" w:type="dxa"/>
            <w:tcBorders>
              <w:top w:val="single" w:sz="8" w:space="0" w:color="auto"/>
              <w:bottom w:val="single" w:sz="8" w:space="0" w:color="auto"/>
            </w:tcBorders>
            <w:shd w:val="clear" w:color="auto" w:fill="auto"/>
            <w:noWrap/>
          </w:tcPr>
          <w:p w14:paraId="67650A7A" w14:textId="77777777" w:rsidR="00433DF3" w:rsidRPr="00854503" w:rsidRDefault="00433DF3" w:rsidP="00C071C3">
            <w:pPr>
              <w:spacing w:after="0" w:line="240" w:lineRule="auto"/>
              <w:contextualSpacing/>
              <w:rPr>
                <w:rFonts w:asciiTheme="minorHAnsi" w:eastAsia="Times New Roman" w:hAnsiTheme="minorHAnsi" w:cstheme="minorHAnsi"/>
                <w:b/>
                <w:sz w:val="22"/>
              </w:rPr>
            </w:pPr>
            <w:r w:rsidRPr="00854503">
              <w:rPr>
                <w:rFonts w:asciiTheme="minorHAnsi" w:eastAsia="Times New Roman" w:hAnsiTheme="minorHAnsi" w:cstheme="minorHAnsi"/>
                <w:b/>
                <w:sz w:val="22"/>
              </w:rPr>
              <w:t>SE</w:t>
            </w:r>
          </w:p>
        </w:tc>
        <w:tc>
          <w:tcPr>
            <w:tcW w:w="1028" w:type="dxa"/>
            <w:tcBorders>
              <w:top w:val="single" w:sz="8" w:space="0" w:color="auto"/>
              <w:bottom w:val="single" w:sz="8" w:space="0" w:color="auto"/>
            </w:tcBorders>
            <w:shd w:val="clear" w:color="auto" w:fill="auto"/>
            <w:noWrap/>
          </w:tcPr>
          <w:p w14:paraId="2A4FC56F" w14:textId="77777777" w:rsidR="00433DF3" w:rsidRPr="00854503" w:rsidRDefault="00433DF3" w:rsidP="00C071C3">
            <w:pPr>
              <w:spacing w:after="0" w:line="240" w:lineRule="auto"/>
              <w:contextualSpacing/>
              <w:rPr>
                <w:rFonts w:asciiTheme="minorHAnsi" w:eastAsia="Times New Roman" w:hAnsiTheme="minorHAnsi" w:cstheme="minorHAnsi"/>
                <w:b/>
                <w:sz w:val="22"/>
              </w:rPr>
            </w:pPr>
            <w:r w:rsidRPr="00854503">
              <w:rPr>
                <w:rFonts w:asciiTheme="minorHAnsi" w:eastAsia="Times New Roman" w:hAnsiTheme="minorHAnsi" w:cstheme="minorHAnsi"/>
                <w:b/>
                <w:sz w:val="22"/>
              </w:rPr>
              <w:t>alpha</w:t>
            </w:r>
          </w:p>
        </w:tc>
        <w:tc>
          <w:tcPr>
            <w:tcW w:w="900" w:type="dxa"/>
            <w:tcBorders>
              <w:top w:val="single" w:sz="8" w:space="0" w:color="auto"/>
              <w:bottom w:val="single" w:sz="8" w:space="0" w:color="auto"/>
            </w:tcBorders>
            <w:shd w:val="clear" w:color="auto" w:fill="auto"/>
            <w:noWrap/>
          </w:tcPr>
          <w:p w14:paraId="5156085E" w14:textId="77777777" w:rsidR="00433DF3" w:rsidRPr="00854503" w:rsidRDefault="00433DF3" w:rsidP="00C071C3">
            <w:pPr>
              <w:spacing w:after="0" w:line="240" w:lineRule="auto"/>
              <w:contextualSpacing/>
              <w:rPr>
                <w:rFonts w:asciiTheme="minorHAnsi" w:eastAsia="Times New Roman" w:hAnsiTheme="minorHAnsi" w:cstheme="minorHAnsi"/>
                <w:b/>
                <w:sz w:val="22"/>
              </w:rPr>
            </w:pPr>
            <w:r w:rsidRPr="00854503">
              <w:rPr>
                <w:rFonts w:asciiTheme="minorHAnsi" w:eastAsia="Times New Roman" w:hAnsiTheme="minorHAnsi" w:cstheme="minorHAnsi"/>
                <w:b/>
                <w:sz w:val="22"/>
              </w:rPr>
              <w:t>beta</w:t>
            </w:r>
          </w:p>
        </w:tc>
        <w:tc>
          <w:tcPr>
            <w:tcW w:w="1800" w:type="dxa"/>
            <w:tcBorders>
              <w:top w:val="single" w:sz="8" w:space="0" w:color="auto"/>
              <w:bottom w:val="single" w:sz="8" w:space="0" w:color="auto"/>
            </w:tcBorders>
            <w:shd w:val="clear" w:color="auto" w:fill="auto"/>
            <w:noWrap/>
          </w:tcPr>
          <w:p w14:paraId="6C8BDE34" w14:textId="77777777" w:rsidR="00433DF3" w:rsidRPr="00854503" w:rsidRDefault="00433DF3" w:rsidP="00C071C3">
            <w:pPr>
              <w:spacing w:after="0" w:line="240" w:lineRule="auto"/>
              <w:ind w:left="-45" w:right="-96"/>
              <w:contextualSpacing/>
              <w:rPr>
                <w:rFonts w:asciiTheme="minorHAnsi" w:eastAsia="Times New Roman" w:hAnsiTheme="minorHAnsi" w:cstheme="minorHAnsi"/>
                <w:b/>
                <w:sz w:val="22"/>
              </w:rPr>
            </w:pPr>
            <w:r w:rsidRPr="00854503">
              <w:rPr>
                <w:rFonts w:asciiTheme="minorHAnsi" w:eastAsia="Times New Roman" w:hAnsiTheme="minorHAnsi" w:cstheme="minorHAnsi"/>
                <w:b/>
                <w:sz w:val="22"/>
              </w:rPr>
              <w:t>Distribution</w:t>
            </w:r>
          </w:p>
        </w:tc>
      </w:tr>
      <w:tr w:rsidR="00433DF3" w:rsidRPr="00854503" w14:paraId="28EDFC3E" w14:textId="77777777" w:rsidTr="00377D8B">
        <w:trPr>
          <w:trHeight w:val="288"/>
        </w:trPr>
        <w:tc>
          <w:tcPr>
            <w:tcW w:w="12902" w:type="dxa"/>
            <w:gridSpan w:val="8"/>
            <w:tcBorders>
              <w:top w:val="single" w:sz="8" w:space="0" w:color="auto"/>
            </w:tcBorders>
            <w:shd w:val="clear" w:color="auto" w:fill="F2F2F2" w:themeFill="background1" w:themeFillShade="F2"/>
            <w:noWrap/>
            <w:hideMark/>
          </w:tcPr>
          <w:p w14:paraId="25AE4085" w14:textId="77777777" w:rsidR="00433DF3" w:rsidRPr="00854503" w:rsidRDefault="00433DF3" w:rsidP="00C071C3">
            <w:pPr>
              <w:spacing w:after="0" w:line="240" w:lineRule="auto"/>
              <w:contextualSpacing/>
              <w:rPr>
                <w:rFonts w:asciiTheme="minorHAnsi" w:eastAsia="Times New Roman" w:hAnsiTheme="minorHAnsi" w:cstheme="minorHAnsi"/>
                <w:sz w:val="22"/>
              </w:rPr>
            </w:pPr>
            <w:r w:rsidRPr="00854503">
              <w:rPr>
                <w:rFonts w:asciiTheme="minorHAnsi" w:eastAsia="Times New Roman" w:hAnsiTheme="minorHAnsi" w:cstheme="minorHAnsi"/>
                <w:b/>
                <w:bCs/>
                <w:sz w:val="22"/>
              </w:rPr>
              <w:t>Annual Incidence of Acute Respiratory Tract Infection, per 100 Children</w:t>
            </w:r>
          </w:p>
        </w:tc>
      </w:tr>
      <w:tr w:rsidR="00433DF3" w:rsidRPr="00C071C3" w14:paraId="1964109F" w14:textId="77777777" w:rsidTr="00C071C3">
        <w:trPr>
          <w:trHeight w:val="288"/>
        </w:trPr>
        <w:tc>
          <w:tcPr>
            <w:tcW w:w="4892" w:type="dxa"/>
            <w:noWrap/>
          </w:tcPr>
          <w:p w14:paraId="4CF2ACC4" w14:textId="77777777" w:rsidR="00433DF3" w:rsidRPr="00C071C3" w:rsidRDefault="00433DF3" w:rsidP="00C071C3">
            <w:pPr>
              <w:spacing w:after="0" w:line="240" w:lineRule="auto"/>
              <w:contextualSpacing/>
              <w:rPr>
                <w:rFonts w:asciiTheme="minorHAnsi" w:hAnsiTheme="minorHAnsi" w:cstheme="minorHAnsi"/>
                <w:color w:val="000000"/>
                <w:sz w:val="22"/>
              </w:rPr>
            </w:pPr>
            <w:r w:rsidRPr="00C071C3">
              <w:rPr>
                <w:rFonts w:cstheme="minorHAnsi"/>
                <w:color w:val="000000"/>
                <w:sz w:val="22"/>
              </w:rPr>
              <w:t xml:space="preserve">OM infections in children 6 </w:t>
            </w:r>
            <w:proofErr w:type="spellStart"/>
            <w:r w:rsidRPr="00C071C3">
              <w:rPr>
                <w:rFonts w:cstheme="minorHAnsi"/>
                <w:color w:val="000000"/>
                <w:sz w:val="22"/>
              </w:rPr>
              <w:t>mo</w:t>
            </w:r>
            <w:proofErr w:type="spellEnd"/>
            <w:r w:rsidRPr="00C071C3">
              <w:rPr>
                <w:rFonts w:cstheme="minorHAnsi"/>
                <w:color w:val="000000"/>
                <w:sz w:val="22"/>
              </w:rPr>
              <w:t xml:space="preserve"> to &lt; 2 </w:t>
            </w:r>
            <w:proofErr w:type="spellStart"/>
            <w:r w:rsidRPr="00C071C3">
              <w:rPr>
                <w:rFonts w:cstheme="minorHAnsi"/>
                <w:color w:val="000000"/>
                <w:sz w:val="22"/>
              </w:rPr>
              <w:t>yr</w:t>
            </w:r>
            <w:proofErr w:type="spellEnd"/>
          </w:p>
        </w:tc>
        <w:tc>
          <w:tcPr>
            <w:tcW w:w="1170" w:type="dxa"/>
            <w:noWrap/>
          </w:tcPr>
          <w:p w14:paraId="14DAB7AB"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50.10</w:t>
            </w:r>
          </w:p>
        </w:tc>
        <w:tc>
          <w:tcPr>
            <w:tcW w:w="1042" w:type="dxa"/>
            <w:noWrap/>
          </w:tcPr>
          <w:p w14:paraId="25C4D425"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41.40</w:t>
            </w:r>
          </w:p>
        </w:tc>
        <w:tc>
          <w:tcPr>
            <w:tcW w:w="1085" w:type="dxa"/>
            <w:noWrap/>
          </w:tcPr>
          <w:p w14:paraId="0B0B4BB0"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58.90</w:t>
            </w:r>
          </w:p>
        </w:tc>
        <w:tc>
          <w:tcPr>
            <w:tcW w:w="985" w:type="dxa"/>
            <w:noWrap/>
          </w:tcPr>
          <w:p w14:paraId="4B6353E9"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4.46</w:t>
            </w:r>
          </w:p>
        </w:tc>
        <w:tc>
          <w:tcPr>
            <w:tcW w:w="1028" w:type="dxa"/>
            <w:noWrap/>
          </w:tcPr>
          <w:p w14:paraId="3C96FB98" w14:textId="77777777" w:rsidR="00433DF3" w:rsidRPr="00C071C3" w:rsidRDefault="00433DF3" w:rsidP="00C071C3">
            <w:pPr>
              <w:spacing w:after="0" w:line="240" w:lineRule="auto"/>
              <w:contextualSpacing/>
              <w:jc w:val="center"/>
              <w:rPr>
                <w:rFonts w:asciiTheme="minorHAnsi" w:eastAsia="Times New Roman" w:hAnsiTheme="minorHAnsi" w:cstheme="minorHAnsi"/>
                <w:sz w:val="22"/>
              </w:rPr>
            </w:pPr>
          </w:p>
        </w:tc>
        <w:tc>
          <w:tcPr>
            <w:tcW w:w="900" w:type="dxa"/>
            <w:noWrap/>
          </w:tcPr>
          <w:p w14:paraId="073EC9EB" w14:textId="77777777" w:rsidR="00433DF3" w:rsidRPr="00C071C3" w:rsidRDefault="00433DF3" w:rsidP="00C071C3">
            <w:pPr>
              <w:spacing w:after="0" w:line="240" w:lineRule="auto"/>
              <w:contextualSpacing/>
              <w:jc w:val="center"/>
              <w:rPr>
                <w:rFonts w:asciiTheme="minorHAnsi" w:eastAsia="Times New Roman" w:hAnsiTheme="minorHAnsi" w:cstheme="minorHAnsi"/>
                <w:sz w:val="22"/>
              </w:rPr>
            </w:pPr>
          </w:p>
        </w:tc>
        <w:tc>
          <w:tcPr>
            <w:tcW w:w="1800" w:type="dxa"/>
            <w:noWrap/>
          </w:tcPr>
          <w:p w14:paraId="0ED4EBBB" w14:textId="77777777" w:rsidR="00433DF3" w:rsidRPr="00C071C3" w:rsidRDefault="00433DF3" w:rsidP="00C071C3">
            <w:pPr>
              <w:spacing w:after="0" w:line="240" w:lineRule="auto"/>
              <w:contextualSpacing/>
              <w:jc w:val="center"/>
              <w:rPr>
                <w:rFonts w:asciiTheme="minorHAnsi" w:hAnsiTheme="minorHAnsi" w:cstheme="minorHAnsi"/>
                <w:color w:val="000000"/>
                <w:sz w:val="22"/>
              </w:rPr>
            </w:pPr>
            <w:r w:rsidRPr="00C071C3">
              <w:rPr>
                <w:rFonts w:cstheme="minorHAnsi"/>
                <w:color w:val="000000"/>
                <w:sz w:val="22"/>
              </w:rPr>
              <w:t>Normal</w:t>
            </w:r>
          </w:p>
        </w:tc>
      </w:tr>
      <w:tr w:rsidR="00433DF3" w:rsidRPr="00C071C3" w14:paraId="2D748681" w14:textId="77777777" w:rsidTr="00C071C3">
        <w:trPr>
          <w:trHeight w:val="288"/>
        </w:trPr>
        <w:tc>
          <w:tcPr>
            <w:tcW w:w="4892" w:type="dxa"/>
            <w:noWrap/>
          </w:tcPr>
          <w:p w14:paraId="2EDE5345" w14:textId="77777777" w:rsidR="00433DF3" w:rsidRPr="00C071C3" w:rsidRDefault="00433DF3" w:rsidP="00C071C3">
            <w:pPr>
              <w:spacing w:after="0" w:line="240" w:lineRule="auto"/>
              <w:contextualSpacing/>
              <w:rPr>
                <w:rFonts w:asciiTheme="minorHAnsi" w:hAnsiTheme="minorHAnsi" w:cstheme="minorHAnsi"/>
                <w:color w:val="000000"/>
                <w:sz w:val="22"/>
              </w:rPr>
            </w:pPr>
            <w:r w:rsidRPr="00C071C3">
              <w:rPr>
                <w:rFonts w:cstheme="minorHAnsi"/>
                <w:color w:val="000000"/>
                <w:sz w:val="22"/>
              </w:rPr>
              <w:t xml:space="preserve">OM infections in children 2 </w:t>
            </w:r>
            <w:proofErr w:type="spellStart"/>
            <w:r w:rsidRPr="00C071C3">
              <w:rPr>
                <w:rFonts w:cstheme="minorHAnsi"/>
                <w:color w:val="000000"/>
                <w:sz w:val="22"/>
              </w:rPr>
              <w:t>yr</w:t>
            </w:r>
            <w:proofErr w:type="spellEnd"/>
            <w:r w:rsidRPr="00C071C3">
              <w:rPr>
                <w:rFonts w:cstheme="minorHAnsi"/>
                <w:color w:val="000000"/>
                <w:sz w:val="22"/>
              </w:rPr>
              <w:t xml:space="preserve"> to &lt; 6 </w:t>
            </w:r>
            <w:proofErr w:type="spellStart"/>
            <w:r w:rsidRPr="00C071C3">
              <w:rPr>
                <w:rFonts w:cstheme="minorHAnsi"/>
                <w:color w:val="000000"/>
                <w:sz w:val="22"/>
              </w:rPr>
              <w:t>yr</w:t>
            </w:r>
            <w:proofErr w:type="spellEnd"/>
          </w:p>
        </w:tc>
        <w:tc>
          <w:tcPr>
            <w:tcW w:w="1170" w:type="dxa"/>
            <w:noWrap/>
          </w:tcPr>
          <w:p w14:paraId="222D37B0"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19.20</w:t>
            </w:r>
          </w:p>
        </w:tc>
        <w:tc>
          <w:tcPr>
            <w:tcW w:w="1042" w:type="dxa"/>
            <w:noWrap/>
          </w:tcPr>
          <w:p w14:paraId="3BBE2890"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15.80</w:t>
            </w:r>
          </w:p>
        </w:tc>
        <w:tc>
          <w:tcPr>
            <w:tcW w:w="1085" w:type="dxa"/>
            <w:noWrap/>
          </w:tcPr>
          <w:p w14:paraId="0926FD0C"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22.60</w:t>
            </w:r>
          </w:p>
        </w:tc>
        <w:tc>
          <w:tcPr>
            <w:tcW w:w="985" w:type="dxa"/>
            <w:noWrap/>
          </w:tcPr>
          <w:p w14:paraId="37C67BF1"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1.73</w:t>
            </w:r>
          </w:p>
        </w:tc>
        <w:tc>
          <w:tcPr>
            <w:tcW w:w="1028" w:type="dxa"/>
            <w:noWrap/>
          </w:tcPr>
          <w:p w14:paraId="548DAA6F" w14:textId="77777777" w:rsidR="00433DF3" w:rsidRPr="00C071C3" w:rsidRDefault="00433DF3" w:rsidP="00C071C3">
            <w:pPr>
              <w:spacing w:after="0" w:line="240" w:lineRule="auto"/>
              <w:contextualSpacing/>
              <w:jc w:val="center"/>
              <w:rPr>
                <w:rFonts w:asciiTheme="minorHAnsi" w:eastAsia="Times New Roman" w:hAnsiTheme="minorHAnsi" w:cstheme="minorHAnsi"/>
                <w:sz w:val="22"/>
              </w:rPr>
            </w:pPr>
          </w:p>
        </w:tc>
        <w:tc>
          <w:tcPr>
            <w:tcW w:w="900" w:type="dxa"/>
            <w:noWrap/>
          </w:tcPr>
          <w:p w14:paraId="59D05504" w14:textId="77777777" w:rsidR="00433DF3" w:rsidRPr="00C071C3" w:rsidRDefault="00433DF3" w:rsidP="00C071C3">
            <w:pPr>
              <w:spacing w:after="0" w:line="240" w:lineRule="auto"/>
              <w:contextualSpacing/>
              <w:jc w:val="center"/>
              <w:rPr>
                <w:rFonts w:asciiTheme="minorHAnsi" w:eastAsia="Times New Roman" w:hAnsiTheme="minorHAnsi" w:cstheme="minorHAnsi"/>
                <w:sz w:val="22"/>
              </w:rPr>
            </w:pPr>
          </w:p>
        </w:tc>
        <w:tc>
          <w:tcPr>
            <w:tcW w:w="1800" w:type="dxa"/>
            <w:noWrap/>
          </w:tcPr>
          <w:p w14:paraId="285A5B7D" w14:textId="77777777" w:rsidR="00433DF3" w:rsidRPr="00C071C3" w:rsidRDefault="00433DF3" w:rsidP="00C071C3">
            <w:pPr>
              <w:spacing w:after="0" w:line="240" w:lineRule="auto"/>
              <w:contextualSpacing/>
              <w:jc w:val="center"/>
              <w:rPr>
                <w:rFonts w:asciiTheme="minorHAnsi" w:hAnsiTheme="minorHAnsi" w:cstheme="minorHAnsi"/>
                <w:color w:val="000000"/>
                <w:sz w:val="22"/>
              </w:rPr>
            </w:pPr>
            <w:r w:rsidRPr="00C071C3">
              <w:rPr>
                <w:rFonts w:cstheme="minorHAnsi"/>
                <w:color w:val="000000"/>
                <w:sz w:val="22"/>
              </w:rPr>
              <w:t>Normal</w:t>
            </w:r>
          </w:p>
        </w:tc>
      </w:tr>
      <w:tr w:rsidR="00433DF3" w:rsidRPr="00C071C3" w14:paraId="4CE2B218" w14:textId="77777777" w:rsidTr="00C071C3">
        <w:trPr>
          <w:trHeight w:val="288"/>
        </w:trPr>
        <w:tc>
          <w:tcPr>
            <w:tcW w:w="4892" w:type="dxa"/>
            <w:noWrap/>
          </w:tcPr>
          <w:p w14:paraId="6A58D043" w14:textId="77777777" w:rsidR="00433DF3" w:rsidRPr="00C071C3" w:rsidRDefault="00433DF3" w:rsidP="00C071C3">
            <w:pPr>
              <w:spacing w:after="0" w:line="240" w:lineRule="auto"/>
              <w:contextualSpacing/>
              <w:rPr>
                <w:rFonts w:asciiTheme="minorHAnsi" w:hAnsiTheme="minorHAnsi" w:cstheme="minorHAnsi"/>
                <w:color w:val="000000"/>
                <w:sz w:val="22"/>
              </w:rPr>
            </w:pPr>
            <w:r w:rsidRPr="00C071C3">
              <w:rPr>
                <w:rFonts w:cstheme="minorHAnsi"/>
                <w:color w:val="000000"/>
                <w:sz w:val="22"/>
              </w:rPr>
              <w:t xml:space="preserve">OM infections in children 6 </w:t>
            </w:r>
            <w:proofErr w:type="spellStart"/>
            <w:r w:rsidRPr="00C071C3">
              <w:rPr>
                <w:rFonts w:cstheme="minorHAnsi"/>
                <w:color w:val="000000"/>
                <w:sz w:val="22"/>
              </w:rPr>
              <w:t>yr</w:t>
            </w:r>
            <w:proofErr w:type="spellEnd"/>
            <w:r w:rsidRPr="00C071C3">
              <w:rPr>
                <w:rFonts w:cstheme="minorHAnsi"/>
                <w:color w:val="000000"/>
                <w:sz w:val="22"/>
              </w:rPr>
              <w:t xml:space="preserve">–12 </w:t>
            </w:r>
            <w:proofErr w:type="spellStart"/>
            <w:r w:rsidRPr="00C071C3">
              <w:rPr>
                <w:rFonts w:cstheme="minorHAnsi"/>
                <w:color w:val="000000"/>
                <w:sz w:val="22"/>
              </w:rPr>
              <w:t>yr</w:t>
            </w:r>
            <w:proofErr w:type="spellEnd"/>
          </w:p>
        </w:tc>
        <w:tc>
          <w:tcPr>
            <w:tcW w:w="1170" w:type="dxa"/>
            <w:noWrap/>
          </w:tcPr>
          <w:p w14:paraId="6C3A8C87"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6.50</w:t>
            </w:r>
          </w:p>
        </w:tc>
        <w:tc>
          <w:tcPr>
            <w:tcW w:w="1042" w:type="dxa"/>
            <w:noWrap/>
          </w:tcPr>
          <w:p w14:paraId="1D2E105B"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5.50</w:t>
            </w:r>
          </w:p>
        </w:tc>
        <w:tc>
          <w:tcPr>
            <w:tcW w:w="1085" w:type="dxa"/>
            <w:noWrap/>
          </w:tcPr>
          <w:p w14:paraId="0B362989"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7.60</w:t>
            </w:r>
          </w:p>
        </w:tc>
        <w:tc>
          <w:tcPr>
            <w:tcW w:w="985" w:type="dxa"/>
            <w:noWrap/>
          </w:tcPr>
          <w:p w14:paraId="37E42245"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0.54</w:t>
            </w:r>
          </w:p>
        </w:tc>
        <w:tc>
          <w:tcPr>
            <w:tcW w:w="1028" w:type="dxa"/>
            <w:noWrap/>
          </w:tcPr>
          <w:p w14:paraId="46037F11" w14:textId="77777777" w:rsidR="00433DF3" w:rsidRPr="00C071C3" w:rsidRDefault="00433DF3" w:rsidP="00C071C3">
            <w:pPr>
              <w:spacing w:after="0" w:line="240" w:lineRule="auto"/>
              <w:contextualSpacing/>
              <w:jc w:val="center"/>
              <w:rPr>
                <w:rFonts w:asciiTheme="minorHAnsi" w:eastAsia="Times New Roman" w:hAnsiTheme="minorHAnsi" w:cstheme="minorHAnsi"/>
                <w:sz w:val="22"/>
              </w:rPr>
            </w:pPr>
          </w:p>
        </w:tc>
        <w:tc>
          <w:tcPr>
            <w:tcW w:w="900" w:type="dxa"/>
            <w:noWrap/>
          </w:tcPr>
          <w:p w14:paraId="0F2E8C64" w14:textId="77777777" w:rsidR="00433DF3" w:rsidRPr="00C071C3" w:rsidRDefault="00433DF3" w:rsidP="00C071C3">
            <w:pPr>
              <w:spacing w:after="0" w:line="240" w:lineRule="auto"/>
              <w:contextualSpacing/>
              <w:jc w:val="center"/>
              <w:rPr>
                <w:rFonts w:asciiTheme="minorHAnsi" w:eastAsia="Times New Roman" w:hAnsiTheme="minorHAnsi" w:cstheme="minorHAnsi"/>
                <w:sz w:val="22"/>
              </w:rPr>
            </w:pPr>
          </w:p>
        </w:tc>
        <w:tc>
          <w:tcPr>
            <w:tcW w:w="1800" w:type="dxa"/>
            <w:noWrap/>
          </w:tcPr>
          <w:p w14:paraId="07CC8A4F" w14:textId="77777777" w:rsidR="00433DF3" w:rsidRPr="00C071C3" w:rsidRDefault="00433DF3" w:rsidP="00C071C3">
            <w:pPr>
              <w:spacing w:after="0" w:line="240" w:lineRule="auto"/>
              <w:contextualSpacing/>
              <w:jc w:val="center"/>
              <w:rPr>
                <w:rFonts w:asciiTheme="minorHAnsi" w:hAnsiTheme="minorHAnsi" w:cstheme="minorHAnsi"/>
                <w:color w:val="000000"/>
                <w:sz w:val="22"/>
              </w:rPr>
            </w:pPr>
            <w:r w:rsidRPr="00C071C3">
              <w:rPr>
                <w:rFonts w:cstheme="minorHAnsi"/>
                <w:color w:val="000000"/>
                <w:sz w:val="22"/>
              </w:rPr>
              <w:t>Normal</w:t>
            </w:r>
          </w:p>
        </w:tc>
      </w:tr>
      <w:tr w:rsidR="00433DF3" w:rsidRPr="00C071C3" w14:paraId="3EDDA2B0" w14:textId="77777777" w:rsidTr="00C071C3">
        <w:trPr>
          <w:trHeight w:val="288"/>
        </w:trPr>
        <w:tc>
          <w:tcPr>
            <w:tcW w:w="4892" w:type="dxa"/>
            <w:noWrap/>
          </w:tcPr>
          <w:p w14:paraId="2FD721CE" w14:textId="77777777" w:rsidR="00433DF3" w:rsidRPr="00C071C3" w:rsidRDefault="00433DF3" w:rsidP="00C071C3">
            <w:pPr>
              <w:spacing w:after="0" w:line="240" w:lineRule="auto"/>
              <w:contextualSpacing/>
              <w:rPr>
                <w:rFonts w:asciiTheme="minorHAnsi" w:hAnsiTheme="minorHAnsi" w:cstheme="minorHAnsi"/>
                <w:color w:val="000000"/>
                <w:sz w:val="22"/>
              </w:rPr>
            </w:pPr>
            <w:r w:rsidRPr="00C071C3">
              <w:rPr>
                <w:rFonts w:asciiTheme="minorHAnsi" w:hAnsiTheme="minorHAnsi" w:cstheme="minorHAnsi"/>
                <w:color w:val="000000"/>
                <w:sz w:val="22"/>
              </w:rPr>
              <w:t xml:space="preserve">AS in children 6 </w:t>
            </w:r>
            <w:proofErr w:type="spellStart"/>
            <w:r w:rsidRPr="00C071C3">
              <w:rPr>
                <w:rFonts w:asciiTheme="minorHAnsi" w:hAnsiTheme="minorHAnsi" w:cstheme="minorHAnsi"/>
                <w:color w:val="000000"/>
                <w:sz w:val="22"/>
              </w:rPr>
              <w:t>mo</w:t>
            </w:r>
            <w:proofErr w:type="spellEnd"/>
            <w:r w:rsidRPr="00C071C3">
              <w:rPr>
                <w:rFonts w:asciiTheme="minorHAnsi" w:hAnsiTheme="minorHAnsi" w:cstheme="minorHAnsi"/>
                <w:color w:val="000000"/>
                <w:sz w:val="22"/>
              </w:rPr>
              <w:t xml:space="preserve"> to 12 </w:t>
            </w:r>
            <w:proofErr w:type="spellStart"/>
            <w:r w:rsidRPr="00C071C3">
              <w:rPr>
                <w:rFonts w:asciiTheme="minorHAnsi" w:hAnsiTheme="minorHAnsi" w:cstheme="minorHAnsi"/>
                <w:color w:val="000000"/>
                <w:sz w:val="22"/>
              </w:rPr>
              <w:t>yr</w:t>
            </w:r>
            <w:proofErr w:type="spellEnd"/>
            <w:r w:rsidRPr="00C071C3">
              <w:rPr>
                <w:rFonts w:asciiTheme="minorHAnsi" w:hAnsiTheme="minorHAnsi" w:cstheme="minorHAnsi"/>
                <w:color w:val="000000"/>
                <w:sz w:val="22"/>
              </w:rPr>
              <w:t xml:space="preserve"> </w:t>
            </w:r>
          </w:p>
        </w:tc>
        <w:tc>
          <w:tcPr>
            <w:tcW w:w="1170" w:type="dxa"/>
            <w:noWrap/>
          </w:tcPr>
          <w:p w14:paraId="6B38A291"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1.13</w:t>
            </w:r>
          </w:p>
        </w:tc>
        <w:tc>
          <w:tcPr>
            <w:tcW w:w="1042" w:type="dxa"/>
            <w:noWrap/>
          </w:tcPr>
          <w:p w14:paraId="76C1807F"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0.79</w:t>
            </w:r>
          </w:p>
        </w:tc>
        <w:tc>
          <w:tcPr>
            <w:tcW w:w="1085" w:type="dxa"/>
            <w:noWrap/>
          </w:tcPr>
          <w:p w14:paraId="786B70A9"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1.43</w:t>
            </w:r>
          </w:p>
        </w:tc>
        <w:tc>
          <w:tcPr>
            <w:tcW w:w="985" w:type="dxa"/>
            <w:noWrap/>
          </w:tcPr>
          <w:p w14:paraId="4CCDEC38"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0.16</w:t>
            </w:r>
          </w:p>
        </w:tc>
        <w:tc>
          <w:tcPr>
            <w:tcW w:w="1028" w:type="dxa"/>
            <w:noWrap/>
          </w:tcPr>
          <w:p w14:paraId="12EBFEAE" w14:textId="77777777" w:rsidR="00433DF3" w:rsidRPr="00C071C3" w:rsidRDefault="00433DF3" w:rsidP="00C071C3">
            <w:pPr>
              <w:spacing w:after="0" w:line="240" w:lineRule="auto"/>
              <w:contextualSpacing/>
              <w:jc w:val="center"/>
              <w:rPr>
                <w:rFonts w:asciiTheme="minorHAnsi" w:eastAsia="Times New Roman" w:hAnsiTheme="minorHAnsi" w:cstheme="minorHAnsi"/>
                <w:sz w:val="22"/>
              </w:rPr>
            </w:pPr>
          </w:p>
        </w:tc>
        <w:tc>
          <w:tcPr>
            <w:tcW w:w="900" w:type="dxa"/>
            <w:noWrap/>
          </w:tcPr>
          <w:p w14:paraId="029626FE" w14:textId="77777777" w:rsidR="00433DF3" w:rsidRPr="00C071C3" w:rsidRDefault="00433DF3" w:rsidP="00C071C3">
            <w:pPr>
              <w:spacing w:after="0" w:line="240" w:lineRule="auto"/>
              <w:contextualSpacing/>
              <w:jc w:val="center"/>
              <w:rPr>
                <w:rFonts w:asciiTheme="minorHAnsi" w:eastAsia="Times New Roman" w:hAnsiTheme="minorHAnsi" w:cstheme="minorHAnsi"/>
                <w:sz w:val="22"/>
              </w:rPr>
            </w:pPr>
          </w:p>
        </w:tc>
        <w:tc>
          <w:tcPr>
            <w:tcW w:w="1800" w:type="dxa"/>
            <w:noWrap/>
          </w:tcPr>
          <w:p w14:paraId="55628037" w14:textId="77777777" w:rsidR="00433DF3" w:rsidRPr="00C071C3" w:rsidRDefault="00433DF3" w:rsidP="00C071C3">
            <w:pPr>
              <w:spacing w:after="0" w:line="240" w:lineRule="auto"/>
              <w:contextualSpacing/>
              <w:jc w:val="center"/>
              <w:rPr>
                <w:rFonts w:asciiTheme="minorHAnsi" w:hAnsiTheme="minorHAnsi" w:cstheme="minorHAnsi"/>
                <w:color w:val="000000"/>
                <w:sz w:val="22"/>
              </w:rPr>
            </w:pPr>
            <w:r w:rsidRPr="00C071C3">
              <w:rPr>
                <w:rFonts w:asciiTheme="minorHAnsi" w:hAnsiTheme="minorHAnsi" w:cstheme="minorHAnsi"/>
                <w:color w:val="000000"/>
                <w:sz w:val="22"/>
              </w:rPr>
              <w:t>Normal</w:t>
            </w:r>
          </w:p>
        </w:tc>
      </w:tr>
      <w:tr w:rsidR="00433DF3" w:rsidRPr="00C071C3" w14:paraId="1EE28B16" w14:textId="77777777" w:rsidTr="00C071C3">
        <w:trPr>
          <w:trHeight w:val="288"/>
        </w:trPr>
        <w:tc>
          <w:tcPr>
            <w:tcW w:w="4892" w:type="dxa"/>
            <w:noWrap/>
          </w:tcPr>
          <w:p w14:paraId="57B70936" w14:textId="77777777" w:rsidR="00433DF3" w:rsidRPr="00C071C3" w:rsidRDefault="00433DF3" w:rsidP="00C071C3">
            <w:pPr>
              <w:spacing w:after="0" w:line="240" w:lineRule="auto"/>
              <w:contextualSpacing/>
              <w:rPr>
                <w:rFonts w:asciiTheme="minorHAnsi" w:hAnsiTheme="minorHAnsi" w:cstheme="minorHAnsi"/>
                <w:color w:val="000000"/>
                <w:sz w:val="22"/>
              </w:rPr>
            </w:pPr>
            <w:r w:rsidRPr="00C071C3">
              <w:rPr>
                <w:rFonts w:asciiTheme="minorHAnsi" w:hAnsiTheme="minorHAnsi" w:cstheme="minorHAnsi"/>
                <w:color w:val="000000"/>
                <w:sz w:val="22"/>
              </w:rPr>
              <w:t xml:space="preserve">GAS in children &gt; 2 </w:t>
            </w:r>
            <w:proofErr w:type="spellStart"/>
            <w:r w:rsidRPr="00C071C3">
              <w:rPr>
                <w:rFonts w:asciiTheme="minorHAnsi" w:hAnsiTheme="minorHAnsi" w:cstheme="minorHAnsi"/>
                <w:color w:val="000000"/>
                <w:sz w:val="22"/>
              </w:rPr>
              <w:t>yr</w:t>
            </w:r>
            <w:proofErr w:type="spellEnd"/>
          </w:p>
        </w:tc>
        <w:tc>
          <w:tcPr>
            <w:tcW w:w="1170" w:type="dxa"/>
            <w:noWrap/>
          </w:tcPr>
          <w:p w14:paraId="23E93D34"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4.95</w:t>
            </w:r>
          </w:p>
        </w:tc>
        <w:tc>
          <w:tcPr>
            <w:tcW w:w="1042" w:type="dxa"/>
            <w:noWrap/>
          </w:tcPr>
          <w:p w14:paraId="45DDAC89"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4.54</w:t>
            </w:r>
          </w:p>
        </w:tc>
        <w:tc>
          <w:tcPr>
            <w:tcW w:w="1085" w:type="dxa"/>
            <w:noWrap/>
          </w:tcPr>
          <w:p w14:paraId="6430E9E5"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5.34</w:t>
            </w:r>
          </w:p>
        </w:tc>
        <w:tc>
          <w:tcPr>
            <w:tcW w:w="985" w:type="dxa"/>
            <w:noWrap/>
          </w:tcPr>
          <w:p w14:paraId="4389E622"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0.20</w:t>
            </w:r>
          </w:p>
        </w:tc>
        <w:tc>
          <w:tcPr>
            <w:tcW w:w="1028" w:type="dxa"/>
            <w:noWrap/>
          </w:tcPr>
          <w:p w14:paraId="1C4E8E6E" w14:textId="77777777" w:rsidR="00433DF3" w:rsidRPr="00C071C3" w:rsidRDefault="00433DF3" w:rsidP="00C071C3">
            <w:pPr>
              <w:spacing w:after="0" w:line="240" w:lineRule="auto"/>
              <w:contextualSpacing/>
              <w:jc w:val="center"/>
              <w:rPr>
                <w:rFonts w:asciiTheme="minorHAnsi" w:eastAsia="Times New Roman" w:hAnsiTheme="minorHAnsi" w:cstheme="minorHAnsi"/>
                <w:sz w:val="22"/>
              </w:rPr>
            </w:pPr>
          </w:p>
        </w:tc>
        <w:tc>
          <w:tcPr>
            <w:tcW w:w="900" w:type="dxa"/>
            <w:noWrap/>
          </w:tcPr>
          <w:p w14:paraId="0CBAD0E7" w14:textId="77777777" w:rsidR="00433DF3" w:rsidRPr="00C071C3" w:rsidRDefault="00433DF3" w:rsidP="00C071C3">
            <w:pPr>
              <w:spacing w:after="0" w:line="240" w:lineRule="auto"/>
              <w:contextualSpacing/>
              <w:jc w:val="center"/>
              <w:rPr>
                <w:rFonts w:asciiTheme="minorHAnsi" w:eastAsia="Times New Roman" w:hAnsiTheme="minorHAnsi" w:cstheme="minorHAnsi"/>
                <w:sz w:val="22"/>
              </w:rPr>
            </w:pPr>
          </w:p>
        </w:tc>
        <w:tc>
          <w:tcPr>
            <w:tcW w:w="1800" w:type="dxa"/>
            <w:noWrap/>
          </w:tcPr>
          <w:p w14:paraId="75ECF792" w14:textId="77777777" w:rsidR="00433DF3" w:rsidRPr="00C071C3" w:rsidRDefault="00433DF3" w:rsidP="00C071C3">
            <w:pPr>
              <w:spacing w:after="0" w:line="240" w:lineRule="auto"/>
              <w:contextualSpacing/>
              <w:jc w:val="center"/>
              <w:rPr>
                <w:rFonts w:asciiTheme="minorHAnsi" w:hAnsiTheme="minorHAnsi" w:cstheme="minorHAnsi"/>
                <w:color w:val="000000"/>
                <w:sz w:val="22"/>
              </w:rPr>
            </w:pPr>
            <w:r w:rsidRPr="00C071C3">
              <w:rPr>
                <w:rFonts w:asciiTheme="minorHAnsi" w:hAnsiTheme="minorHAnsi" w:cstheme="minorHAnsi"/>
                <w:color w:val="000000"/>
                <w:sz w:val="22"/>
              </w:rPr>
              <w:t>Normal</w:t>
            </w:r>
          </w:p>
        </w:tc>
      </w:tr>
      <w:tr w:rsidR="00433DF3" w:rsidRPr="00854503" w14:paraId="06660656" w14:textId="77777777" w:rsidTr="00F77A75">
        <w:trPr>
          <w:trHeight w:val="288"/>
        </w:trPr>
        <w:tc>
          <w:tcPr>
            <w:tcW w:w="12902" w:type="dxa"/>
            <w:gridSpan w:val="8"/>
            <w:shd w:val="clear" w:color="auto" w:fill="F2F2F2" w:themeFill="background1" w:themeFillShade="F2"/>
            <w:noWrap/>
          </w:tcPr>
          <w:p w14:paraId="73FE85F5" w14:textId="77777777" w:rsidR="00433DF3" w:rsidRPr="00854503" w:rsidRDefault="00433DF3" w:rsidP="00C071C3">
            <w:pPr>
              <w:spacing w:after="0" w:line="240" w:lineRule="auto"/>
              <w:contextualSpacing/>
              <w:rPr>
                <w:rFonts w:asciiTheme="minorHAnsi" w:hAnsiTheme="minorHAnsi" w:cstheme="minorHAnsi"/>
                <w:sz w:val="22"/>
              </w:rPr>
            </w:pPr>
            <w:r w:rsidRPr="00854503">
              <w:rPr>
                <w:rFonts w:asciiTheme="minorHAnsi" w:eastAsia="Times New Roman" w:hAnsiTheme="minorHAnsi" w:cstheme="minorHAnsi"/>
                <w:b/>
                <w:bCs/>
                <w:sz w:val="22"/>
              </w:rPr>
              <w:t>Proportion</w:t>
            </w:r>
            <w:r w:rsidRPr="00854503">
              <w:rPr>
                <w:rFonts w:asciiTheme="minorHAnsi" w:eastAsia="Times New Roman" w:hAnsiTheme="minorHAnsi" w:cstheme="minorHAnsi"/>
                <w:b/>
                <w:sz w:val="22"/>
              </w:rPr>
              <w:t xml:space="preserve"> Taking Antibiotics After ARTI Visit</w:t>
            </w:r>
          </w:p>
        </w:tc>
      </w:tr>
      <w:tr w:rsidR="00433DF3" w:rsidRPr="00C071C3" w14:paraId="6219A243" w14:textId="77777777" w:rsidTr="00C071C3">
        <w:trPr>
          <w:trHeight w:val="288"/>
        </w:trPr>
        <w:tc>
          <w:tcPr>
            <w:tcW w:w="4892" w:type="dxa"/>
            <w:noWrap/>
          </w:tcPr>
          <w:p w14:paraId="130DCE50" w14:textId="77777777" w:rsidR="00433DF3" w:rsidRPr="00C071C3" w:rsidRDefault="00433DF3" w:rsidP="00C071C3">
            <w:pPr>
              <w:spacing w:after="0" w:line="240" w:lineRule="auto"/>
              <w:contextualSpacing/>
              <w:rPr>
                <w:rFonts w:asciiTheme="minorHAnsi" w:hAnsiTheme="minorHAnsi" w:cstheme="minorHAnsi"/>
                <w:sz w:val="22"/>
                <w:szCs w:val="24"/>
              </w:rPr>
            </w:pPr>
            <w:r w:rsidRPr="00C071C3">
              <w:rPr>
                <w:rFonts w:cstheme="minorHAnsi"/>
                <w:sz w:val="22"/>
                <w:szCs w:val="24"/>
              </w:rPr>
              <w:t xml:space="preserve">Current practice, OM in children 6 </w:t>
            </w:r>
            <w:proofErr w:type="spellStart"/>
            <w:r w:rsidRPr="00C071C3">
              <w:rPr>
                <w:rFonts w:cstheme="minorHAnsi"/>
                <w:sz w:val="22"/>
                <w:szCs w:val="24"/>
              </w:rPr>
              <w:t>mo</w:t>
            </w:r>
            <w:proofErr w:type="spellEnd"/>
            <w:r w:rsidRPr="00C071C3">
              <w:rPr>
                <w:rFonts w:cstheme="minorHAnsi"/>
                <w:sz w:val="22"/>
                <w:szCs w:val="24"/>
              </w:rPr>
              <w:t xml:space="preserve"> to &lt; 2 </w:t>
            </w:r>
            <w:proofErr w:type="spellStart"/>
            <w:r w:rsidRPr="00C071C3">
              <w:rPr>
                <w:rFonts w:cstheme="minorHAnsi"/>
                <w:sz w:val="22"/>
                <w:szCs w:val="24"/>
              </w:rPr>
              <w:t>yr</w:t>
            </w:r>
            <w:proofErr w:type="spellEnd"/>
          </w:p>
        </w:tc>
        <w:tc>
          <w:tcPr>
            <w:tcW w:w="1170" w:type="dxa"/>
            <w:noWrap/>
          </w:tcPr>
          <w:p w14:paraId="13B087F7"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0.86</w:t>
            </w:r>
          </w:p>
        </w:tc>
        <w:tc>
          <w:tcPr>
            <w:tcW w:w="1042" w:type="dxa"/>
            <w:noWrap/>
          </w:tcPr>
          <w:p w14:paraId="765CCB58"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0.647</w:t>
            </w:r>
          </w:p>
        </w:tc>
        <w:tc>
          <w:tcPr>
            <w:tcW w:w="1085" w:type="dxa"/>
            <w:noWrap/>
          </w:tcPr>
          <w:p w14:paraId="60F1ED25"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1.000</w:t>
            </w:r>
          </w:p>
        </w:tc>
        <w:tc>
          <w:tcPr>
            <w:tcW w:w="985" w:type="dxa"/>
            <w:noWrap/>
          </w:tcPr>
          <w:p w14:paraId="3C23A026"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0.090</w:t>
            </w:r>
          </w:p>
        </w:tc>
        <w:tc>
          <w:tcPr>
            <w:tcW w:w="1028" w:type="dxa"/>
            <w:noWrap/>
          </w:tcPr>
          <w:p w14:paraId="3DC3A760"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12</w:t>
            </w:r>
          </w:p>
        </w:tc>
        <w:tc>
          <w:tcPr>
            <w:tcW w:w="900" w:type="dxa"/>
            <w:noWrap/>
          </w:tcPr>
          <w:p w14:paraId="15F8D1FD"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2</w:t>
            </w:r>
          </w:p>
        </w:tc>
        <w:tc>
          <w:tcPr>
            <w:tcW w:w="1800" w:type="dxa"/>
            <w:noWrap/>
          </w:tcPr>
          <w:p w14:paraId="059C8EA9"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Beta</w:t>
            </w:r>
          </w:p>
        </w:tc>
      </w:tr>
      <w:tr w:rsidR="00433DF3" w:rsidRPr="00C071C3" w14:paraId="720BAF29" w14:textId="77777777" w:rsidTr="00C071C3">
        <w:trPr>
          <w:trHeight w:val="288"/>
        </w:trPr>
        <w:tc>
          <w:tcPr>
            <w:tcW w:w="4892" w:type="dxa"/>
            <w:noWrap/>
          </w:tcPr>
          <w:p w14:paraId="0C72DF60" w14:textId="77777777" w:rsidR="00433DF3" w:rsidRPr="00C071C3" w:rsidRDefault="00433DF3" w:rsidP="00C071C3">
            <w:pPr>
              <w:spacing w:after="0" w:line="240" w:lineRule="auto"/>
              <w:contextualSpacing/>
              <w:rPr>
                <w:rFonts w:asciiTheme="minorHAnsi" w:hAnsiTheme="minorHAnsi" w:cstheme="minorHAnsi"/>
                <w:sz w:val="22"/>
                <w:szCs w:val="24"/>
              </w:rPr>
            </w:pPr>
            <w:r w:rsidRPr="00C071C3">
              <w:rPr>
                <w:rFonts w:cstheme="minorHAnsi"/>
                <w:sz w:val="22"/>
                <w:szCs w:val="24"/>
              </w:rPr>
              <w:t xml:space="preserve">Current practice, AS in children 6 </w:t>
            </w:r>
            <w:proofErr w:type="spellStart"/>
            <w:r w:rsidRPr="00C071C3">
              <w:rPr>
                <w:rFonts w:cstheme="minorHAnsi"/>
                <w:sz w:val="22"/>
                <w:szCs w:val="24"/>
              </w:rPr>
              <w:t>mo</w:t>
            </w:r>
            <w:proofErr w:type="spellEnd"/>
            <w:r w:rsidRPr="00C071C3">
              <w:rPr>
                <w:rFonts w:cstheme="minorHAnsi"/>
                <w:sz w:val="22"/>
                <w:szCs w:val="24"/>
              </w:rPr>
              <w:t xml:space="preserve"> to 12 </w:t>
            </w:r>
            <w:proofErr w:type="spellStart"/>
            <w:r w:rsidRPr="00C071C3">
              <w:rPr>
                <w:rFonts w:cstheme="minorHAnsi"/>
                <w:sz w:val="22"/>
                <w:szCs w:val="24"/>
              </w:rPr>
              <w:t>yr</w:t>
            </w:r>
            <w:proofErr w:type="spellEnd"/>
          </w:p>
        </w:tc>
        <w:tc>
          <w:tcPr>
            <w:tcW w:w="1170" w:type="dxa"/>
            <w:noWrap/>
          </w:tcPr>
          <w:p w14:paraId="2DF02318"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0.82</w:t>
            </w:r>
          </w:p>
        </w:tc>
        <w:tc>
          <w:tcPr>
            <w:tcW w:w="1042" w:type="dxa"/>
            <w:noWrap/>
          </w:tcPr>
          <w:p w14:paraId="707F128D"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0.786</w:t>
            </w:r>
          </w:p>
        </w:tc>
        <w:tc>
          <w:tcPr>
            <w:tcW w:w="1085" w:type="dxa"/>
            <w:noWrap/>
          </w:tcPr>
          <w:p w14:paraId="55F7AC53"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0.851</w:t>
            </w:r>
          </w:p>
        </w:tc>
        <w:tc>
          <w:tcPr>
            <w:tcW w:w="985" w:type="dxa"/>
            <w:noWrap/>
          </w:tcPr>
          <w:p w14:paraId="199AC4CC" w14:textId="77777777" w:rsidR="00433DF3" w:rsidRPr="00C071C3" w:rsidRDefault="00433DF3" w:rsidP="00C071C3">
            <w:pPr>
              <w:spacing w:after="0" w:line="240" w:lineRule="auto"/>
              <w:contextualSpacing/>
              <w:jc w:val="center"/>
              <w:rPr>
                <w:rFonts w:asciiTheme="minorHAnsi" w:hAnsiTheme="minorHAnsi" w:cstheme="minorHAnsi"/>
                <w:sz w:val="22"/>
                <w:szCs w:val="24"/>
              </w:rPr>
            </w:pPr>
          </w:p>
        </w:tc>
        <w:tc>
          <w:tcPr>
            <w:tcW w:w="1028" w:type="dxa"/>
            <w:noWrap/>
          </w:tcPr>
          <w:p w14:paraId="617C7503"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441.160</w:t>
            </w:r>
          </w:p>
        </w:tc>
        <w:tc>
          <w:tcPr>
            <w:tcW w:w="900" w:type="dxa"/>
            <w:noWrap/>
          </w:tcPr>
          <w:p w14:paraId="7EA1E90D"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96.840</w:t>
            </w:r>
          </w:p>
        </w:tc>
        <w:tc>
          <w:tcPr>
            <w:tcW w:w="1800" w:type="dxa"/>
            <w:noWrap/>
          </w:tcPr>
          <w:p w14:paraId="24768652"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Beta</w:t>
            </w:r>
          </w:p>
        </w:tc>
      </w:tr>
      <w:tr w:rsidR="00433DF3" w:rsidRPr="00C071C3" w14:paraId="3C0CF96D" w14:textId="77777777" w:rsidTr="00C071C3">
        <w:trPr>
          <w:trHeight w:val="288"/>
        </w:trPr>
        <w:tc>
          <w:tcPr>
            <w:tcW w:w="4892" w:type="dxa"/>
            <w:noWrap/>
          </w:tcPr>
          <w:p w14:paraId="454B9AA6" w14:textId="77777777" w:rsidR="00433DF3" w:rsidRPr="00C071C3" w:rsidRDefault="00433DF3" w:rsidP="00C071C3">
            <w:pPr>
              <w:spacing w:after="0" w:line="240" w:lineRule="auto"/>
              <w:contextualSpacing/>
              <w:rPr>
                <w:rFonts w:asciiTheme="minorHAnsi" w:hAnsiTheme="minorHAnsi" w:cstheme="minorHAnsi"/>
                <w:sz w:val="22"/>
                <w:szCs w:val="24"/>
              </w:rPr>
            </w:pPr>
            <w:r w:rsidRPr="00C071C3">
              <w:rPr>
                <w:rFonts w:cstheme="minorHAnsi"/>
                <w:sz w:val="22"/>
                <w:szCs w:val="24"/>
              </w:rPr>
              <w:t xml:space="preserve">Current practice, GAS in children 3 </w:t>
            </w:r>
            <w:proofErr w:type="spellStart"/>
            <w:r w:rsidRPr="00C071C3">
              <w:rPr>
                <w:rFonts w:cstheme="minorHAnsi"/>
                <w:sz w:val="22"/>
                <w:szCs w:val="24"/>
              </w:rPr>
              <w:t>yr</w:t>
            </w:r>
            <w:proofErr w:type="spellEnd"/>
            <w:r w:rsidRPr="00C071C3">
              <w:rPr>
                <w:rFonts w:cstheme="minorHAnsi"/>
                <w:sz w:val="22"/>
                <w:szCs w:val="24"/>
              </w:rPr>
              <w:t xml:space="preserve">–12 </w:t>
            </w:r>
            <w:proofErr w:type="spellStart"/>
            <w:r w:rsidRPr="00C071C3">
              <w:rPr>
                <w:rFonts w:cstheme="minorHAnsi"/>
                <w:sz w:val="22"/>
                <w:szCs w:val="24"/>
              </w:rPr>
              <w:t>yr</w:t>
            </w:r>
            <w:proofErr w:type="spellEnd"/>
          </w:p>
        </w:tc>
        <w:tc>
          <w:tcPr>
            <w:tcW w:w="1170" w:type="dxa"/>
            <w:noWrap/>
          </w:tcPr>
          <w:p w14:paraId="0078BBBC" w14:textId="77777777" w:rsidR="00433DF3" w:rsidRPr="00C071C3" w:rsidRDefault="00433DF3" w:rsidP="00C071C3">
            <w:pPr>
              <w:spacing w:after="0" w:line="240" w:lineRule="auto"/>
              <w:contextualSpacing/>
              <w:jc w:val="center"/>
              <w:rPr>
                <w:rFonts w:asciiTheme="minorHAnsi" w:hAnsiTheme="minorHAnsi" w:cstheme="minorHAnsi"/>
                <w:sz w:val="22"/>
                <w:szCs w:val="24"/>
              </w:rPr>
            </w:pPr>
            <w:r w:rsidRPr="00C071C3">
              <w:rPr>
                <w:rFonts w:cstheme="minorHAnsi"/>
                <w:sz w:val="22"/>
                <w:szCs w:val="24"/>
              </w:rPr>
              <w:t>1</w:t>
            </w:r>
          </w:p>
        </w:tc>
        <w:tc>
          <w:tcPr>
            <w:tcW w:w="1042" w:type="dxa"/>
            <w:noWrap/>
          </w:tcPr>
          <w:p w14:paraId="32C6BE37" w14:textId="77777777" w:rsidR="00433DF3" w:rsidRPr="00C071C3" w:rsidRDefault="00433DF3" w:rsidP="00C071C3">
            <w:pPr>
              <w:spacing w:after="0" w:line="240" w:lineRule="auto"/>
              <w:contextualSpacing/>
              <w:jc w:val="center"/>
              <w:rPr>
                <w:rFonts w:asciiTheme="minorHAnsi" w:hAnsiTheme="minorHAnsi" w:cstheme="minorHAnsi"/>
                <w:sz w:val="22"/>
                <w:szCs w:val="24"/>
              </w:rPr>
            </w:pPr>
          </w:p>
        </w:tc>
        <w:tc>
          <w:tcPr>
            <w:tcW w:w="1085" w:type="dxa"/>
            <w:noWrap/>
          </w:tcPr>
          <w:p w14:paraId="0D7C1030" w14:textId="77777777" w:rsidR="00433DF3" w:rsidRPr="00C071C3" w:rsidRDefault="00433DF3" w:rsidP="00C071C3">
            <w:pPr>
              <w:spacing w:after="0" w:line="240" w:lineRule="auto"/>
              <w:contextualSpacing/>
              <w:jc w:val="center"/>
              <w:rPr>
                <w:rFonts w:asciiTheme="minorHAnsi" w:hAnsiTheme="minorHAnsi" w:cstheme="minorHAnsi"/>
                <w:sz w:val="22"/>
                <w:szCs w:val="24"/>
              </w:rPr>
            </w:pPr>
          </w:p>
        </w:tc>
        <w:tc>
          <w:tcPr>
            <w:tcW w:w="985" w:type="dxa"/>
            <w:noWrap/>
          </w:tcPr>
          <w:p w14:paraId="6B85B5FF" w14:textId="77777777" w:rsidR="00433DF3" w:rsidRPr="00C071C3" w:rsidRDefault="00433DF3" w:rsidP="00C071C3">
            <w:pPr>
              <w:spacing w:after="0" w:line="240" w:lineRule="auto"/>
              <w:contextualSpacing/>
              <w:jc w:val="center"/>
              <w:rPr>
                <w:rFonts w:asciiTheme="minorHAnsi" w:hAnsiTheme="minorHAnsi" w:cstheme="minorHAnsi"/>
                <w:sz w:val="22"/>
                <w:szCs w:val="24"/>
              </w:rPr>
            </w:pPr>
          </w:p>
        </w:tc>
        <w:tc>
          <w:tcPr>
            <w:tcW w:w="1028" w:type="dxa"/>
            <w:noWrap/>
          </w:tcPr>
          <w:p w14:paraId="03A3F4CF" w14:textId="77777777" w:rsidR="00433DF3" w:rsidRPr="00C071C3" w:rsidRDefault="00433DF3" w:rsidP="00C071C3">
            <w:pPr>
              <w:spacing w:after="0" w:line="240" w:lineRule="auto"/>
              <w:contextualSpacing/>
              <w:jc w:val="center"/>
              <w:rPr>
                <w:rFonts w:asciiTheme="minorHAnsi" w:hAnsiTheme="minorHAnsi" w:cstheme="minorHAnsi"/>
                <w:sz w:val="22"/>
                <w:szCs w:val="24"/>
              </w:rPr>
            </w:pPr>
          </w:p>
        </w:tc>
        <w:tc>
          <w:tcPr>
            <w:tcW w:w="900" w:type="dxa"/>
            <w:noWrap/>
          </w:tcPr>
          <w:p w14:paraId="43F35A21" w14:textId="77777777" w:rsidR="00433DF3" w:rsidRPr="00C071C3" w:rsidRDefault="00433DF3" w:rsidP="00C071C3">
            <w:pPr>
              <w:spacing w:after="0" w:line="240" w:lineRule="auto"/>
              <w:contextualSpacing/>
              <w:jc w:val="center"/>
              <w:rPr>
                <w:rFonts w:asciiTheme="minorHAnsi" w:hAnsiTheme="minorHAnsi" w:cstheme="minorHAnsi"/>
                <w:sz w:val="22"/>
                <w:szCs w:val="24"/>
              </w:rPr>
            </w:pPr>
          </w:p>
        </w:tc>
        <w:tc>
          <w:tcPr>
            <w:tcW w:w="1800" w:type="dxa"/>
            <w:noWrap/>
          </w:tcPr>
          <w:p w14:paraId="69D56EEA" w14:textId="77777777" w:rsidR="00433DF3" w:rsidRPr="00C071C3" w:rsidRDefault="00433DF3" w:rsidP="00C071C3">
            <w:pPr>
              <w:spacing w:after="0" w:line="240" w:lineRule="auto"/>
              <w:contextualSpacing/>
              <w:jc w:val="center"/>
              <w:rPr>
                <w:rFonts w:asciiTheme="minorHAnsi" w:hAnsiTheme="minorHAnsi" w:cstheme="minorHAnsi"/>
                <w:sz w:val="22"/>
                <w:szCs w:val="24"/>
              </w:rPr>
            </w:pPr>
          </w:p>
        </w:tc>
      </w:tr>
      <w:tr w:rsidR="00433DF3" w:rsidRPr="00854503" w14:paraId="470FF864" w14:textId="77777777" w:rsidTr="00F77A75">
        <w:trPr>
          <w:trHeight w:val="288"/>
        </w:trPr>
        <w:tc>
          <w:tcPr>
            <w:tcW w:w="12902" w:type="dxa"/>
            <w:gridSpan w:val="8"/>
            <w:shd w:val="clear" w:color="auto" w:fill="F2F2F2" w:themeFill="background1" w:themeFillShade="F2"/>
            <w:noWrap/>
          </w:tcPr>
          <w:p w14:paraId="58C98C15" w14:textId="77777777" w:rsidR="00433DF3" w:rsidRPr="001A400D" w:rsidRDefault="00433DF3" w:rsidP="00C071C3">
            <w:pPr>
              <w:spacing w:after="0" w:line="240" w:lineRule="auto"/>
              <w:contextualSpacing/>
              <w:rPr>
                <w:rFonts w:asciiTheme="minorHAnsi" w:hAnsiTheme="minorHAnsi" w:cstheme="minorHAnsi"/>
                <w:sz w:val="22"/>
              </w:rPr>
            </w:pPr>
            <w:r w:rsidRPr="001A400D">
              <w:rPr>
                <w:rFonts w:eastAsia="Times New Roman" w:cstheme="minorHAnsi"/>
                <w:b/>
                <w:bCs/>
              </w:rPr>
              <w:t>Proportion Taking Narrow-Spectrum Versus Broad-Spectrum Antibiotics</w:t>
            </w:r>
          </w:p>
        </w:tc>
      </w:tr>
      <w:tr w:rsidR="00433DF3" w:rsidRPr="00C071C3" w14:paraId="1CBE0DC8" w14:textId="77777777" w:rsidTr="00C071C3">
        <w:trPr>
          <w:trHeight w:val="288"/>
        </w:trPr>
        <w:tc>
          <w:tcPr>
            <w:tcW w:w="4892" w:type="dxa"/>
            <w:noWrap/>
          </w:tcPr>
          <w:p w14:paraId="4AB8EA58" w14:textId="77777777" w:rsidR="00433DF3" w:rsidRPr="00C071C3" w:rsidRDefault="00433DF3" w:rsidP="00C071C3">
            <w:pPr>
              <w:spacing w:after="0" w:line="240" w:lineRule="auto"/>
              <w:contextualSpacing/>
              <w:rPr>
                <w:rFonts w:asciiTheme="minorHAnsi" w:hAnsiTheme="minorHAnsi" w:cstheme="minorHAnsi"/>
                <w:sz w:val="22"/>
              </w:rPr>
            </w:pPr>
            <w:r w:rsidRPr="00C071C3">
              <w:rPr>
                <w:rFonts w:cstheme="minorHAnsi"/>
                <w:sz w:val="22"/>
              </w:rPr>
              <w:t xml:space="preserve">Current practice, OM in children 6 </w:t>
            </w:r>
            <w:proofErr w:type="spellStart"/>
            <w:r w:rsidRPr="00C071C3">
              <w:rPr>
                <w:rFonts w:cstheme="minorHAnsi"/>
                <w:sz w:val="22"/>
              </w:rPr>
              <w:t>mo</w:t>
            </w:r>
            <w:proofErr w:type="spellEnd"/>
            <w:r w:rsidRPr="00C071C3">
              <w:rPr>
                <w:rFonts w:cstheme="minorHAnsi"/>
                <w:sz w:val="22"/>
              </w:rPr>
              <w:t xml:space="preserve"> to &lt; 2 </w:t>
            </w:r>
            <w:proofErr w:type="spellStart"/>
            <w:r w:rsidRPr="00C071C3">
              <w:rPr>
                <w:rFonts w:cstheme="minorHAnsi"/>
                <w:sz w:val="22"/>
              </w:rPr>
              <w:t>yr</w:t>
            </w:r>
            <w:proofErr w:type="spellEnd"/>
          </w:p>
        </w:tc>
        <w:tc>
          <w:tcPr>
            <w:tcW w:w="1170" w:type="dxa"/>
            <w:noWrap/>
          </w:tcPr>
          <w:p w14:paraId="33031FE4"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0.65</w:t>
            </w:r>
          </w:p>
        </w:tc>
        <w:tc>
          <w:tcPr>
            <w:tcW w:w="1042" w:type="dxa"/>
            <w:noWrap/>
          </w:tcPr>
          <w:p w14:paraId="19EB3337"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0.488</w:t>
            </w:r>
          </w:p>
        </w:tc>
        <w:tc>
          <w:tcPr>
            <w:tcW w:w="1085" w:type="dxa"/>
            <w:noWrap/>
          </w:tcPr>
          <w:p w14:paraId="6F188019"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0.813</w:t>
            </w:r>
          </w:p>
        </w:tc>
        <w:tc>
          <w:tcPr>
            <w:tcW w:w="985" w:type="dxa"/>
            <w:noWrap/>
          </w:tcPr>
          <w:p w14:paraId="19F724FD"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0.083</w:t>
            </w:r>
          </w:p>
        </w:tc>
        <w:tc>
          <w:tcPr>
            <w:tcW w:w="1028" w:type="dxa"/>
            <w:noWrap/>
          </w:tcPr>
          <w:p w14:paraId="3952B296"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21</w:t>
            </w:r>
          </w:p>
        </w:tc>
        <w:tc>
          <w:tcPr>
            <w:tcW w:w="900" w:type="dxa"/>
            <w:noWrap/>
          </w:tcPr>
          <w:p w14:paraId="3499F292"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11</w:t>
            </w:r>
          </w:p>
        </w:tc>
        <w:tc>
          <w:tcPr>
            <w:tcW w:w="1800" w:type="dxa"/>
            <w:noWrap/>
          </w:tcPr>
          <w:p w14:paraId="10FB88DC"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Beta</w:t>
            </w:r>
          </w:p>
        </w:tc>
      </w:tr>
      <w:tr w:rsidR="00433DF3" w:rsidRPr="00C071C3" w14:paraId="057C499C" w14:textId="77777777" w:rsidTr="00C071C3">
        <w:trPr>
          <w:trHeight w:val="288"/>
        </w:trPr>
        <w:tc>
          <w:tcPr>
            <w:tcW w:w="4892" w:type="dxa"/>
            <w:noWrap/>
          </w:tcPr>
          <w:p w14:paraId="42236B6D" w14:textId="77777777" w:rsidR="00433DF3" w:rsidRPr="00C071C3" w:rsidRDefault="00433DF3" w:rsidP="00C071C3">
            <w:pPr>
              <w:spacing w:after="0" w:line="240" w:lineRule="auto"/>
              <w:contextualSpacing/>
              <w:rPr>
                <w:rFonts w:asciiTheme="minorHAnsi" w:hAnsiTheme="minorHAnsi" w:cstheme="minorHAnsi"/>
                <w:sz w:val="22"/>
              </w:rPr>
            </w:pPr>
            <w:r w:rsidRPr="00C071C3">
              <w:rPr>
                <w:rFonts w:cstheme="minorHAnsi"/>
                <w:sz w:val="22"/>
              </w:rPr>
              <w:t xml:space="preserve">Current practice, OM in children 2 </w:t>
            </w:r>
            <w:proofErr w:type="spellStart"/>
            <w:r w:rsidRPr="00C071C3">
              <w:rPr>
                <w:rFonts w:cstheme="minorHAnsi"/>
                <w:sz w:val="22"/>
              </w:rPr>
              <w:t>yr</w:t>
            </w:r>
            <w:proofErr w:type="spellEnd"/>
            <w:r w:rsidRPr="00C071C3">
              <w:rPr>
                <w:rFonts w:cstheme="minorHAnsi"/>
                <w:sz w:val="22"/>
              </w:rPr>
              <w:t xml:space="preserve"> to &lt; 6 </w:t>
            </w:r>
            <w:proofErr w:type="spellStart"/>
            <w:r w:rsidRPr="00C071C3">
              <w:rPr>
                <w:rFonts w:cstheme="minorHAnsi"/>
                <w:sz w:val="22"/>
              </w:rPr>
              <w:t>yr</w:t>
            </w:r>
            <w:proofErr w:type="spellEnd"/>
          </w:p>
        </w:tc>
        <w:tc>
          <w:tcPr>
            <w:tcW w:w="1170" w:type="dxa"/>
            <w:noWrap/>
          </w:tcPr>
          <w:p w14:paraId="63DD1028"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0.65</w:t>
            </w:r>
          </w:p>
        </w:tc>
        <w:tc>
          <w:tcPr>
            <w:tcW w:w="1042" w:type="dxa"/>
            <w:noWrap/>
          </w:tcPr>
          <w:p w14:paraId="32C1CD63"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0.488</w:t>
            </w:r>
          </w:p>
        </w:tc>
        <w:tc>
          <w:tcPr>
            <w:tcW w:w="1085" w:type="dxa"/>
            <w:noWrap/>
          </w:tcPr>
          <w:p w14:paraId="4FF1164C"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0.813</w:t>
            </w:r>
          </w:p>
        </w:tc>
        <w:tc>
          <w:tcPr>
            <w:tcW w:w="985" w:type="dxa"/>
            <w:noWrap/>
          </w:tcPr>
          <w:p w14:paraId="6EF13873"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0.083</w:t>
            </w:r>
          </w:p>
        </w:tc>
        <w:tc>
          <w:tcPr>
            <w:tcW w:w="1028" w:type="dxa"/>
            <w:noWrap/>
          </w:tcPr>
          <w:p w14:paraId="370F81A0"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21</w:t>
            </w:r>
          </w:p>
        </w:tc>
        <w:tc>
          <w:tcPr>
            <w:tcW w:w="900" w:type="dxa"/>
            <w:noWrap/>
          </w:tcPr>
          <w:p w14:paraId="68EC95B0"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11</w:t>
            </w:r>
          </w:p>
        </w:tc>
        <w:tc>
          <w:tcPr>
            <w:tcW w:w="1800" w:type="dxa"/>
            <w:noWrap/>
          </w:tcPr>
          <w:p w14:paraId="5737747A"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Beta</w:t>
            </w:r>
          </w:p>
        </w:tc>
      </w:tr>
      <w:tr w:rsidR="00433DF3" w:rsidRPr="00C071C3" w14:paraId="5A7C6C4E" w14:textId="77777777" w:rsidTr="00C071C3">
        <w:trPr>
          <w:trHeight w:val="288"/>
        </w:trPr>
        <w:tc>
          <w:tcPr>
            <w:tcW w:w="4892" w:type="dxa"/>
            <w:noWrap/>
          </w:tcPr>
          <w:p w14:paraId="0C209E9F" w14:textId="77777777" w:rsidR="00433DF3" w:rsidRPr="00C071C3" w:rsidRDefault="00433DF3" w:rsidP="00C071C3">
            <w:pPr>
              <w:spacing w:after="0" w:line="240" w:lineRule="auto"/>
              <w:contextualSpacing/>
              <w:rPr>
                <w:rFonts w:asciiTheme="minorHAnsi" w:hAnsiTheme="minorHAnsi" w:cstheme="minorHAnsi"/>
                <w:sz w:val="22"/>
              </w:rPr>
            </w:pPr>
            <w:r w:rsidRPr="00C071C3">
              <w:rPr>
                <w:rFonts w:cstheme="minorHAnsi"/>
                <w:sz w:val="22"/>
              </w:rPr>
              <w:t xml:space="preserve">Current practice, OM in children 6 </w:t>
            </w:r>
            <w:proofErr w:type="spellStart"/>
            <w:r w:rsidRPr="00C071C3">
              <w:rPr>
                <w:rFonts w:cstheme="minorHAnsi"/>
                <w:sz w:val="22"/>
              </w:rPr>
              <w:t>yr</w:t>
            </w:r>
            <w:proofErr w:type="spellEnd"/>
            <w:r w:rsidRPr="00C071C3">
              <w:rPr>
                <w:rFonts w:cstheme="minorHAnsi"/>
                <w:sz w:val="22"/>
              </w:rPr>
              <w:t xml:space="preserve">–12 </w:t>
            </w:r>
            <w:proofErr w:type="spellStart"/>
            <w:r w:rsidRPr="00C071C3">
              <w:rPr>
                <w:rFonts w:cstheme="minorHAnsi"/>
                <w:sz w:val="22"/>
              </w:rPr>
              <w:t>yr</w:t>
            </w:r>
            <w:proofErr w:type="spellEnd"/>
          </w:p>
        </w:tc>
        <w:tc>
          <w:tcPr>
            <w:tcW w:w="1170" w:type="dxa"/>
            <w:noWrap/>
          </w:tcPr>
          <w:p w14:paraId="5A71EF09"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0.65</w:t>
            </w:r>
          </w:p>
        </w:tc>
        <w:tc>
          <w:tcPr>
            <w:tcW w:w="1042" w:type="dxa"/>
            <w:noWrap/>
          </w:tcPr>
          <w:p w14:paraId="5FEC0BBA"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0.488</w:t>
            </w:r>
          </w:p>
        </w:tc>
        <w:tc>
          <w:tcPr>
            <w:tcW w:w="1085" w:type="dxa"/>
            <w:noWrap/>
          </w:tcPr>
          <w:p w14:paraId="7D8AC824"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0.813</w:t>
            </w:r>
          </w:p>
        </w:tc>
        <w:tc>
          <w:tcPr>
            <w:tcW w:w="985" w:type="dxa"/>
            <w:noWrap/>
          </w:tcPr>
          <w:p w14:paraId="502D0AA8"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0.083</w:t>
            </w:r>
          </w:p>
        </w:tc>
        <w:tc>
          <w:tcPr>
            <w:tcW w:w="1028" w:type="dxa"/>
            <w:noWrap/>
          </w:tcPr>
          <w:p w14:paraId="6AFEB95A"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21</w:t>
            </w:r>
          </w:p>
        </w:tc>
        <w:tc>
          <w:tcPr>
            <w:tcW w:w="900" w:type="dxa"/>
            <w:noWrap/>
          </w:tcPr>
          <w:p w14:paraId="4919A83B"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11</w:t>
            </w:r>
          </w:p>
        </w:tc>
        <w:tc>
          <w:tcPr>
            <w:tcW w:w="1800" w:type="dxa"/>
            <w:noWrap/>
          </w:tcPr>
          <w:p w14:paraId="7857C70E"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cstheme="minorHAnsi"/>
                <w:sz w:val="22"/>
              </w:rPr>
              <w:t>Beta</w:t>
            </w:r>
          </w:p>
        </w:tc>
      </w:tr>
      <w:tr w:rsidR="00433DF3" w:rsidRPr="00C071C3" w14:paraId="60234FC9" w14:textId="77777777" w:rsidTr="00C071C3">
        <w:trPr>
          <w:trHeight w:val="288"/>
        </w:trPr>
        <w:tc>
          <w:tcPr>
            <w:tcW w:w="4892" w:type="dxa"/>
            <w:noWrap/>
          </w:tcPr>
          <w:p w14:paraId="7253CEDD" w14:textId="77777777" w:rsidR="00433DF3" w:rsidRPr="00C071C3" w:rsidRDefault="00433DF3" w:rsidP="00C071C3">
            <w:pPr>
              <w:spacing w:after="0" w:line="240" w:lineRule="auto"/>
              <w:contextualSpacing/>
              <w:rPr>
                <w:rFonts w:asciiTheme="minorHAnsi" w:hAnsiTheme="minorHAnsi" w:cstheme="minorHAnsi"/>
                <w:sz w:val="22"/>
              </w:rPr>
            </w:pPr>
            <w:r w:rsidRPr="00C071C3">
              <w:rPr>
                <w:rFonts w:asciiTheme="minorHAnsi" w:hAnsiTheme="minorHAnsi" w:cstheme="minorHAnsi"/>
                <w:sz w:val="22"/>
              </w:rPr>
              <w:t xml:space="preserve">Current practice, AS in children 6 </w:t>
            </w:r>
            <w:proofErr w:type="spellStart"/>
            <w:r w:rsidRPr="00C071C3">
              <w:rPr>
                <w:rFonts w:asciiTheme="minorHAnsi" w:hAnsiTheme="minorHAnsi" w:cstheme="minorHAnsi"/>
                <w:sz w:val="22"/>
              </w:rPr>
              <w:t>mo</w:t>
            </w:r>
            <w:proofErr w:type="spellEnd"/>
            <w:r w:rsidRPr="00C071C3">
              <w:rPr>
                <w:rFonts w:asciiTheme="minorHAnsi" w:hAnsiTheme="minorHAnsi" w:cstheme="minorHAnsi"/>
                <w:sz w:val="22"/>
              </w:rPr>
              <w:t xml:space="preserve">–12 </w:t>
            </w:r>
            <w:proofErr w:type="spellStart"/>
            <w:r w:rsidRPr="00C071C3">
              <w:rPr>
                <w:rFonts w:asciiTheme="minorHAnsi" w:hAnsiTheme="minorHAnsi" w:cstheme="minorHAnsi"/>
                <w:sz w:val="22"/>
              </w:rPr>
              <w:t>yr</w:t>
            </w:r>
            <w:proofErr w:type="spellEnd"/>
          </w:p>
        </w:tc>
        <w:tc>
          <w:tcPr>
            <w:tcW w:w="1170" w:type="dxa"/>
            <w:noWrap/>
          </w:tcPr>
          <w:p w14:paraId="1433EF05"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0.58</w:t>
            </w:r>
          </w:p>
        </w:tc>
        <w:tc>
          <w:tcPr>
            <w:tcW w:w="1042" w:type="dxa"/>
            <w:noWrap/>
          </w:tcPr>
          <w:p w14:paraId="27655AAD"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0.534</w:t>
            </w:r>
          </w:p>
        </w:tc>
        <w:tc>
          <w:tcPr>
            <w:tcW w:w="1085" w:type="dxa"/>
            <w:noWrap/>
          </w:tcPr>
          <w:p w14:paraId="765459BD"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0.626</w:t>
            </w:r>
          </w:p>
        </w:tc>
        <w:tc>
          <w:tcPr>
            <w:tcW w:w="985" w:type="dxa"/>
            <w:noWrap/>
          </w:tcPr>
          <w:p w14:paraId="1D039F06" w14:textId="77777777" w:rsidR="00433DF3" w:rsidRPr="00C071C3" w:rsidRDefault="00433DF3" w:rsidP="00C071C3">
            <w:pPr>
              <w:spacing w:after="0" w:line="240" w:lineRule="auto"/>
              <w:contextualSpacing/>
              <w:jc w:val="center"/>
              <w:rPr>
                <w:rFonts w:asciiTheme="minorHAnsi" w:hAnsiTheme="minorHAnsi" w:cstheme="minorHAnsi"/>
                <w:sz w:val="22"/>
              </w:rPr>
            </w:pPr>
          </w:p>
        </w:tc>
        <w:tc>
          <w:tcPr>
            <w:tcW w:w="1028" w:type="dxa"/>
            <w:noWrap/>
          </w:tcPr>
          <w:p w14:paraId="2EF86A4B" w14:textId="2B349F2C"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255.78</w:t>
            </w:r>
          </w:p>
        </w:tc>
        <w:tc>
          <w:tcPr>
            <w:tcW w:w="900" w:type="dxa"/>
            <w:noWrap/>
          </w:tcPr>
          <w:p w14:paraId="0B12932B" w14:textId="1CCB2EE8"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185.22</w:t>
            </w:r>
            <w:r w:rsidR="00C071C3">
              <w:rPr>
                <w:rFonts w:asciiTheme="minorHAnsi" w:hAnsiTheme="minorHAnsi" w:cstheme="minorHAnsi"/>
                <w:sz w:val="22"/>
              </w:rPr>
              <w:t>0</w:t>
            </w:r>
          </w:p>
        </w:tc>
        <w:tc>
          <w:tcPr>
            <w:tcW w:w="1800" w:type="dxa"/>
            <w:noWrap/>
          </w:tcPr>
          <w:p w14:paraId="62A49CE1"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Beta</w:t>
            </w:r>
          </w:p>
        </w:tc>
      </w:tr>
      <w:tr w:rsidR="00433DF3" w:rsidRPr="00C071C3" w14:paraId="612EADAB" w14:textId="77777777" w:rsidTr="00C071C3">
        <w:trPr>
          <w:trHeight w:val="288"/>
        </w:trPr>
        <w:tc>
          <w:tcPr>
            <w:tcW w:w="4892" w:type="dxa"/>
            <w:noWrap/>
          </w:tcPr>
          <w:p w14:paraId="45B8A903" w14:textId="77777777" w:rsidR="00433DF3" w:rsidRPr="00C071C3" w:rsidRDefault="00433DF3" w:rsidP="00C071C3">
            <w:pPr>
              <w:spacing w:after="0" w:line="240" w:lineRule="auto"/>
              <w:contextualSpacing/>
              <w:rPr>
                <w:rFonts w:asciiTheme="minorHAnsi" w:hAnsiTheme="minorHAnsi" w:cstheme="minorHAnsi"/>
                <w:sz w:val="22"/>
              </w:rPr>
            </w:pPr>
            <w:r w:rsidRPr="00C071C3">
              <w:rPr>
                <w:rFonts w:asciiTheme="minorHAnsi" w:hAnsiTheme="minorHAnsi" w:cstheme="minorHAnsi"/>
                <w:sz w:val="22"/>
              </w:rPr>
              <w:t xml:space="preserve">Current practice, GAS in children 3 </w:t>
            </w:r>
            <w:proofErr w:type="spellStart"/>
            <w:r w:rsidRPr="00C071C3">
              <w:rPr>
                <w:rFonts w:asciiTheme="minorHAnsi" w:hAnsiTheme="minorHAnsi" w:cstheme="minorHAnsi"/>
                <w:sz w:val="22"/>
              </w:rPr>
              <w:t>yr</w:t>
            </w:r>
            <w:proofErr w:type="spellEnd"/>
            <w:r w:rsidRPr="00C071C3">
              <w:rPr>
                <w:rFonts w:asciiTheme="minorHAnsi" w:hAnsiTheme="minorHAnsi" w:cstheme="minorHAnsi"/>
                <w:sz w:val="22"/>
              </w:rPr>
              <w:t xml:space="preserve">–12 </w:t>
            </w:r>
            <w:proofErr w:type="spellStart"/>
            <w:r w:rsidRPr="00C071C3">
              <w:rPr>
                <w:rFonts w:asciiTheme="minorHAnsi" w:hAnsiTheme="minorHAnsi" w:cstheme="minorHAnsi"/>
                <w:sz w:val="22"/>
              </w:rPr>
              <w:t>yr</w:t>
            </w:r>
            <w:proofErr w:type="spellEnd"/>
          </w:p>
        </w:tc>
        <w:tc>
          <w:tcPr>
            <w:tcW w:w="1170" w:type="dxa"/>
            <w:noWrap/>
          </w:tcPr>
          <w:p w14:paraId="5838AD82"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0.76</w:t>
            </w:r>
          </w:p>
        </w:tc>
        <w:tc>
          <w:tcPr>
            <w:tcW w:w="1042" w:type="dxa"/>
            <w:noWrap/>
          </w:tcPr>
          <w:p w14:paraId="116530C4"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0.752</w:t>
            </w:r>
          </w:p>
        </w:tc>
        <w:tc>
          <w:tcPr>
            <w:tcW w:w="1085" w:type="dxa"/>
            <w:noWrap/>
          </w:tcPr>
          <w:p w14:paraId="720C8F30"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0.772</w:t>
            </w:r>
          </w:p>
        </w:tc>
        <w:tc>
          <w:tcPr>
            <w:tcW w:w="985" w:type="dxa"/>
            <w:noWrap/>
          </w:tcPr>
          <w:p w14:paraId="66DE2949" w14:textId="77777777" w:rsidR="00433DF3" w:rsidRPr="00C071C3" w:rsidRDefault="00433DF3" w:rsidP="00C071C3">
            <w:pPr>
              <w:spacing w:after="0" w:line="240" w:lineRule="auto"/>
              <w:contextualSpacing/>
              <w:jc w:val="center"/>
              <w:rPr>
                <w:rFonts w:asciiTheme="minorHAnsi" w:hAnsiTheme="minorHAnsi" w:cstheme="minorHAnsi"/>
                <w:sz w:val="22"/>
              </w:rPr>
            </w:pPr>
          </w:p>
        </w:tc>
        <w:tc>
          <w:tcPr>
            <w:tcW w:w="1028" w:type="dxa"/>
            <w:noWrap/>
          </w:tcPr>
          <w:p w14:paraId="73E2B14E"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5017</w:t>
            </w:r>
          </w:p>
        </w:tc>
        <w:tc>
          <w:tcPr>
            <w:tcW w:w="900" w:type="dxa"/>
            <w:noWrap/>
          </w:tcPr>
          <w:p w14:paraId="5AB8EABB"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1568</w:t>
            </w:r>
          </w:p>
        </w:tc>
        <w:tc>
          <w:tcPr>
            <w:tcW w:w="1800" w:type="dxa"/>
            <w:noWrap/>
          </w:tcPr>
          <w:p w14:paraId="0311E945" w14:textId="77777777" w:rsidR="00433DF3" w:rsidRPr="00C071C3" w:rsidRDefault="00433DF3" w:rsidP="00C071C3">
            <w:pPr>
              <w:spacing w:after="0" w:line="240" w:lineRule="auto"/>
              <w:contextualSpacing/>
              <w:jc w:val="center"/>
              <w:rPr>
                <w:rFonts w:asciiTheme="minorHAnsi" w:hAnsiTheme="minorHAnsi" w:cstheme="minorHAnsi"/>
                <w:sz w:val="22"/>
              </w:rPr>
            </w:pPr>
            <w:r w:rsidRPr="00C071C3">
              <w:rPr>
                <w:rFonts w:asciiTheme="minorHAnsi" w:hAnsiTheme="minorHAnsi" w:cstheme="minorHAnsi"/>
                <w:sz w:val="22"/>
              </w:rPr>
              <w:t>Beta</w:t>
            </w:r>
          </w:p>
        </w:tc>
      </w:tr>
      <w:tr w:rsidR="00433DF3" w:rsidRPr="00854503" w14:paraId="05EABFC0" w14:textId="77777777" w:rsidTr="00F77A75">
        <w:trPr>
          <w:trHeight w:val="288"/>
        </w:trPr>
        <w:tc>
          <w:tcPr>
            <w:tcW w:w="12902" w:type="dxa"/>
            <w:gridSpan w:val="8"/>
            <w:shd w:val="clear" w:color="auto" w:fill="D9D9D9" w:themeFill="background1" w:themeFillShade="D9"/>
            <w:noWrap/>
          </w:tcPr>
          <w:p w14:paraId="56C95C67"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eastAsia="Times New Roman" w:hAnsiTheme="minorHAnsi" w:cstheme="minorHAnsi"/>
                <w:b/>
                <w:sz w:val="22"/>
              </w:rPr>
              <w:t>Gerber et al. (2017) Clinical Findings</w:t>
            </w:r>
          </w:p>
        </w:tc>
      </w:tr>
      <w:tr w:rsidR="00433DF3" w:rsidRPr="00854503" w14:paraId="17AE8064" w14:textId="77777777" w:rsidTr="00F77A75">
        <w:trPr>
          <w:trHeight w:val="288"/>
        </w:trPr>
        <w:tc>
          <w:tcPr>
            <w:tcW w:w="12902" w:type="dxa"/>
            <w:gridSpan w:val="8"/>
            <w:shd w:val="clear" w:color="auto" w:fill="F2F2F2" w:themeFill="background1" w:themeFillShade="F2"/>
            <w:noWrap/>
          </w:tcPr>
          <w:p w14:paraId="19CAE48C" w14:textId="77777777" w:rsidR="00433DF3" w:rsidRPr="00854503" w:rsidRDefault="00433DF3" w:rsidP="00C071C3">
            <w:pPr>
              <w:spacing w:after="0" w:line="240" w:lineRule="auto"/>
              <w:contextualSpacing/>
              <w:rPr>
                <w:rFonts w:asciiTheme="minorHAnsi" w:hAnsiTheme="minorHAnsi" w:cstheme="minorHAnsi"/>
                <w:sz w:val="22"/>
              </w:rPr>
            </w:pPr>
            <w:r w:rsidRPr="00854503">
              <w:rPr>
                <w:rFonts w:asciiTheme="minorHAnsi" w:eastAsia="Times New Roman" w:hAnsiTheme="minorHAnsi" w:cstheme="minorHAnsi"/>
                <w:b/>
                <w:bCs/>
                <w:i/>
                <w:sz w:val="22"/>
              </w:rPr>
              <w:t>Treatment Failure</w:t>
            </w:r>
          </w:p>
        </w:tc>
      </w:tr>
      <w:tr w:rsidR="00433DF3" w:rsidRPr="00854503" w14:paraId="4862CA32" w14:textId="77777777" w:rsidTr="00C071C3">
        <w:trPr>
          <w:trHeight w:val="288"/>
        </w:trPr>
        <w:tc>
          <w:tcPr>
            <w:tcW w:w="4892" w:type="dxa"/>
            <w:shd w:val="clear" w:color="auto" w:fill="auto"/>
            <w:noWrap/>
          </w:tcPr>
          <w:p w14:paraId="1C803247" w14:textId="77777777" w:rsidR="00433DF3" w:rsidRPr="009456DF" w:rsidRDefault="00433DF3" w:rsidP="00C071C3">
            <w:pPr>
              <w:spacing w:after="0" w:line="240" w:lineRule="auto"/>
              <w:contextualSpacing/>
              <w:rPr>
                <w:rFonts w:asciiTheme="minorHAnsi" w:hAnsiTheme="minorHAnsi" w:cstheme="minorHAnsi"/>
                <w:sz w:val="22"/>
              </w:rPr>
            </w:pPr>
            <w:r w:rsidRPr="009876DB">
              <w:rPr>
                <w:rFonts w:cstheme="minorHAnsi"/>
                <w:sz w:val="22"/>
              </w:rPr>
              <w:t xml:space="preserve">Probability of TF for AOM given narrow-spectrum antibiotic, 6 </w:t>
            </w:r>
            <w:proofErr w:type="spellStart"/>
            <w:r w:rsidRPr="009876DB">
              <w:rPr>
                <w:rFonts w:cstheme="minorHAnsi"/>
                <w:sz w:val="22"/>
              </w:rPr>
              <w:t>mo</w:t>
            </w:r>
            <w:proofErr w:type="spellEnd"/>
            <w:r w:rsidRPr="009876DB">
              <w:rPr>
                <w:rFonts w:cstheme="minorHAnsi"/>
                <w:sz w:val="22"/>
              </w:rPr>
              <w:t xml:space="preserve"> to &lt; 2 </w:t>
            </w:r>
            <w:proofErr w:type="spellStart"/>
            <w:r w:rsidRPr="009876DB">
              <w:rPr>
                <w:rFonts w:cstheme="minorHAnsi"/>
                <w:sz w:val="22"/>
              </w:rPr>
              <w:t>yr</w:t>
            </w:r>
            <w:proofErr w:type="spellEnd"/>
          </w:p>
        </w:tc>
        <w:tc>
          <w:tcPr>
            <w:tcW w:w="1170" w:type="dxa"/>
            <w:noWrap/>
          </w:tcPr>
          <w:p w14:paraId="7D159F3D"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rFonts w:cstheme="minorHAnsi"/>
                <w:sz w:val="22"/>
              </w:rPr>
              <w:t>0.035</w:t>
            </w:r>
          </w:p>
        </w:tc>
        <w:tc>
          <w:tcPr>
            <w:tcW w:w="1042" w:type="dxa"/>
            <w:noWrap/>
          </w:tcPr>
          <w:p w14:paraId="418AD202"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0.034</w:t>
            </w:r>
          </w:p>
        </w:tc>
        <w:tc>
          <w:tcPr>
            <w:tcW w:w="1085" w:type="dxa"/>
            <w:noWrap/>
          </w:tcPr>
          <w:p w14:paraId="05A77178"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0.032</w:t>
            </w:r>
          </w:p>
        </w:tc>
        <w:tc>
          <w:tcPr>
            <w:tcW w:w="985" w:type="dxa"/>
            <w:noWrap/>
          </w:tcPr>
          <w:p w14:paraId="03B8BACD"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p>
        </w:tc>
        <w:tc>
          <w:tcPr>
            <w:tcW w:w="1028" w:type="dxa"/>
            <w:noWrap/>
          </w:tcPr>
          <w:p w14:paraId="60E2F268" w14:textId="77777777" w:rsidR="00433DF3" w:rsidRPr="009876DB" w:rsidRDefault="00433DF3" w:rsidP="00C071C3">
            <w:pPr>
              <w:spacing w:after="0" w:line="240" w:lineRule="auto"/>
              <w:contextualSpacing/>
              <w:jc w:val="center"/>
              <w:rPr>
                <w:sz w:val="22"/>
              </w:rPr>
            </w:pPr>
            <w:r w:rsidRPr="009876DB">
              <w:rPr>
                <w:sz w:val="22"/>
              </w:rPr>
              <w:t>575</w:t>
            </w:r>
          </w:p>
        </w:tc>
        <w:tc>
          <w:tcPr>
            <w:tcW w:w="900" w:type="dxa"/>
            <w:noWrap/>
          </w:tcPr>
          <w:p w14:paraId="7D7A78DD"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15823</w:t>
            </w:r>
          </w:p>
        </w:tc>
        <w:tc>
          <w:tcPr>
            <w:tcW w:w="1800" w:type="dxa"/>
            <w:noWrap/>
          </w:tcPr>
          <w:p w14:paraId="5E7BA481" w14:textId="77777777" w:rsidR="00433DF3" w:rsidRPr="009456DF" w:rsidRDefault="00433DF3" w:rsidP="00C071C3">
            <w:pPr>
              <w:spacing w:after="0" w:line="240" w:lineRule="auto"/>
              <w:contextualSpacing/>
              <w:jc w:val="center"/>
              <w:rPr>
                <w:rFonts w:asciiTheme="minorHAnsi" w:hAnsiTheme="minorHAnsi" w:cstheme="minorHAnsi"/>
                <w:sz w:val="22"/>
              </w:rPr>
            </w:pPr>
            <w:r w:rsidRPr="009876DB">
              <w:rPr>
                <w:rFonts w:cstheme="minorHAnsi"/>
                <w:sz w:val="22"/>
              </w:rPr>
              <w:t>Beta</w:t>
            </w:r>
          </w:p>
        </w:tc>
      </w:tr>
      <w:tr w:rsidR="00433DF3" w:rsidRPr="00854503" w14:paraId="248A261C" w14:textId="77777777" w:rsidTr="00C071C3">
        <w:trPr>
          <w:trHeight w:val="288"/>
        </w:trPr>
        <w:tc>
          <w:tcPr>
            <w:tcW w:w="4892" w:type="dxa"/>
            <w:shd w:val="clear" w:color="auto" w:fill="auto"/>
            <w:noWrap/>
          </w:tcPr>
          <w:p w14:paraId="10F3B822" w14:textId="77777777" w:rsidR="00433DF3" w:rsidRPr="009456DF" w:rsidRDefault="00433DF3" w:rsidP="00C071C3">
            <w:pPr>
              <w:spacing w:after="0" w:line="240" w:lineRule="auto"/>
              <w:contextualSpacing/>
              <w:rPr>
                <w:rFonts w:asciiTheme="minorHAnsi" w:hAnsiTheme="minorHAnsi" w:cstheme="minorHAnsi"/>
                <w:sz w:val="22"/>
              </w:rPr>
            </w:pPr>
            <w:r w:rsidRPr="009876DB">
              <w:rPr>
                <w:rFonts w:cstheme="minorHAnsi"/>
                <w:sz w:val="22"/>
              </w:rPr>
              <w:t xml:space="preserve">Probability of TF for AOM given narrow-spectrum antibiotic, 2 </w:t>
            </w:r>
            <w:proofErr w:type="spellStart"/>
            <w:r w:rsidRPr="009876DB">
              <w:rPr>
                <w:rFonts w:cstheme="minorHAnsi"/>
                <w:sz w:val="22"/>
              </w:rPr>
              <w:t>yr</w:t>
            </w:r>
            <w:proofErr w:type="spellEnd"/>
            <w:r w:rsidRPr="009876DB">
              <w:rPr>
                <w:rFonts w:cstheme="minorHAnsi"/>
                <w:sz w:val="22"/>
              </w:rPr>
              <w:t xml:space="preserve">–6 </w:t>
            </w:r>
            <w:proofErr w:type="spellStart"/>
            <w:r w:rsidRPr="009876DB">
              <w:rPr>
                <w:rFonts w:cstheme="minorHAnsi"/>
                <w:sz w:val="22"/>
              </w:rPr>
              <w:t>yr</w:t>
            </w:r>
            <w:proofErr w:type="spellEnd"/>
          </w:p>
        </w:tc>
        <w:tc>
          <w:tcPr>
            <w:tcW w:w="1170" w:type="dxa"/>
            <w:noWrap/>
          </w:tcPr>
          <w:p w14:paraId="70EBAD44"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rFonts w:cstheme="minorHAnsi"/>
                <w:sz w:val="22"/>
              </w:rPr>
              <w:t>0.035</w:t>
            </w:r>
          </w:p>
        </w:tc>
        <w:tc>
          <w:tcPr>
            <w:tcW w:w="1042" w:type="dxa"/>
            <w:noWrap/>
          </w:tcPr>
          <w:p w14:paraId="1C62FD65"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0.034</w:t>
            </w:r>
          </w:p>
        </w:tc>
        <w:tc>
          <w:tcPr>
            <w:tcW w:w="1085" w:type="dxa"/>
            <w:noWrap/>
          </w:tcPr>
          <w:p w14:paraId="1C9FD08E"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0.032</w:t>
            </w:r>
          </w:p>
        </w:tc>
        <w:tc>
          <w:tcPr>
            <w:tcW w:w="985" w:type="dxa"/>
            <w:noWrap/>
          </w:tcPr>
          <w:p w14:paraId="3A10884A"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p>
        </w:tc>
        <w:tc>
          <w:tcPr>
            <w:tcW w:w="1028" w:type="dxa"/>
            <w:noWrap/>
          </w:tcPr>
          <w:p w14:paraId="27495B45"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575</w:t>
            </w:r>
          </w:p>
        </w:tc>
        <w:tc>
          <w:tcPr>
            <w:tcW w:w="900" w:type="dxa"/>
            <w:noWrap/>
          </w:tcPr>
          <w:p w14:paraId="443F3E7B"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15823</w:t>
            </w:r>
          </w:p>
        </w:tc>
        <w:tc>
          <w:tcPr>
            <w:tcW w:w="1800" w:type="dxa"/>
            <w:noWrap/>
          </w:tcPr>
          <w:p w14:paraId="494CDB69" w14:textId="77777777" w:rsidR="00433DF3" w:rsidRPr="009456DF" w:rsidRDefault="00433DF3" w:rsidP="00C071C3">
            <w:pPr>
              <w:spacing w:after="0" w:line="240" w:lineRule="auto"/>
              <w:contextualSpacing/>
              <w:jc w:val="center"/>
              <w:rPr>
                <w:rFonts w:asciiTheme="minorHAnsi" w:hAnsiTheme="minorHAnsi" w:cstheme="minorHAnsi"/>
                <w:sz w:val="22"/>
              </w:rPr>
            </w:pPr>
            <w:r w:rsidRPr="009876DB">
              <w:rPr>
                <w:rFonts w:cstheme="minorHAnsi"/>
                <w:sz w:val="22"/>
              </w:rPr>
              <w:t>Beta</w:t>
            </w:r>
          </w:p>
        </w:tc>
      </w:tr>
      <w:tr w:rsidR="00433DF3" w:rsidRPr="00854503" w14:paraId="67B6916D" w14:textId="77777777" w:rsidTr="00C071C3">
        <w:trPr>
          <w:trHeight w:val="288"/>
        </w:trPr>
        <w:tc>
          <w:tcPr>
            <w:tcW w:w="4892" w:type="dxa"/>
            <w:shd w:val="clear" w:color="auto" w:fill="auto"/>
            <w:noWrap/>
          </w:tcPr>
          <w:p w14:paraId="62E4C747" w14:textId="77777777" w:rsidR="00433DF3" w:rsidRPr="009456DF" w:rsidRDefault="00433DF3" w:rsidP="00C071C3">
            <w:pPr>
              <w:spacing w:after="0" w:line="240" w:lineRule="auto"/>
              <w:contextualSpacing/>
              <w:rPr>
                <w:rFonts w:asciiTheme="minorHAnsi" w:hAnsiTheme="minorHAnsi" w:cstheme="minorHAnsi"/>
                <w:sz w:val="22"/>
              </w:rPr>
            </w:pPr>
            <w:r w:rsidRPr="009876DB">
              <w:rPr>
                <w:rFonts w:cstheme="minorHAnsi"/>
                <w:sz w:val="22"/>
              </w:rPr>
              <w:t xml:space="preserve">Probability of TF for AOM given narrow-spectrum antibiotic 6 </w:t>
            </w:r>
            <w:proofErr w:type="spellStart"/>
            <w:r w:rsidRPr="009876DB">
              <w:rPr>
                <w:rFonts w:cstheme="minorHAnsi"/>
                <w:sz w:val="22"/>
              </w:rPr>
              <w:t>yr</w:t>
            </w:r>
            <w:proofErr w:type="spellEnd"/>
            <w:r w:rsidRPr="009876DB">
              <w:rPr>
                <w:rFonts w:cstheme="minorHAnsi"/>
                <w:sz w:val="22"/>
              </w:rPr>
              <w:t xml:space="preserve">–12 </w:t>
            </w:r>
            <w:proofErr w:type="spellStart"/>
            <w:r w:rsidRPr="009876DB">
              <w:rPr>
                <w:rFonts w:cstheme="minorHAnsi"/>
                <w:sz w:val="22"/>
              </w:rPr>
              <w:t>yr</w:t>
            </w:r>
            <w:proofErr w:type="spellEnd"/>
          </w:p>
        </w:tc>
        <w:tc>
          <w:tcPr>
            <w:tcW w:w="1170" w:type="dxa"/>
            <w:noWrap/>
          </w:tcPr>
          <w:p w14:paraId="7DBDD717"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rFonts w:cstheme="minorHAnsi"/>
                <w:sz w:val="22"/>
              </w:rPr>
              <w:t>0.035</w:t>
            </w:r>
          </w:p>
        </w:tc>
        <w:tc>
          <w:tcPr>
            <w:tcW w:w="1042" w:type="dxa"/>
            <w:noWrap/>
          </w:tcPr>
          <w:p w14:paraId="76F1878F"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0.034</w:t>
            </w:r>
          </w:p>
        </w:tc>
        <w:tc>
          <w:tcPr>
            <w:tcW w:w="1085" w:type="dxa"/>
            <w:noWrap/>
          </w:tcPr>
          <w:p w14:paraId="2AEA830B"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0.032</w:t>
            </w:r>
          </w:p>
        </w:tc>
        <w:tc>
          <w:tcPr>
            <w:tcW w:w="985" w:type="dxa"/>
            <w:noWrap/>
          </w:tcPr>
          <w:p w14:paraId="01B20DD9"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p>
        </w:tc>
        <w:tc>
          <w:tcPr>
            <w:tcW w:w="1028" w:type="dxa"/>
            <w:noWrap/>
          </w:tcPr>
          <w:p w14:paraId="26C9F0EF"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575</w:t>
            </w:r>
          </w:p>
        </w:tc>
        <w:tc>
          <w:tcPr>
            <w:tcW w:w="900" w:type="dxa"/>
            <w:noWrap/>
          </w:tcPr>
          <w:p w14:paraId="2C2CD606"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15823</w:t>
            </w:r>
          </w:p>
        </w:tc>
        <w:tc>
          <w:tcPr>
            <w:tcW w:w="1800" w:type="dxa"/>
            <w:noWrap/>
          </w:tcPr>
          <w:p w14:paraId="4F1B5C73" w14:textId="77777777" w:rsidR="00433DF3" w:rsidRPr="009456DF" w:rsidRDefault="00433DF3" w:rsidP="00C071C3">
            <w:pPr>
              <w:spacing w:after="0" w:line="240" w:lineRule="auto"/>
              <w:contextualSpacing/>
              <w:jc w:val="center"/>
              <w:rPr>
                <w:rFonts w:asciiTheme="minorHAnsi" w:hAnsiTheme="minorHAnsi" w:cstheme="minorHAnsi"/>
                <w:sz w:val="22"/>
              </w:rPr>
            </w:pPr>
            <w:r w:rsidRPr="009876DB">
              <w:rPr>
                <w:rFonts w:cstheme="minorHAnsi"/>
                <w:sz w:val="22"/>
              </w:rPr>
              <w:t>Beta</w:t>
            </w:r>
          </w:p>
        </w:tc>
      </w:tr>
      <w:tr w:rsidR="00433DF3" w:rsidRPr="00854503" w14:paraId="33A4F723" w14:textId="77777777" w:rsidTr="00C071C3">
        <w:trPr>
          <w:trHeight w:val="288"/>
        </w:trPr>
        <w:tc>
          <w:tcPr>
            <w:tcW w:w="4892" w:type="dxa"/>
            <w:noWrap/>
          </w:tcPr>
          <w:p w14:paraId="61F5E0C8" w14:textId="77777777" w:rsidR="00433DF3" w:rsidRPr="00854503" w:rsidRDefault="00433DF3" w:rsidP="00C071C3">
            <w:pPr>
              <w:spacing w:after="0" w:line="240" w:lineRule="auto"/>
              <w:contextualSpacing/>
              <w:rPr>
                <w:rFonts w:asciiTheme="minorHAnsi" w:hAnsiTheme="minorHAnsi" w:cstheme="minorHAnsi"/>
                <w:sz w:val="22"/>
              </w:rPr>
            </w:pPr>
            <w:r w:rsidRPr="00854503">
              <w:rPr>
                <w:rFonts w:asciiTheme="minorHAnsi" w:hAnsiTheme="minorHAnsi" w:cstheme="minorHAnsi"/>
                <w:sz w:val="22"/>
              </w:rPr>
              <w:t>Probability of TF for AS given narrow-spectrum antibiotic</w:t>
            </w:r>
          </w:p>
        </w:tc>
        <w:tc>
          <w:tcPr>
            <w:tcW w:w="1170" w:type="dxa"/>
            <w:noWrap/>
          </w:tcPr>
          <w:p w14:paraId="30BD3EDC"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0.015</w:t>
            </w:r>
          </w:p>
        </w:tc>
        <w:tc>
          <w:tcPr>
            <w:tcW w:w="1042" w:type="dxa"/>
            <w:noWrap/>
          </w:tcPr>
          <w:p w14:paraId="67214E78"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0.011</w:t>
            </w:r>
          </w:p>
        </w:tc>
        <w:tc>
          <w:tcPr>
            <w:tcW w:w="1085" w:type="dxa"/>
            <w:noWrap/>
          </w:tcPr>
          <w:p w14:paraId="03CC358D"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0.019</w:t>
            </w:r>
          </w:p>
        </w:tc>
        <w:tc>
          <w:tcPr>
            <w:tcW w:w="985" w:type="dxa"/>
            <w:noWrap/>
          </w:tcPr>
          <w:p w14:paraId="4C2F2189" w14:textId="77777777" w:rsidR="00433DF3" w:rsidRPr="00854503" w:rsidRDefault="00433DF3" w:rsidP="00C071C3">
            <w:pPr>
              <w:spacing w:after="0" w:line="240" w:lineRule="auto"/>
              <w:contextualSpacing/>
              <w:jc w:val="center"/>
              <w:rPr>
                <w:rFonts w:asciiTheme="minorHAnsi" w:hAnsiTheme="minorHAnsi" w:cstheme="minorHAnsi"/>
                <w:sz w:val="22"/>
              </w:rPr>
            </w:pPr>
          </w:p>
        </w:tc>
        <w:tc>
          <w:tcPr>
            <w:tcW w:w="1028" w:type="dxa"/>
            <w:noWrap/>
          </w:tcPr>
          <w:p w14:paraId="47267144"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51</w:t>
            </w:r>
          </w:p>
        </w:tc>
        <w:tc>
          <w:tcPr>
            <w:tcW w:w="900" w:type="dxa"/>
            <w:noWrap/>
          </w:tcPr>
          <w:p w14:paraId="28D41825"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3349</w:t>
            </w:r>
          </w:p>
        </w:tc>
        <w:tc>
          <w:tcPr>
            <w:tcW w:w="1800" w:type="dxa"/>
            <w:noWrap/>
          </w:tcPr>
          <w:p w14:paraId="6BAF0022"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Beta</w:t>
            </w:r>
          </w:p>
        </w:tc>
      </w:tr>
      <w:tr w:rsidR="00433DF3" w:rsidRPr="00854503" w14:paraId="22584BC7" w14:textId="77777777" w:rsidTr="00C071C3">
        <w:trPr>
          <w:trHeight w:val="288"/>
        </w:trPr>
        <w:tc>
          <w:tcPr>
            <w:tcW w:w="4892" w:type="dxa"/>
            <w:noWrap/>
          </w:tcPr>
          <w:p w14:paraId="5AA9CB03" w14:textId="77777777" w:rsidR="00433DF3" w:rsidRPr="00854503" w:rsidRDefault="00433DF3" w:rsidP="00C071C3">
            <w:pPr>
              <w:spacing w:after="0" w:line="240" w:lineRule="auto"/>
              <w:contextualSpacing/>
              <w:rPr>
                <w:rFonts w:asciiTheme="minorHAnsi" w:hAnsiTheme="minorHAnsi" w:cstheme="minorHAnsi"/>
                <w:sz w:val="22"/>
              </w:rPr>
            </w:pPr>
            <w:r w:rsidRPr="00854503">
              <w:rPr>
                <w:rFonts w:asciiTheme="minorHAnsi" w:hAnsiTheme="minorHAnsi" w:cstheme="minorHAnsi"/>
                <w:sz w:val="22"/>
              </w:rPr>
              <w:t>Probability of TF for GAS given narrow-spectrum antibiotic</w:t>
            </w:r>
          </w:p>
        </w:tc>
        <w:tc>
          <w:tcPr>
            <w:tcW w:w="1170" w:type="dxa"/>
            <w:noWrap/>
          </w:tcPr>
          <w:p w14:paraId="3EDE0F00"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0.024</w:t>
            </w:r>
          </w:p>
        </w:tc>
        <w:tc>
          <w:tcPr>
            <w:tcW w:w="1042" w:type="dxa"/>
            <w:noWrap/>
          </w:tcPr>
          <w:p w14:paraId="67F255D4"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0.020</w:t>
            </w:r>
          </w:p>
        </w:tc>
        <w:tc>
          <w:tcPr>
            <w:tcW w:w="1085" w:type="dxa"/>
            <w:noWrap/>
          </w:tcPr>
          <w:p w14:paraId="56D39642"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0.028</w:t>
            </w:r>
          </w:p>
        </w:tc>
        <w:tc>
          <w:tcPr>
            <w:tcW w:w="985" w:type="dxa"/>
            <w:noWrap/>
          </w:tcPr>
          <w:p w14:paraId="0E383F91" w14:textId="77777777" w:rsidR="00433DF3" w:rsidRPr="00854503" w:rsidRDefault="00433DF3" w:rsidP="00C071C3">
            <w:pPr>
              <w:spacing w:after="0" w:line="240" w:lineRule="auto"/>
              <w:contextualSpacing/>
              <w:jc w:val="center"/>
              <w:rPr>
                <w:rFonts w:asciiTheme="minorHAnsi" w:hAnsiTheme="minorHAnsi" w:cstheme="minorHAnsi"/>
                <w:sz w:val="22"/>
              </w:rPr>
            </w:pPr>
          </w:p>
        </w:tc>
        <w:tc>
          <w:tcPr>
            <w:tcW w:w="1028" w:type="dxa"/>
            <w:noWrap/>
          </w:tcPr>
          <w:p w14:paraId="1EEB4C22"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144</w:t>
            </w:r>
          </w:p>
        </w:tc>
        <w:tc>
          <w:tcPr>
            <w:tcW w:w="900" w:type="dxa"/>
            <w:noWrap/>
          </w:tcPr>
          <w:p w14:paraId="43D47F81"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5819</w:t>
            </w:r>
          </w:p>
        </w:tc>
        <w:tc>
          <w:tcPr>
            <w:tcW w:w="1800" w:type="dxa"/>
            <w:noWrap/>
          </w:tcPr>
          <w:p w14:paraId="4A2C58D2"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Beta</w:t>
            </w:r>
          </w:p>
        </w:tc>
      </w:tr>
      <w:tr w:rsidR="00433DF3" w:rsidRPr="00854503" w14:paraId="03931B25" w14:textId="77777777" w:rsidTr="00C071C3">
        <w:trPr>
          <w:trHeight w:val="288"/>
        </w:trPr>
        <w:tc>
          <w:tcPr>
            <w:tcW w:w="4892" w:type="dxa"/>
            <w:noWrap/>
          </w:tcPr>
          <w:p w14:paraId="305FE2D1" w14:textId="77777777" w:rsidR="00433DF3" w:rsidRPr="009456DF" w:rsidRDefault="00433DF3" w:rsidP="00C071C3">
            <w:pPr>
              <w:spacing w:after="0" w:line="240" w:lineRule="auto"/>
              <w:contextualSpacing/>
              <w:rPr>
                <w:rFonts w:asciiTheme="minorHAnsi" w:hAnsiTheme="minorHAnsi" w:cstheme="minorHAnsi"/>
                <w:sz w:val="22"/>
              </w:rPr>
            </w:pPr>
            <w:r w:rsidRPr="009876DB">
              <w:rPr>
                <w:rFonts w:cstheme="minorHAnsi"/>
                <w:sz w:val="22"/>
              </w:rPr>
              <w:lastRenderedPageBreak/>
              <w:t xml:space="preserve">Probability of TF for AOM given broad-spectrum antibiotic, 6 </w:t>
            </w:r>
            <w:proofErr w:type="spellStart"/>
            <w:r w:rsidRPr="009876DB">
              <w:rPr>
                <w:rFonts w:cstheme="minorHAnsi"/>
                <w:sz w:val="22"/>
              </w:rPr>
              <w:t>mo</w:t>
            </w:r>
            <w:proofErr w:type="spellEnd"/>
            <w:r w:rsidRPr="009876DB">
              <w:rPr>
                <w:rFonts w:cstheme="minorHAnsi"/>
                <w:sz w:val="22"/>
              </w:rPr>
              <w:t xml:space="preserve"> to &lt; 2 </w:t>
            </w:r>
            <w:proofErr w:type="spellStart"/>
            <w:r w:rsidRPr="009876DB">
              <w:rPr>
                <w:rFonts w:cstheme="minorHAnsi"/>
                <w:sz w:val="22"/>
              </w:rPr>
              <w:t>yr</w:t>
            </w:r>
            <w:proofErr w:type="spellEnd"/>
          </w:p>
        </w:tc>
        <w:tc>
          <w:tcPr>
            <w:tcW w:w="1170" w:type="dxa"/>
            <w:noWrap/>
          </w:tcPr>
          <w:p w14:paraId="698D3760"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rFonts w:cstheme="minorHAnsi"/>
                <w:sz w:val="22"/>
              </w:rPr>
              <w:t>0.046</w:t>
            </w:r>
          </w:p>
        </w:tc>
        <w:tc>
          <w:tcPr>
            <w:tcW w:w="1042" w:type="dxa"/>
            <w:noWrap/>
          </w:tcPr>
          <w:p w14:paraId="69925AB4"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0.039</w:t>
            </w:r>
          </w:p>
        </w:tc>
        <w:tc>
          <w:tcPr>
            <w:tcW w:w="1085" w:type="dxa"/>
            <w:noWrap/>
          </w:tcPr>
          <w:p w14:paraId="2EAE9CC2"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0.054</w:t>
            </w:r>
          </w:p>
        </w:tc>
        <w:tc>
          <w:tcPr>
            <w:tcW w:w="985" w:type="dxa"/>
            <w:noWrap/>
          </w:tcPr>
          <w:p w14:paraId="7BC0917E"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p>
        </w:tc>
        <w:tc>
          <w:tcPr>
            <w:tcW w:w="1028" w:type="dxa"/>
            <w:noWrap/>
          </w:tcPr>
          <w:p w14:paraId="259A98DE" w14:textId="77777777" w:rsidR="00433DF3" w:rsidRPr="009876DB" w:rsidRDefault="00433DF3" w:rsidP="00C071C3">
            <w:pPr>
              <w:spacing w:after="0" w:line="240" w:lineRule="auto"/>
              <w:contextualSpacing/>
              <w:jc w:val="center"/>
              <w:rPr>
                <w:rFonts w:asciiTheme="minorHAnsi" w:hAnsiTheme="minorHAnsi" w:cstheme="minorHAnsi"/>
                <w:sz w:val="22"/>
                <w:szCs w:val="24"/>
                <w:highlight w:val="yellow"/>
              </w:rPr>
            </w:pPr>
            <w:r w:rsidRPr="0007382E">
              <w:rPr>
                <w:szCs w:val="24"/>
              </w:rPr>
              <w:t>124</w:t>
            </w:r>
          </w:p>
        </w:tc>
        <w:tc>
          <w:tcPr>
            <w:tcW w:w="900" w:type="dxa"/>
            <w:noWrap/>
          </w:tcPr>
          <w:p w14:paraId="36E74D7F" w14:textId="77777777" w:rsidR="00433DF3" w:rsidRPr="009876DB" w:rsidRDefault="00433DF3" w:rsidP="00C071C3">
            <w:pPr>
              <w:spacing w:after="0" w:line="240" w:lineRule="auto"/>
              <w:contextualSpacing/>
              <w:jc w:val="center"/>
              <w:rPr>
                <w:rFonts w:asciiTheme="minorHAnsi" w:hAnsiTheme="minorHAnsi" w:cstheme="minorHAnsi"/>
                <w:sz w:val="22"/>
                <w:szCs w:val="24"/>
                <w:highlight w:val="yellow"/>
              </w:rPr>
            </w:pPr>
            <w:r w:rsidRPr="0007382E">
              <w:rPr>
                <w:szCs w:val="24"/>
              </w:rPr>
              <w:t>2564</w:t>
            </w:r>
          </w:p>
        </w:tc>
        <w:tc>
          <w:tcPr>
            <w:tcW w:w="1800" w:type="dxa"/>
            <w:noWrap/>
          </w:tcPr>
          <w:p w14:paraId="6294DA99" w14:textId="77777777" w:rsidR="00433DF3" w:rsidRPr="00AB09A1" w:rsidRDefault="00433DF3" w:rsidP="00C071C3">
            <w:pPr>
              <w:spacing w:after="0" w:line="240" w:lineRule="auto"/>
              <w:contextualSpacing/>
              <w:jc w:val="center"/>
              <w:rPr>
                <w:rFonts w:asciiTheme="minorHAnsi" w:hAnsiTheme="minorHAnsi" w:cstheme="minorHAnsi"/>
                <w:sz w:val="22"/>
                <w:szCs w:val="24"/>
              </w:rPr>
            </w:pPr>
            <w:r w:rsidRPr="0007382E">
              <w:rPr>
                <w:rFonts w:cstheme="minorHAnsi"/>
                <w:szCs w:val="24"/>
              </w:rPr>
              <w:t>Beta</w:t>
            </w:r>
          </w:p>
        </w:tc>
      </w:tr>
      <w:tr w:rsidR="00433DF3" w:rsidRPr="00854503" w14:paraId="0E016C2A" w14:textId="77777777" w:rsidTr="00C071C3">
        <w:trPr>
          <w:trHeight w:val="288"/>
        </w:trPr>
        <w:tc>
          <w:tcPr>
            <w:tcW w:w="4892" w:type="dxa"/>
            <w:noWrap/>
          </w:tcPr>
          <w:p w14:paraId="3D84FBB6" w14:textId="77777777" w:rsidR="00433DF3" w:rsidRPr="009456DF" w:rsidRDefault="00433DF3" w:rsidP="00C071C3">
            <w:pPr>
              <w:spacing w:after="0" w:line="240" w:lineRule="auto"/>
              <w:contextualSpacing/>
              <w:rPr>
                <w:rFonts w:asciiTheme="minorHAnsi" w:hAnsiTheme="minorHAnsi" w:cstheme="minorHAnsi"/>
                <w:sz w:val="22"/>
              </w:rPr>
            </w:pPr>
            <w:r w:rsidRPr="009876DB">
              <w:rPr>
                <w:rFonts w:cstheme="minorHAnsi"/>
                <w:sz w:val="22"/>
              </w:rPr>
              <w:t xml:space="preserve">Probability of TF for AOM given broad-spectrum antibiotic, 2 </w:t>
            </w:r>
            <w:proofErr w:type="spellStart"/>
            <w:r w:rsidRPr="009876DB">
              <w:rPr>
                <w:rFonts w:cstheme="minorHAnsi"/>
                <w:sz w:val="22"/>
              </w:rPr>
              <w:t>yr</w:t>
            </w:r>
            <w:proofErr w:type="spellEnd"/>
            <w:r w:rsidRPr="009876DB">
              <w:rPr>
                <w:rFonts w:cstheme="minorHAnsi"/>
                <w:sz w:val="22"/>
              </w:rPr>
              <w:t xml:space="preserve">–6 </w:t>
            </w:r>
            <w:proofErr w:type="spellStart"/>
            <w:r w:rsidRPr="009876DB">
              <w:rPr>
                <w:rFonts w:cstheme="minorHAnsi"/>
                <w:sz w:val="22"/>
              </w:rPr>
              <w:t>yr</w:t>
            </w:r>
            <w:proofErr w:type="spellEnd"/>
          </w:p>
        </w:tc>
        <w:tc>
          <w:tcPr>
            <w:tcW w:w="1170" w:type="dxa"/>
            <w:noWrap/>
          </w:tcPr>
          <w:p w14:paraId="31B94178"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rFonts w:cstheme="minorHAnsi"/>
                <w:sz w:val="22"/>
              </w:rPr>
              <w:t>0.046</w:t>
            </w:r>
          </w:p>
        </w:tc>
        <w:tc>
          <w:tcPr>
            <w:tcW w:w="1042" w:type="dxa"/>
            <w:noWrap/>
          </w:tcPr>
          <w:p w14:paraId="2B1175F5"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0.039</w:t>
            </w:r>
          </w:p>
        </w:tc>
        <w:tc>
          <w:tcPr>
            <w:tcW w:w="1085" w:type="dxa"/>
            <w:noWrap/>
          </w:tcPr>
          <w:p w14:paraId="57E6F7EB"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0.054</w:t>
            </w:r>
          </w:p>
        </w:tc>
        <w:tc>
          <w:tcPr>
            <w:tcW w:w="985" w:type="dxa"/>
            <w:noWrap/>
          </w:tcPr>
          <w:p w14:paraId="52C1C9E3"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p>
        </w:tc>
        <w:tc>
          <w:tcPr>
            <w:tcW w:w="1028" w:type="dxa"/>
            <w:noWrap/>
          </w:tcPr>
          <w:p w14:paraId="6F6AE94C"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7E2AB1">
              <w:rPr>
                <w:sz w:val="22"/>
                <w:szCs w:val="24"/>
              </w:rPr>
              <w:t>124</w:t>
            </w:r>
          </w:p>
        </w:tc>
        <w:tc>
          <w:tcPr>
            <w:tcW w:w="900" w:type="dxa"/>
            <w:noWrap/>
          </w:tcPr>
          <w:p w14:paraId="7384EEA9"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7E2AB1">
              <w:rPr>
                <w:sz w:val="22"/>
                <w:szCs w:val="24"/>
              </w:rPr>
              <w:t>2564</w:t>
            </w:r>
          </w:p>
        </w:tc>
        <w:tc>
          <w:tcPr>
            <w:tcW w:w="1800" w:type="dxa"/>
            <w:noWrap/>
          </w:tcPr>
          <w:p w14:paraId="4DC4B285" w14:textId="77777777" w:rsidR="00433DF3" w:rsidRPr="00AB09A1" w:rsidRDefault="00433DF3" w:rsidP="00C071C3">
            <w:pPr>
              <w:spacing w:after="0" w:line="240" w:lineRule="auto"/>
              <w:contextualSpacing/>
              <w:jc w:val="center"/>
              <w:rPr>
                <w:rFonts w:asciiTheme="minorHAnsi" w:hAnsiTheme="minorHAnsi" w:cstheme="minorHAnsi"/>
                <w:sz w:val="22"/>
                <w:szCs w:val="24"/>
              </w:rPr>
            </w:pPr>
            <w:r w:rsidRPr="0007382E">
              <w:rPr>
                <w:rFonts w:cstheme="minorHAnsi"/>
                <w:szCs w:val="24"/>
              </w:rPr>
              <w:t>Beta</w:t>
            </w:r>
          </w:p>
        </w:tc>
      </w:tr>
      <w:tr w:rsidR="00433DF3" w:rsidRPr="00854503" w14:paraId="19A2EC40" w14:textId="77777777" w:rsidTr="00C071C3">
        <w:trPr>
          <w:trHeight w:val="288"/>
        </w:trPr>
        <w:tc>
          <w:tcPr>
            <w:tcW w:w="4892" w:type="dxa"/>
            <w:noWrap/>
          </w:tcPr>
          <w:p w14:paraId="679F448C" w14:textId="77777777" w:rsidR="00433DF3" w:rsidRPr="009456DF" w:rsidRDefault="00433DF3" w:rsidP="00C071C3">
            <w:pPr>
              <w:spacing w:after="0" w:line="240" w:lineRule="auto"/>
              <w:contextualSpacing/>
              <w:rPr>
                <w:rFonts w:asciiTheme="minorHAnsi" w:hAnsiTheme="minorHAnsi" w:cstheme="minorHAnsi"/>
                <w:sz w:val="22"/>
              </w:rPr>
            </w:pPr>
            <w:r w:rsidRPr="009876DB">
              <w:rPr>
                <w:rFonts w:cstheme="minorHAnsi"/>
                <w:sz w:val="22"/>
              </w:rPr>
              <w:t xml:space="preserve">Probability of TF for AOM given broad-spectrum antibiotic 6 </w:t>
            </w:r>
            <w:proofErr w:type="spellStart"/>
            <w:r w:rsidRPr="009876DB">
              <w:rPr>
                <w:rFonts w:cstheme="minorHAnsi"/>
                <w:sz w:val="22"/>
              </w:rPr>
              <w:t>yr</w:t>
            </w:r>
            <w:proofErr w:type="spellEnd"/>
            <w:r w:rsidRPr="009876DB">
              <w:rPr>
                <w:rFonts w:cstheme="minorHAnsi"/>
                <w:sz w:val="22"/>
              </w:rPr>
              <w:t xml:space="preserve">–12 </w:t>
            </w:r>
            <w:proofErr w:type="spellStart"/>
            <w:r w:rsidRPr="009876DB">
              <w:rPr>
                <w:rFonts w:cstheme="minorHAnsi"/>
                <w:sz w:val="22"/>
              </w:rPr>
              <w:t>yr</w:t>
            </w:r>
            <w:proofErr w:type="spellEnd"/>
          </w:p>
        </w:tc>
        <w:tc>
          <w:tcPr>
            <w:tcW w:w="1170" w:type="dxa"/>
            <w:noWrap/>
          </w:tcPr>
          <w:p w14:paraId="64159F06"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rFonts w:cstheme="minorHAnsi"/>
                <w:sz w:val="22"/>
              </w:rPr>
              <w:t>0.046</w:t>
            </w:r>
          </w:p>
        </w:tc>
        <w:tc>
          <w:tcPr>
            <w:tcW w:w="1042" w:type="dxa"/>
            <w:noWrap/>
          </w:tcPr>
          <w:p w14:paraId="2C82A629"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0.039</w:t>
            </w:r>
          </w:p>
        </w:tc>
        <w:tc>
          <w:tcPr>
            <w:tcW w:w="1085" w:type="dxa"/>
            <w:noWrap/>
          </w:tcPr>
          <w:p w14:paraId="2B2D4BD6"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9876DB">
              <w:rPr>
                <w:sz w:val="22"/>
              </w:rPr>
              <w:t>0.054</w:t>
            </w:r>
          </w:p>
        </w:tc>
        <w:tc>
          <w:tcPr>
            <w:tcW w:w="985" w:type="dxa"/>
            <w:noWrap/>
          </w:tcPr>
          <w:p w14:paraId="03C31B86"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p>
        </w:tc>
        <w:tc>
          <w:tcPr>
            <w:tcW w:w="1028" w:type="dxa"/>
            <w:noWrap/>
          </w:tcPr>
          <w:p w14:paraId="6F03A1CB"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7E2AB1">
              <w:rPr>
                <w:sz w:val="22"/>
                <w:szCs w:val="24"/>
              </w:rPr>
              <w:t>124</w:t>
            </w:r>
          </w:p>
        </w:tc>
        <w:tc>
          <w:tcPr>
            <w:tcW w:w="900" w:type="dxa"/>
            <w:noWrap/>
          </w:tcPr>
          <w:p w14:paraId="7962D8D6" w14:textId="77777777" w:rsidR="00433DF3" w:rsidRPr="009876DB" w:rsidRDefault="00433DF3" w:rsidP="00C071C3">
            <w:pPr>
              <w:spacing w:after="0" w:line="240" w:lineRule="auto"/>
              <w:contextualSpacing/>
              <w:jc w:val="center"/>
              <w:rPr>
                <w:rFonts w:asciiTheme="minorHAnsi" w:hAnsiTheme="minorHAnsi" w:cstheme="minorHAnsi"/>
                <w:sz w:val="22"/>
                <w:highlight w:val="yellow"/>
              </w:rPr>
            </w:pPr>
            <w:r w:rsidRPr="007E2AB1">
              <w:rPr>
                <w:sz w:val="22"/>
                <w:szCs w:val="24"/>
              </w:rPr>
              <w:t>2564</w:t>
            </w:r>
          </w:p>
        </w:tc>
        <w:tc>
          <w:tcPr>
            <w:tcW w:w="1800" w:type="dxa"/>
            <w:noWrap/>
          </w:tcPr>
          <w:p w14:paraId="60257FC1" w14:textId="77777777" w:rsidR="00433DF3" w:rsidRPr="00AB09A1" w:rsidRDefault="00433DF3" w:rsidP="00C071C3">
            <w:pPr>
              <w:spacing w:after="0" w:line="240" w:lineRule="auto"/>
              <w:contextualSpacing/>
              <w:jc w:val="center"/>
              <w:rPr>
                <w:rFonts w:asciiTheme="minorHAnsi" w:hAnsiTheme="minorHAnsi" w:cstheme="minorHAnsi"/>
                <w:sz w:val="22"/>
                <w:szCs w:val="24"/>
              </w:rPr>
            </w:pPr>
            <w:r w:rsidRPr="0007382E">
              <w:rPr>
                <w:rFonts w:cstheme="minorHAnsi"/>
                <w:szCs w:val="24"/>
              </w:rPr>
              <w:t>Beta</w:t>
            </w:r>
          </w:p>
        </w:tc>
      </w:tr>
      <w:tr w:rsidR="00433DF3" w:rsidRPr="00854503" w14:paraId="128482A1" w14:textId="77777777" w:rsidTr="00C071C3">
        <w:trPr>
          <w:trHeight w:val="288"/>
        </w:trPr>
        <w:tc>
          <w:tcPr>
            <w:tcW w:w="4892" w:type="dxa"/>
            <w:noWrap/>
          </w:tcPr>
          <w:p w14:paraId="1A4E24A0" w14:textId="77777777" w:rsidR="00433DF3" w:rsidRPr="00854503" w:rsidRDefault="00433DF3" w:rsidP="00C071C3">
            <w:pPr>
              <w:spacing w:after="0" w:line="240" w:lineRule="auto"/>
              <w:contextualSpacing/>
              <w:rPr>
                <w:rFonts w:asciiTheme="minorHAnsi" w:hAnsiTheme="minorHAnsi" w:cstheme="minorHAnsi"/>
                <w:sz w:val="22"/>
              </w:rPr>
            </w:pPr>
            <w:r w:rsidRPr="00854503">
              <w:rPr>
                <w:rFonts w:asciiTheme="minorHAnsi" w:hAnsiTheme="minorHAnsi" w:cstheme="minorHAnsi"/>
                <w:sz w:val="22"/>
              </w:rPr>
              <w:t>Risk difference for treatment failure for AS at 14 days given broad- versus narrow-spectrum antibiotic</w:t>
            </w:r>
          </w:p>
        </w:tc>
        <w:tc>
          <w:tcPr>
            <w:tcW w:w="1170" w:type="dxa"/>
            <w:noWrap/>
          </w:tcPr>
          <w:p w14:paraId="42DFCBA4"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0.005</w:t>
            </w:r>
          </w:p>
        </w:tc>
        <w:tc>
          <w:tcPr>
            <w:tcW w:w="1042" w:type="dxa"/>
            <w:noWrap/>
          </w:tcPr>
          <w:p w14:paraId="1E94314A"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-0.006</w:t>
            </w:r>
          </w:p>
        </w:tc>
        <w:tc>
          <w:tcPr>
            <w:tcW w:w="1085" w:type="dxa"/>
            <w:noWrap/>
          </w:tcPr>
          <w:p w14:paraId="3633AE23"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0.016</w:t>
            </w:r>
          </w:p>
        </w:tc>
        <w:tc>
          <w:tcPr>
            <w:tcW w:w="985" w:type="dxa"/>
            <w:noWrap/>
          </w:tcPr>
          <w:p w14:paraId="77AC4EC7"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0.01</w:t>
            </w:r>
          </w:p>
        </w:tc>
        <w:tc>
          <w:tcPr>
            <w:tcW w:w="1028" w:type="dxa"/>
            <w:noWrap/>
          </w:tcPr>
          <w:p w14:paraId="28570EDF" w14:textId="77777777" w:rsidR="00433DF3" w:rsidRPr="00854503" w:rsidRDefault="00433DF3" w:rsidP="00C071C3">
            <w:pPr>
              <w:spacing w:after="0" w:line="240" w:lineRule="auto"/>
              <w:contextualSpacing/>
              <w:jc w:val="center"/>
              <w:rPr>
                <w:rFonts w:asciiTheme="minorHAnsi" w:hAnsiTheme="minorHAnsi" w:cstheme="minorHAnsi"/>
                <w:sz w:val="22"/>
              </w:rPr>
            </w:pPr>
          </w:p>
        </w:tc>
        <w:tc>
          <w:tcPr>
            <w:tcW w:w="900" w:type="dxa"/>
            <w:noWrap/>
          </w:tcPr>
          <w:p w14:paraId="2EE24E1D" w14:textId="77777777" w:rsidR="00433DF3" w:rsidRPr="00854503" w:rsidRDefault="00433DF3" w:rsidP="00C071C3">
            <w:pPr>
              <w:spacing w:after="0" w:line="240" w:lineRule="auto"/>
              <w:contextualSpacing/>
              <w:jc w:val="center"/>
              <w:rPr>
                <w:rFonts w:asciiTheme="minorHAnsi" w:hAnsiTheme="minorHAnsi" w:cstheme="minorHAnsi"/>
                <w:sz w:val="22"/>
              </w:rPr>
            </w:pPr>
          </w:p>
        </w:tc>
        <w:tc>
          <w:tcPr>
            <w:tcW w:w="1800" w:type="dxa"/>
            <w:noWrap/>
          </w:tcPr>
          <w:p w14:paraId="3ADB84DA"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0ED1FF9D" w14:textId="77777777" w:rsidTr="00C071C3">
        <w:trPr>
          <w:trHeight w:val="288"/>
        </w:trPr>
        <w:tc>
          <w:tcPr>
            <w:tcW w:w="4892" w:type="dxa"/>
            <w:noWrap/>
          </w:tcPr>
          <w:p w14:paraId="00940F64" w14:textId="77777777" w:rsidR="00433DF3" w:rsidRPr="00854503" w:rsidRDefault="00433DF3" w:rsidP="00C071C3">
            <w:pPr>
              <w:spacing w:after="0" w:line="240" w:lineRule="auto"/>
              <w:contextualSpacing/>
              <w:rPr>
                <w:rFonts w:asciiTheme="minorHAnsi" w:hAnsiTheme="minorHAnsi" w:cstheme="minorHAnsi"/>
                <w:sz w:val="22"/>
              </w:rPr>
            </w:pPr>
            <w:r w:rsidRPr="00854503">
              <w:rPr>
                <w:rFonts w:asciiTheme="minorHAnsi" w:hAnsiTheme="minorHAnsi" w:cstheme="minorHAnsi"/>
                <w:sz w:val="22"/>
              </w:rPr>
              <w:t>Risk difference for treatment failure for GAS at 14 days given broad- versus narrow-spectrum antibiotic</w:t>
            </w:r>
          </w:p>
        </w:tc>
        <w:tc>
          <w:tcPr>
            <w:tcW w:w="1170" w:type="dxa"/>
            <w:noWrap/>
          </w:tcPr>
          <w:p w14:paraId="4B1F2BF2"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-0.013</w:t>
            </w:r>
          </w:p>
        </w:tc>
        <w:tc>
          <w:tcPr>
            <w:tcW w:w="1042" w:type="dxa"/>
            <w:noWrap/>
          </w:tcPr>
          <w:p w14:paraId="05E5BABC"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-0.022</w:t>
            </w:r>
          </w:p>
        </w:tc>
        <w:tc>
          <w:tcPr>
            <w:tcW w:w="1085" w:type="dxa"/>
            <w:noWrap/>
          </w:tcPr>
          <w:p w14:paraId="593978BD"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-0.003</w:t>
            </w:r>
          </w:p>
        </w:tc>
        <w:tc>
          <w:tcPr>
            <w:tcW w:w="985" w:type="dxa"/>
            <w:noWrap/>
          </w:tcPr>
          <w:p w14:paraId="0CD9DE94"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0.00</w:t>
            </w:r>
          </w:p>
        </w:tc>
        <w:tc>
          <w:tcPr>
            <w:tcW w:w="1028" w:type="dxa"/>
            <w:noWrap/>
          </w:tcPr>
          <w:p w14:paraId="1D3C872B" w14:textId="77777777" w:rsidR="00433DF3" w:rsidRPr="00854503" w:rsidRDefault="00433DF3" w:rsidP="00C071C3">
            <w:pPr>
              <w:spacing w:after="0" w:line="240" w:lineRule="auto"/>
              <w:contextualSpacing/>
              <w:jc w:val="center"/>
              <w:rPr>
                <w:rFonts w:asciiTheme="minorHAnsi" w:hAnsiTheme="minorHAnsi" w:cstheme="minorHAnsi"/>
                <w:sz w:val="22"/>
              </w:rPr>
            </w:pPr>
          </w:p>
        </w:tc>
        <w:tc>
          <w:tcPr>
            <w:tcW w:w="900" w:type="dxa"/>
            <w:noWrap/>
          </w:tcPr>
          <w:p w14:paraId="361A4753" w14:textId="77777777" w:rsidR="00433DF3" w:rsidRPr="00854503" w:rsidRDefault="00433DF3" w:rsidP="00C071C3">
            <w:pPr>
              <w:spacing w:after="0" w:line="240" w:lineRule="auto"/>
              <w:contextualSpacing/>
              <w:jc w:val="center"/>
              <w:rPr>
                <w:rFonts w:asciiTheme="minorHAnsi" w:hAnsiTheme="minorHAnsi" w:cstheme="minorHAnsi"/>
                <w:sz w:val="22"/>
              </w:rPr>
            </w:pPr>
          </w:p>
        </w:tc>
        <w:tc>
          <w:tcPr>
            <w:tcW w:w="1800" w:type="dxa"/>
            <w:noWrap/>
          </w:tcPr>
          <w:p w14:paraId="292F18AA" w14:textId="77777777" w:rsidR="00433DF3" w:rsidRPr="00854503" w:rsidRDefault="00433DF3" w:rsidP="00C071C3">
            <w:pPr>
              <w:spacing w:after="0" w:line="240" w:lineRule="auto"/>
              <w:contextualSpacing/>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43746E7F" w14:textId="77777777" w:rsidTr="00F77A75">
        <w:trPr>
          <w:trHeight w:val="288"/>
        </w:trPr>
        <w:tc>
          <w:tcPr>
            <w:tcW w:w="12902" w:type="dxa"/>
            <w:gridSpan w:val="8"/>
            <w:shd w:val="clear" w:color="auto" w:fill="F2F2F2" w:themeFill="background1" w:themeFillShade="F2"/>
            <w:noWrap/>
          </w:tcPr>
          <w:p w14:paraId="2947D2F3" w14:textId="77777777" w:rsidR="00433DF3" w:rsidRPr="00854503" w:rsidRDefault="00433DF3" w:rsidP="00C071C3">
            <w:pPr>
              <w:keepNext/>
              <w:spacing w:after="0" w:line="240" w:lineRule="auto"/>
              <w:rPr>
                <w:rFonts w:asciiTheme="minorHAnsi" w:hAnsiTheme="minorHAnsi" w:cstheme="minorHAnsi"/>
                <w:sz w:val="22"/>
              </w:rPr>
            </w:pPr>
            <w:r w:rsidRPr="00854503">
              <w:rPr>
                <w:rFonts w:asciiTheme="minorHAnsi" w:eastAsia="Times New Roman" w:hAnsiTheme="minorHAnsi" w:cstheme="minorHAnsi"/>
                <w:b/>
                <w:bCs/>
                <w:i/>
                <w:sz w:val="22"/>
              </w:rPr>
              <w:t>Adverse Drug Reaction</w:t>
            </w:r>
          </w:p>
        </w:tc>
      </w:tr>
      <w:tr w:rsidR="00433DF3" w:rsidRPr="00854503" w14:paraId="15E078C7" w14:textId="77777777" w:rsidTr="00C071C3">
        <w:trPr>
          <w:trHeight w:val="288"/>
        </w:trPr>
        <w:tc>
          <w:tcPr>
            <w:tcW w:w="4892" w:type="dxa"/>
            <w:noWrap/>
          </w:tcPr>
          <w:p w14:paraId="64BFDD25"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adverse drug reactions for OM at 14 days given narrow-spectrum antibiotic</w:t>
            </w:r>
          </w:p>
        </w:tc>
        <w:tc>
          <w:tcPr>
            <w:tcW w:w="1170" w:type="dxa"/>
            <w:noWrap/>
          </w:tcPr>
          <w:p w14:paraId="2F93BA9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0.031</w:t>
            </w:r>
          </w:p>
        </w:tc>
        <w:tc>
          <w:tcPr>
            <w:tcW w:w="1042" w:type="dxa"/>
            <w:noWrap/>
          </w:tcPr>
          <w:p w14:paraId="51693C9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0.028</w:t>
            </w:r>
          </w:p>
        </w:tc>
        <w:tc>
          <w:tcPr>
            <w:tcW w:w="1085" w:type="dxa"/>
            <w:noWrap/>
          </w:tcPr>
          <w:p w14:paraId="4D47617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0.034</w:t>
            </w:r>
          </w:p>
        </w:tc>
        <w:tc>
          <w:tcPr>
            <w:tcW w:w="985" w:type="dxa"/>
            <w:noWrap/>
          </w:tcPr>
          <w:p w14:paraId="46734443"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4F0E87F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507</w:t>
            </w:r>
          </w:p>
        </w:tc>
        <w:tc>
          <w:tcPr>
            <w:tcW w:w="900" w:type="dxa"/>
            <w:noWrap/>
          </w:tcPr>
          <w:p w14:paraId="7B840A5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15930</w:t>
            </w:r>
          </w:p>
        </w:tc>
        <w:tc>
          <w:tcPr>
            <w:tcW w:w="1800" w:type="dxa"/>
            <w:noWrap/>
          </w:tcPr>
          <w:p w14:paraId="138CA69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Beta</w:t>
            </w:r>
          </w:p>
        </w:tc>
      </w:tr>
      <w:tr w:rsidR="00433DF3" w:rsidRPr="00854503" w14:paraId="2E6208CE" w14:textId="77777777" w:rsidTr="00C071C3">
        <w:trPr>
          <w:trHeight w:val="288"/>
        </w:trPr>
        <w:tc>
          <w:tcPr>
            <w:tcW w:w="4892" w:type="dxa"/>
            <w:noWrap/>
          </w:tcPr>
          <w:p w14:paraId="5F86366B"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adverse drug reactions for AS at 14 days given narrow-spectrum antibiotic</w:t>
            </w:r>
          </w:p>
        </w:tc>
        <w:tc>
          <w:tcPr>
            <w:tcW w:w="1170" w:type="dxa"/>
            <w:noWrap/>
          </w:tcPr>
          <w:p w14:paraId="3AE295B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0.018</w:t>
            </w:r>
          </w:p>
        </w:tc>
        <w:tc>
          <w:tcPr>
            <w:tcW w:w="1042" w:type="dxa"/>
            <w:noWrap/>
          </w:tcPr>
          <w:p w14:paraId="2195739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0.014</w:t>
            </w:r>
          </w:p>
        </w:tc>
        <w:tc>
          <w:tcPr>
            <w:tcW w:w="1085" w:type="dxa"/>
            <w:noWrap/>
          </w:tcPr>
          <w:p w14:paraId="7D7FCB2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0.023</w:t>
            </w:r>
          </w:p>
        </w:tc>
        <w:tc>
          <w:tcPr>
            <w:tcW w:w="985" w:type="dxa"/>
            <w:noWrap/>
          </w:tcPr>
          <w:p w14:paraId="2AA1A7EE"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16B42C9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61</w:t>
            </w:r>
          </w:p>
        </w:tc>
        <w:tc>
          <w:tcPr>
            <w:tcW w:w="900" w:type="dxa"/>
            <w:noWrap/>
          </w:tcPr>
          <w:p w14:paraId="191FF34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3339</w:t>
            </w:r>
          </w:p>
        </w:tc>
        <w:tc>
          <w:tcPr>
            <w:tcW w:w="1800" w:type="dxa"/>
            <w:noWrap/>
          </w:tcPr>
          <w:p w14:paraId="79C5A54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Beta</w:t>
            </w:r>
          </w:p>
        </w:tc>
      </w:tr>
      <w:tr w:rsidR="00433DF3" w:rsidRPr="00854503" w14:paraId="09244BFA" w14:textId="77777777" w:rsidTr="00C071C3">
        <w:trPr>
          <w:trHeight w:val="288"/>
        </w:trPr>
        <w:tc>
          <w:tcPr>
            <w:tcW w:w="4892" w:type="dxa"/>
            <w:noWrap/>
          </w:tcPr>
          <w:p w14:paraId="01F89E48"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adverse drug reactions for GAS at 14 days given narrow-spectrum antibiotic</w:t>
            </w:r>
          </w:p>
        </w:tc>
        <w:tc>
          <w:tcPr>
            <w:tcW w:w="1170" w:type="dxa"/>
            <w:noWrap/>
          </w:tcPr>
          <w:p w14:paraId="39DCE2A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0.021</w:t>
            </w:r>
          </w:p>
        </w:tc>
        <w:tc>
          <w:tcPr>
            <w:tcW w:w="1042" w:type="dxa"/>
            <w:noWrap/>
          </w:tcPr>
          <w:p w14:paraId="69F0313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0.018</w:t>
            </w:r>
          </w:p>
        </w:tc>
        <w:tc>
          <w:tcPr>
            <w:tcW w:w="1085" w:type="dxa"/>
            <w:noWrap/>
          </w:tcPr>
          <w:p w14:paraId="3E9C977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0.025</w:t>
            </w:r>
          </w:p>
        </w:tc>
        <w:tc>
          <w:tcPr>
            <w:tcW w:w="985" w:type="dxa"/>
            <w:noWrap/>
          </w:tcPr>
          <w:p w14:paraId="186CA36E"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1AC6609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127</w:t>
            </w:r>
          </w:p>
        </w:tc>
        <w:tc>
          <w:tcPr>
            <w:tcW w:w="900" w:type="dxa"/>
            <w:noWrap/>
          </w:tcPr>
          <w:p w14:paraId="4774727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5826</w:t>
            </w:r>
          </w:p>
        </w:tc>
        <w:tc>
          <w:tcPr>
            <w:tcW w:w="1800" w:type="dxa"/>
            <w:noWrap/>
          </w:tcPr>
          <w:p w14:paraId="5957675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Beta</w:t>
            </w:r>
          </w:p>
        </w:tc>
      </w:tr>
      <w:tr w:rsidR="00433DF3" w:rsidRPr="00854503" w14:paraId="144B7953" w14:textId="77777777" w:rsidTr="00C071C3">
        <w:trPr>
          <w:trHeight w:val="288"/>
        </w:trPr>
        <w:tc>
          <w:tcPr>
            <w:tcW w:w="4892" w:type="dxa"/>
            <w:noWrap/>
          </w:tcPr>
          <w:p w14:paraId="5083615A"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Risk difference for adverse drug reactions for OM at 14 days given broad- versus narrow-spectrum antibiotic</w:t>
            </w:r>
          </w:p>
        </w:tc>
        <w:tc>
          <w:tcPr>
            <w:tcW w:w="1170" w:type="dxa"/>
            <w:noWrap/>
          </w:tcPr>
          <w:p w14:paraId="5B3AA7F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0.018</w:t>
            </w:r>
          </w:p>
        </w:tc>
        <w:tc>
          <w:tcPr>
            <w:tcW w:w="1042" w:type="dxa"/>
            <w:noWrap/>
          </w:tcPr>
          <w:p w14:paraId="744B7D2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0.008</w:t>
            </w:r>
          </w:p>
        </w:tc>
        <w:tc>
          <w:tcPr>
            <w:tcW w:w="1085" w:type="dxa"/>
            <w:noWrap/>
          </w:tcPr>
          <w:p w14:paraId="0F0C749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0.027</w:t>
            </w:r>
          </w:p>
        </w:tc>
        <w:tc>
          <w:tcPr>
            <w:tcW w:w="985" w:type="dxa"/>
            <w:noWrap/>
          </w:tcPr>
          <w:p w14:paraId="6BE1ACC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w:t>
            </w:r>
          </w:p>
        </w:tc>
        <w:tc>
          <w:tcPr>
            <w:tcW w:w="1028" w:type="dxa"/>
            <w:noWrap/>
          </w:tcPr>
          <w:p w14:paraId="4BAE4C06"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78A75439"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46570AF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6CEDBF07" w14:textId="77777777" w:rsidTr="00C071C3">
        <w:trPr>
          <w:trHeight w:val="288"/>
        </w:trPr>
        <w:tc>
          <w:tcPr>
            <w:tcW w:w="4892" w:type="dxa"/>
            <w:noWrap/>
          </w:tcPr>
          <w:p w14:paraId="2E7A1A5A"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Risk difference for adverse drug reactions for AS at 14 days given broad- versus narrow-spectrum antibiotic</w:t>
            </w:r>
          </w:p>
        </w:tc>
        <w:tc>
          <w:tcPr>
            <w:tcW w:w="1170" w:type="dxa"/>
            <w:noWrap/>
          </w:tcPr>
          <w:p w14:paraId="1D51C73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-0.004</w:t>
            </w:r>
          </w:p>
        </w:tc>
        <w:tc>
          <w:tcPr>
            <w:tcW w:w="1042" w:type="dxa"/>
            <w:noWrap/>
          </w:tcPr>
          <w:p w14:paraId="655343C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-0.013</w:t>
            </w:r>
          </w:p>
        </w:tc>
        <w:tc>
          <w:tcPr>
            <w:tcW w:w="1085" w:type="dxa"/>
            <w:noWrap/>
          </w:tcPr>
          <w:p w14:paraId="465BB36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0.005</w:t>
            </w:r>
          </w:p>
        </w:tc>
        <w:tc>
          <w:tcPr>
            <w:tcW w:w="985" w:type="dxa"/>
            <w:noWrap/>
          </w:tcPr>
          <w:p w14:paraId="46FE8AA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w:t>
            </w:r>
          </w:p>
        </w:tc>
        <w:tc>
          <w:tcPr>
            <w:tcW w:w="1028" w:type="dxa"/>
            <w:noWrap/>
          </w:tcPr>
          <w:p w14:paraId="2E1900E8"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10448386"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2F766AD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71B1F447" w14:textId="77777777" w:rsidTr="00C071C3">
        <w:trPr>
          <w:trHeight w:val="288"/>
        </w:trPr>
        <w:tc>
          <w:tcPr>
            <w:tcW w:w="4892" w:type="dxa"/>
            <w:noWrap/>
          </w:tcPr>
          <w:p w14:paraId="77C65238"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Risk difference for adverse drug reactions for GAS at 14 days given broad- versus narrow-spectrum antibiotic</w:t>
            </w:r>
          </w:p>
        </w:tc>
        <w:tc>
          <w:tcPr>
            <w:tcW w:w="1170" w:type="dxa"/>
            <w:noWrap/>
          </w:tcPr>
          <w:p w14:paraId="0E4D371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0.001</w:t>
            </w:r>
          </w:p>
        </w:tc>
        <w:tc>
          <w:tcPr>
            <w:tcW w:w="1042" w:type="dxa"/>
            <w:noWrap/>
          </w:tcPr>
          <w:p w14:paraId="434733D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-0.011</w:t>
            </w:r>
          </w:p>
        </w:tc>
        <w:tc>
          <w:tcPr>
            <w:tcW w:w="1085" w:type="dxa"/>
            <w:noWrap/>
          </w:tcPr>
          <w:p w14:paraId="1D9D7C3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0.013</w:t>
            </w:r>
          </w:p>
        </w:tc>
        <w:tc>
          <w:tcPr>
            <w:tcW w:w="985" w:type="dxa"/>
            <w:noWrap/>
          </w:tcPr>
          <w:p w14:paraId="3DB2A55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0.01</w:t>
            </w:r>
          </w:p>
        </w:tc>
        <w:tc>
          <w:tcPr>
            <w:tcW w:w="1028" w:type="dxa"/>
            <w:noWrap/>
          </w:tcPr>
          <w:p w14:paraId="097DDB44"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3C517F51"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1D8E286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22B3232F" w14:textId="77777777" w:rsidTr="00F77A75">
        <w:trPr>
          <w:trHeight w:val="288"/>
        </w:trPr>
        <w:tc>
          <w:tcPr>
            <w:tcW w:w="12902" w:type="dxa"/>
            <w:gridSpan w:val="8"/>
            <w:shd w:val="clear" w:color="auto" w:fill="D9D9D9" w:themeFill="background1" w:themeFillShade="D9"/>
            <w:noWrap/>
          </w:tcPr>
          <w:p w14:paraId="52F52C5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eastAsia="Times New Roman" w:hAnsiTheme="minorHAnsi" w:cstheme="minorHAnsi"/>
                <w:b/>
                <w:sz w:val="22"/>
              </w:rPr>
              <w:t>Gerber et al. (2017) Productivity Findings</w:t>
            </w:r>
          </w:p>
        </w:tc>
      </w:tr>
      <w:tr w:rsidR="00433DF3" w:rsidRPr="00854503" w14:paraId="05B12D31" w14:textId="77777777" w:rsidTr="00C071C3">
        <w:trPr>
          <w:trHeight w:val="288"/>
        </w:trPr>
        <w:tc>
          <w:tcPr>
            <w:tcW w:w="4892" w:type="dxa"/>
            <w:noWrap/>
          </w:tcPr>
          <w:p w14:paraId="4D59752D"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missing school or daycare because of infection for OM, narrow spectrum</w:t>
            </w:r>
          </w:p>
        </w:tc>
        <w:tc>
          <w:tcPr>
            <w:tcW w:w="1170" w:type="dxa"/>
            <w:noWrap/>
          </w:tcPr>
          <w:p w14:paraId="7BF1148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0.350</w:t>
            </w:r>
          </w:p>
        </w:tc>
        <w:tc>
          <w:tcPr>
            <w:tcW w:w="1042" w:type="dxa"/>
            <w:noWrap/>
          </w:tcPr>
          <w:p w14:paraId="6AADE02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0.307</w:t>
            </w:r>
          </w:p>
        </w:tc>
        <w:tc>
          <w:tcPr>
            <w:tcW w:w="1085" w:type="dxa"/>
            <w:noWrap/>
          </w:tcPr>
          <w:p w14:paraId="2B7C1E5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0.394</w:t>
            </w:r>
          </w:p>
        </w:tc>
        <w:tc>
          <w:tcPr>
            <w:tcW w:w="985" w:type="dxa"/>
            <w:noWrap/>
          </w:tcPr>
          <w:p w14:paraId="53A4CCF7"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7458060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161</w:t>
            </w:r>
          </w:p>
        </w:tc>
        <w:tc>
          <w:tcPr>
            <w:tcW w:w="900" w:type="dxa"/>
            <w:noWrap/>
          </w:tcPr>
          <w:p w14:paraId="6FEB523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299</w:t>
            </w:r>
          </w:p>
        </w:tc>
        <w:tc>
          <w:tcPr>
            <w:tcW w:w="1800" w:type="dxa"/>
            <w:noWrap/>
          </w:tcPr>
          <w:p w14:paraId="31BEF45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Beta</w:t>
            </w:r>
          </w:p>
        </w:tc>
      </w:tr>
      <w:tr w:rsidR="00433DF3" w:rsidRPr="00854503" w14:paraId="6169B31A" w14:textId="77777777" w:rsidTr="00C071C3">
        <w:trPr>
          <w:trHeight w:val="288"/>
        </w:trPr>
        <w:tc>
          <w:tcPr>
            <w:tcW w:w="4892" w:type="dxa"/>
            <w:noWrap/>
          </w:tcPr>
          <w:p w14:paraId="791F5404"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missing school or daycare because of infection for AS, narrow spectrum</w:t>
            </w:r>
          </w:p>
        </w:tc>
        <w:tc>
          <w:tcPr>
            <w:tcW w:w="1170" w:type="dxa"/>
            <w:noWrap/>
          </w:tcPr>
          <w:p w14:paraId="41E7058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0.280</w:t>
            </w:r>
          </w:p>
        </w:tc>
        <w:tc>
          <w:tcPr>
            <w:tcW w:w="1042" w:type="dxa"/>
            <w:noWrap/>
          </w:tcPr>
          <w:p w14:paraId="56CBF16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0.231</w:t>
            </w:r>
          </w:p>
        </w:tc>
        <w:tc>
          <w:tcPr>
            <w:tcW w:w="1085" w:type="dxa"/>
            <w:noWrap/>
          </w:tcPr>
          <w:p w14:paraId="68F98CD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0.329</w:t>
            </w:r>
          </w:p>
        </w:tc>
        <w:tc>
          <w:tcPr>
            <w:tcW w:w="985" w:type="dxa"/>
            <w:noWrap/>
          </w:tcPr>
          <w:p w14:paraId="489D987B"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60EF883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89</w:t>
            </w:r>
          </w:p>
        </w:tc>
        <w:tc>
          <w:tcPr>
            <w:tcW w:w="900" w:type="dxa"/>
            <w:noWrap/>
          </w:tcPr>
          <w:p w14:paraId="604A790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230</w:t>
            </w:r>
          </w:p>
        </w:tc>
        <w:tc>
          <w:tcPr>
            <w:tcW w:w="1800" w:type="dxa"/>
            <w:noWrap/>
          </w:tcPr>
          <w:p w14:paraId="2411FED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Beta</w:t>
            </w:r>
          </w:p>
        </w:tc>
      </w:tr>
      <w:tr w:rsidR="00433DF3" w:rsidRPr="00854503" w14:paraId="5943BFF0" w14:textId="77777777" w:rsidTr="00C071C3">
        <w:trPr>
          <w:trHeight w:val="288"/>
        </w:trPr>
        <w:tc>
          <w:tcPr>
            <w:tcW w:w="4892" w:type="dxa"/>
            <w:noWrap/>
          </w:tcPr>
          <w:p w14:paraId="2F08CD1B"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lastRenderedPageBreak/>
              <w:t>Probability of missing school or daycare because of infection for GAS, narrow spectrum</w:t>
            </w:r>
          </w:p>
        </w:tc>
        <w:tc>
          <w:tcPr>
            <w:tcW w:w="1170" w:type="dxa"/>
            <w:noWrap/>
          </w:tcPr>
          <w:p w14:paraId="7FB1446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0.600</w:t>
            </w:r>
          </w:p>
        </w:tc>
        <w:tc>
          <w:tcPr>
            <w:tcW w:w="1042" w:type="dxa"/>
            <w:noWrap/>
          </w:tcPr>
          <w:p w14:paraId="4E9AC53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0.550</w:t>
            </w:r>
          </w:p>
        </w:tc>
        <w:tc>
          <w:tcPr>
            <w:tcW w:w="1085" w:type="dxa"/>
            <w:noWrap/>
          </w:tcPr>
          <w:p w14:paraId="228DA57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0.644</w:t>
            </w:r>
          </w:p>
        </w:tc>
        <w:tc>
          <w:tcPr>
            <w:tcW w:w="985" w:type="dxa"/>
            <w:noWrap/>
          </w:tcPr>
          <w:p w14:paraId="2F121DE0"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6510EB1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251</w:t>
            </w:r>
          </w:p>
        </w:tc>
        <w:tc>
          <w:tcPr>
            <w:tcW w:w="900" w:type="dxa"/>
            <w:noWrap/>
          </w:tcPr>
          <w:p w14:paraId="5517036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169</w:t>
            </w:r>
          </w:p>
        </w:tc>
        <w:tc>
          <w:tcPr>
            <w:tcW w:w="1800" w:type="dxa"/>
            <w:noWrap/>
          </w:tcPr>
          <w:p w14:paraId="6EEB706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Beta</w:t>
            </w:r>
          </w:p>
        </w:tc>
      </w:tr>
      <w:tr w:rsidR="00433DF3" w:rsidRPr="00854503" w14:paraId="028EDDB0" w14:textId="77777777" w:rsidTr="00C071C3">
        <w:trPr>
          <w:trHeight w:val="288"/>
        </w:trPr>
        <w:tc>
          <w:tcPr>
            <w:tcW w:w="4892" w:type="dxa"/>
            <w:noWrap/>
          </w:tcPr>
          <w:p w14:paraId="17272DBC"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Risk difference for missing school or daycare because of infection for OM, broad versus narrow spectrum</w:t>
            </w:r>
          </w:p>
        </w:tc>
        <w:tc>
          <w:tcPr>
            <w:tcW w:w="1170" w:type="dxa"/>
            <w:noWrap/>
          </w:tcPr>
          <w:p w14:paraId="55124D1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0.024</w:t>
            </w:r>
          </w:p>
        </w:tc>
        <w:tc>
          <w:tcPr>
            <w:tcW w:w="1042" w:type="dxa"/>
            <w:noWrap/>
          </w:tcPr>
          <w:p w14:paraId="3A23D28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-0.061</w:t>
            </w:r>
          </w:p>
        </w:tc>
        <w:tc>
          <w:tcPr>
            <w:tcW w:w="1085" w:type="dxa"/>
            <w:noWrap/>
          </w:tcPr>
          <w:p w14:paraId="0B5166B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0.109</w:t>
            </w:r>
          </w:p>
        </w:tc>
        <w:tc>
          <w:tcPr>
            <w:tcW w:w="985" w:type="dxa"/>
            <w:noWrap/>
          </w:tcPr>
          <w:p w14:paraId="4CDDEE6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0.04</w:t>
            </w:r>
          </w:p>
        </w:tc>
        <w:tc>
          <w:tcPr>
            <w:tcW w:w="1028" w:type="dxa"/>
            <w:noWrap/>
          </w:tcPr>
          <w:p w14:paraId="79104F57"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01C0BFF5"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5A90DD8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7C9E0E27" w14:textId="77777777" w:rsidTr="00C071C3">
        <w:trPr>
          <w:trHeight w:val="288"/>
        </w:trPr>
        <w:tc>
          <w:tcPr>
            <w:tcW w:w="4892" w:type="dxa"/>
            <w:noWrap/>
          </w:tcPr>
          <w:p w14:paraId="3DDB4D0E"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Risk difference for missing school or daycare because of infection for AS, broad versus narrow spectrum</w:t>
            </w:r>
          </w:p>
        </w:tc>
        <w:tc>
          <w:tcPr>
            <w:tcW w:w="1170" w:type="dxa"/>
            <w:noWrap/>
          </w:tcPr>
          <w:p w14:paraId="2127DAB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0.039</w:t>
            </w:r>
          </w:p>
        </w:tc>
        <w:tc>
          <w:tcPr>
            <w:tcW w:w="1042" w:type="dxa"/>
            <w:noWrap/>
          </w:tcPr>
          <w:p w14:paraId="10FDA98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-0.061</w:t>
            </w:r>
          </w:p>
        </w:tc>
        <w:tc>
          <w:tcPr>
            <w:tcW w:w="1085" w:type="dxa"/>
            <w:noWrap/>
          </w:tcPr>
          <w:p w14:paraId="6E5D186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0.140</w:t>
            </w:r>
          </w:p>
        </w:tc>
        <w:tc>
          <w:tcPr>
            <w:tcW w:w="985" w:type="dxa"/>
            <w:noWrap/>
          </w:tcPr>
          <w:p w14:paraId="047DED0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0.05</w:t>
            </w:r>
          </w:p>
        </w:tc>
        <w:tc>
          <w:tcPr>
            <w:tcW w:w="1028" w:type="dxa"/>
            <w:noWrap/>
          </w:tcPr>
          <w:p w14:paraId="6DFAF5A4"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4FAE7516"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72CEA50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42D3DEF1" w14:textId="77777777" w:rsidTr="00C071C3">
        <w:trPr>
          <w:trHeight w:val="288"/>
        </w:trPr>
        <w:tc>
          <w:tcPr>
            <w:tcW w:w="4892" w:type="dxa"/>
            <w:noWrap/>
          </w:tcPr>
          <w:p w14:paraId="5691DDE3"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Risk difference for missing school or daycare because of infection for GAS, broad versus narrow spectrum</w:t>
            </w:r>
          </w:p>
        </w:tc>
        <w:tc>
          <w:tcPr>
            <w:tcW w:w="1170" w:type="dxa"/>
            <w:noWrap/>
          </w:tcPr>
          <w:p w14:paraId="34FA20B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0.010</w:t>
            </w:r>
          </w:p>
        </w:tc>
        <w:tc>
          <w:tcPr>
            <w:tcW w:w="1042" w:type="dxa"/>
            <w:noWrap/>
          </w:tcPr>
          <w:p w14:paraId="7AC5B86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-0.092</w:t>
            </w:r>
          </w:p>
        </w:tc>
        <w:tc>
          <w:tcPr>
            <w:tcW w:w="1085" w:type="dxa"/>
            <w:noWrap/>
          </w:tcPr>
          <w:p w14:paraId="0E3F98B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0.112</w:t>
            </w:r>
          </w:p>
        </w:tc>
        <w:tc>
          <w:tcPr>
            <w:tcW w:w="985" w:type="dxa"/>
            <w:noWrap/>
          </w:tcPr>
          <w:p w14:paraId="38D35E5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0.05</w:t>
            </w:r>
          </w:p>
        </w:tc>
        <w:tc>
          <w:tcPr>
            <w:tcW w:w="1028" w:type="dxa"/>
            <w:noWrap/>
          </w:tcPr>
          <w:p w14:paraId="1FD79EC7"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2DF30A57"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5FE0817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71178681" w14:textId="77777777" w:rsidTr="00C071C3">
        <w:trPr>
          <w:trHeight w:val="288"/>
        </w:trPr>
        <w:tc>
          <w:tcPr>
            <w:tcW w:w="4892" w:type="dxa"/>
            <w:noWrap/>
          </w:tcPr>
          <w:p w14:paraId="551C912D"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Missed school/daycare, mean days</w:t>
            </w:r>
          </w:p>
        </w:tc>
        <w:tc>
          <w:tcPr>
            <w:tcW w:w="1170" w:type="dxa"/>
            <w:noWrap/>
          </w:tcPr>
          <w:p w14:paraId="43FA4C1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1.522</w:t>
            </w:r>
          </w:p>
        </w:tc>
        <w:tc>
          <w:tcPr>
            <w:tcW w:w="1042" w:type="dxa"/>
            <w:noWrap/>
          </w:tcPr>
          <w:p w14:paraId="7445883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1.142</w:t>
            </w:r>
          </w:p>
        </w:tc>
        <w:tc>
          <w:tcPr>
            <w:tcW w:w="1085" w:type="dxa"/>
            <w:noWrap/>
          </w:tcPr>
          <w:p w14:paraId="2A875D8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1.903</w:t>
            </w:r>
          </w:p>
        </w:tc>
        <w:tc>
          <w:tcPr>
            <w:tcW w:w="985" w:type="dxa"/>
            <w:noWrap/>
          </w:tcPr>
          <w:p w14:paraId="261AE84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0.194</w:t>
            </w:r>
          </w:p>
        </w:tc>
        <w:tc>
          <w:tcPr>
            <w:tcW w:w="1028" w:type="dxa"/>
            <w:noWrap/>
          </w:tcPr>
          <w:p w14:paraId="714D60B3"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4083B7BA"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182C286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66D52948" w14:textId="77777777" w:rsidTr="00F77A75">
        <w:trPr>
          <w:trHeight w:val="288"/>
        </w:trPr>
        <w:tc>
          <w:tcPr>
            <w:tcW w:w="12902" w:type="dxa"/>
            <w:gridSpan w:val="8"/>
            <w:shd w:val="clear" w:color="auto" w:fill="D9D9D9" w:themeFill="background1" w:themeFillShade="D9"/>
            <w:noWrap/>
          </w:tcPr>
          <w:p w14:paraId="2E9009C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eastAsia="Times New Roman" w:hAnsiTheme="minorHAnsi" w:cstheme="minorHAnsi"/>
                <w:b/>
                <w:sz w:val="22"/>
              </w:rPr>
              <w:t>Healthcare Utilization</w:t>
            </w:r>
          </w:p>
        </w:tc>
      </w:tr>
      <w:tr w:rsidR="00433DF3" w:rsidRPr="00854503" w14:paraId="2B802F13" w14:textId="77777777" w:rsidTr="00F77A75">
        <w:trPr>
          <w:trHeight w:val="288"/>
        </w:trPr>
        <w:tc>
          <w:tcPr>
            <w:tcW w:w="12902" w:type="dxa"/>
            <w:gridSpan w:val="8"/>
            <w:shd w:val="clear" w:color="auto" w:fill="F2F2F2" w:themeFill="background1" w:themeFillShade="F2"/>
            <w:noWrap/>
          </w:tcPr>
          <w:p w14:paraId="1A9D9C41"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eastAsia="Times New Roman" w:hAnsiTheme="minorHAnsi" w:cstheme="minorHAnsi"/>
                <w:b/>
                <w:bCs/>
                <w:i/>
                <w:sz w:val="22"/>
              </w:rPr>
              <w:t>Treatment Failure</w:t>
            </w:r>
          </w:p>
        </w:tc>
      </w:tr>
      <w:tr w:rsidR="00433DF3" w:rsidRPr="00854503" w14:paraId="4653A329" w14:textId="77777777" w:rsidTr="00C071C3">
        <w:trPr>
          <w:trHeight w:val="288"/>
        </w:trPr>
        <w:tc>
          <w:tcPr>
            <w:tcW w:w="4892" w:type="dxa"/>
            <w:noWrap/>
          </w:tcPr>
          <w:p w14:paraId="6F9AADFD"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ED treatment after treatment failure for OM</w:t>
            </w:r>
          </w:p>
        </w:tc>
        <w:tc>
          <w:tcPr>
            <w:tcW w:w="1170" w:type="dxa"/>
            <w:noWrap/>
          </w:tcPr>
          <w:p w14:paraId="1C11A4B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0.051</w:t>
            </w:r>
          </w:p>
        </w:tc>
        <w:tc>
          <w:tcPr>
            <w:tcW w:w="1042" w:type="dxa"/>
            <w:noWrap/>
          </w:tcPr>
          <w:p w14:paraId="6BE7F5C9"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3CCD17E8"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231AEABC"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5AAC04C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510.145</w:t>
            </w:r>
          </w:p>
        </w:tc>
        <w:tc>
          <w:tcPr>
            <w:tcW w:w="900" w:type="dxa"/>
            <w:noWrap/>
          </w:tcPr>
          <w:p w14:paraId="143F9E3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9925</w:t>
            </w:r>
          </w:p>
        </w:tc>
        <w:tc>
          <w:tcPr>
            <w:tcW w:w="1800" w:type="dxa"/>
            <w:noWrap/>
          </w:tcPr>
          <w:p w14:paraId="67A52A4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0BFD9220" w14:textId="77777777" w:rsidTr="00C071C3">
        <w:trPr>
          <w:trHeight w:val="288"/>
        </w:trPr>
        <w:tc>
          <w:tcPr>
            <w:tcW w:w="4892" w:type="dxa"/>
            <w:noWrap/>
          </w:tcPr>
          <w:p w14:paraId="11A72CAC"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hospitalization after treatment failure for OM</w:t>
            </w:r>
          </w:p>
        </w:tc>
        <w:tc>
          <w:tcPr>
            <w:tcW w:w="1170" w:type="dxa"/>
            <w:noWrap/>
          </w:tcPr>
          <w:p w14:paraId="55696E9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0.003</w:t>
            </w:r>
          </w:p>
        </w:tc>
        <w:tc>
          <w:tcPr>
            <w:tcW w:w="1042" w:type="dxa"/>
            <w:noWrap/>
          </w:tcPr>
          <w:p w14:paraId="48C57CB6"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5B4E3FBC"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63F00588"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0A11246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32.753</w:t>
            </w:r>
          </w:p>
        </w:tc>
        <w:tc>
          <w:tcPr>
            <w:tcW w:w="900" w:type="dxa"/>
            <w:noWrap/>
          </w:tcPr>
          <w:p w14:paraId="4EAD34E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9925</w:t>
            </w:r>
          </w:p>
        </w:tc>
        <w:tc>
          <w:tcPr>
            <w:tcW w:w="1800" w:type="dxa"/>
            <w:noWrap/>
          </w:tcPr>
          <w:p w14:paraId="65D3DE2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5A9E0A18" w14:textId="77777777" w:rsidTr="00C071C3">
        <w:trPr>
          <w:trHeight w:val="288"/>
        </w:trPr>
        <w:tc>
          <w:tcPr>
            <w:tcW w:w="4892" w:type="dxa"/>
            <w:noWrap/>
          </w:tcPr>
          <w:p w14:paraId="19DB8BF3"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outpatient treatment after treatment failure for OM</w:t>
            </w:r>
          </w:p>
        </w:tc>
        <w:tc>
          <w:tcPr>
            <w:tcW w:w="1170" w:type="dxa"/>
            <w:noWrap/>
          </w:tcPr>
          <w:p w14:paraId="1694B73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0.945</w:t>
            </w:r>
          </w:p>
        </w:tc>
        <w:tc>
          <w:tcPr>
            <w:tcW w:w="1042" w:type="dxa"/>
            <w:noWrap/>
          </w:tcPr>
          <w:p w14:paraId="62451C22"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105520D1"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2CD8AAF3"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0F22E88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9383.095</w:t>
            </w:r>
          </w:p>
        </w:tc>
        <w:tc>
          <w:tcPr>
            <w:tcW w:w="900" w:type="dxa"/>
            <w:noWrap/>
          </w:tcPr>
          <w:p w14:paraId="493F11A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9925</w:t>
            </w:r>
          </w:p>
        </w:tc>
        <w:tc>
          <w:tcPr>
            <w:tcW w:w="1800" w:type="dxa"/>
            <w:noWrap/>
          </w:tcPr>
          <w:p w14:paraId="13951D9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3E490BE9" w14:textId="77777777" w:rsidTr="00C071C3">
        <w:trPr>
          <w:trHeight w:val="288"/>
        </w:trPr>
        <w:tc>
          <w:tcPr>
            <w:tcW w:w="4892" w:type="dxa"/>
            <w:noWrap/>
          </w:tcPr>
          <w:p w14:paraId="7BF6106F"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ED treatment after treatment failure for AS</w:t>
            </w:r>
          </w:p>
        </w:tc>
        <w:tc>
          <w:tcPr>
            <w:tcW w:w="1170" w:type="dxa"/>
            <w:noWrap/>
          </w:tcPr>
          <w:p w14:paraId="29E16AB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0.048</w:t>
            </w:r>
          </w:p>
        </w:tc>
        <w:tc>
          <w:tcPr>
            <w:tcW w:w="1042" w:type="dxa"/>
            <w:noWrap/>
          </w:tcPr>
          <w:p w14:paraId="47C8843D"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7285FF1C"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1998C50B"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14CBF1D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128.440</w:t>
            </w:r>
          </w:p>
        </w:tc>
        <w:tc>
          <w:tcPr>
            <w:tcW w:w="900" w:type="dxa"/>
            <w:noWrap/>
          </w:tcPr>
          <w:p w14:paraId="6F08A8F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2704</w:t>
            </w:r>
          </w:p>
        </w:tc>
        <w:tc>
          <w:tcPr>
            <w:tcW w:w="1800" w:type="dxa"/>
            <w:noWrap/>
          </w:tcPr>
          <w:p w14:paraId="3A46842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4F6CDA49" w14:textId="77777777" w:rsidTr="00C071C3">
        <w:trPr>
          <w:trHeight w:val="288"/>
        </w:trPr>
        <w:tc>
          <w:tcPr>
            <w:tcW w:w="4892" w:type="dxa"/>
            <w:noWrap/>
          </w:tcPr>
          <w:p w14:paraId="135ABC85"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hospitalization after treatment failure for AS</w:t>
            </w:r>
          </w:p>
        </w:tc>
        <w:tc>
          <w:tcPr>
            <w:tcW w:w="1170" w:type="dxa"/>
            <w:noWrap/>
          </w:tcPr>
          <w:p w14:paraId="1AFEE9C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0.002</w:t>
            </w:r>
          </w:p>
        </w:tc>
        <w:tc>
          <w:tcPr>
            <w:tcW w:w="1042" w:type="dxa"/>
            <w:noWrap/>
          </w:tcPr>
          <w:p w14:paraId="405A1D67"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5C26CA2A"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57268D9D"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7D13B08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6.219</w:t>
            </w:r>
          </w:p>
        </w:tc>
        <w:tc>
          <w:tcPr>
            <w:tcW w:w="900" w:type="dxa"/>
            <w:noWrap/>
          </w:tcPr>
          <w:p w14:paraId="776710F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2704</w:t>
            </w:r>
          </w:p>
        </w:tc>
        <w:tc>
          <w:tcPr>
            <w:tcW w:w="1800" w:type="dxa"/>
            <w:noWrap/>
          </w:tcPr>
          <w:p w14:paraId="4803A8B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50002226" w14:textId="77777777" w:rsidTr="00C071C3">
        <w:trPr>
          <w:trHeight w:val="288"/>
        </w:trPr>
        <w:tc>
          <w:tcPr>
            <w:tcW w:w="4892" w:type="dxa"/>
            <w:noWrap/>
          </w:tcPr>
          <w:p w14:paraId="1DFEFFE2"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outpatient treatment after treatment failure for AS</w:t>
            </w:r>
          </w:p>
        </w:tc>
        <w:tc>
          <w:tcPr>
            <w:tcW w:w="1170" w:type="dxa"/>
            <w:noWrap/>
          </w:tcPr>
          <w:p w14:paraId="5AAB410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0.950</w:t>
            </w:r>
          </w:p>
        </w:tc>
        <w:tc>
          <w:tcPr>
            <w:tcW w:w="1042" w:type="dxa"/>
            <w:noWrap/>
          </w:tcPr>
          <w:p w14:paraId="76EA0DF7"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0C26C2EE"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4610E43A"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11104EA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2569.070</w:t>
            </w:r>
          </w:p>
        </w:tc>
        <w:tc>
          <w:tcPr>
            <w:tcW w:w="900" w:type="dxa"/>
            <w:noWrap/>
          </w:tcPr>
          <w:p w14:paraId="39A61E6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2704</w:t>
            </w:r>
          </w:p>
        </w:tc>
        <w:tc>
          <w:tcPr>
            <w:tcW w:w="1800" w:type="dxa"/>
            <w:noWrap/>
          </w:tcPr>
          <w:p w14:paraId="34E8548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3175D221" w14:textId="77777777" w:rsidTr="00C071C3">
        <w:trPr>
          <w:trHeight w:val="288"/>
        </w:trPr>
        <w:tc>
          <w:tcPr>
            <w:tcW w:w="4892" w:type="dxa"/>
            <w:noWrap/>
          </w:tcPr>
          <w:p w14:paraId="302AFADA"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emergency department treatment after treatment failure for GAS</w:t>
            </w:r>
          </w:p>
        </w:tc>
        <w:tc>
          <w:tcPr>
            <w:tcW w:w="1170" w:type="dxa"/>
            <w:noWrap/>
          </w:tcPr>
          <w:p w14:paraId="7BE6380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0.048</w:t>
            </w:r>
          </w:p>
        </w:tc>
        <w:tc>
          <w:tcPr>
            <w:tcW w:w="1042" w:type="dxa"/>
            <w:noWrap/>
          </w:tcPr>
          <w:p w14:paraId="49FFBB7B"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72C84934"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08AD42D6"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79E9B16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128.440</w:t>
            </w:r>
          </w:p>
        </w:tc>
        <w:tc>
          <w:tcPr>
            <w:tcW w:w="900" w:type="dxa"/>
            <w:noWrap/>
          </w:tcPr>
          <w:p w14:paraId="1548B0D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2704</w:t>
            </w:r>
          </w:p>
        </w:tc>
        <w:tc>
          <w:tcPr>
            <w:tcW w:w="1800" w:type="dxa"/>
            <w:noWrap/>
          </w:tcPr>
          <w:p w14:paraId="20B3EC1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71AC9A51" w14:textId="77777777" w:rsidTr="00C071C3">
        <w:trPr>
          <w:trHeight w:val="288"/>
        </w:trPr>
        <w:tc>
          <w:tcPr>
            <w:tcW w:w="4892" w:type="dxa"/>
            <w:noWrap/>
          </w:tcPr>
          <w:p w14:paraId="100AFB4E"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hospitalization after treatment failure for GAS</w:t>
            </w:r>
          </w:p>
        </w:tc>
        <w:tc>
          <w:tcPr>
            <w:tcW w:w="1170" w:type="dxa"/>
            <w:noWrap/>
          </w:tcPr>
          <w:p w14:paraId="1057A57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0.002</w:t>
            </w:r>
          </w:p>
        </w:tc>
        <w:tc>
          <w:tcPr>
            <w:tcW w:w="1042" w:type="dxa"/>
            <w:noWrap/>
          </w:tcPr>
          <w:p w14:paraId="0D73C709"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2DA760F7"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093F9C28"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6856556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6.219</w:t>
            </w:r>
          </w:p>
        </w:tc>
        <w:tc>
          <w:tcPr>
            <w:tcW w:w="900" w:type="dxa"/>
            <w:noWrap/>
          </w:tcPr>
          <w:p w14:paraId="5316B34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2704</w:t>
            </w:r>
          </w:p>
        </w:tc>
        <w:tc>
          <w:tcPr>
            <w:tcW w:w="1800" w:type="dxa"/>
            <w:noWrap/>
          </w:tcPr>
          <w:p w14:paraId="28E8450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66CD4911" w14:textId="77777777" w:rsidTr="00C071C3">
        <w:trPr>
          <w:trHeight w:val="288"/>
        </w:trPr>
        <w:tc>
          <w:tcPr>
            <w:tcW w:w="4892" w:type="dxa"/>
            <w:noWrap/>
          </w:tcPr>
          <w:p w14:paraId="05A91CE6"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outpatient treatment after treatment failure for GAS</w:t>
            </w:r>
          </w:p>
        </w:tc>
        <w:tc>
          <w:tcPr>
            <w:tcW w:w="1170" w:type="dxa"/>
            <w:noWrap/>
          </w:tcPr>
          <w:p w14:paraId="43C6669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0.950</w:t>
            </w:r>
          </w:p>
        </w:tc>
        <w:tc>
          <w:tcPr>
            <w:tcW w:w="1042" w:type="dxa"/>
            <w:noWrap/>
          </w:tcPr>
          <w:p w14:paraId="2D5B84AE"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2AFDD36A"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66A458EE"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49F490F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2569.070</w:t>
            </w:r>
          </w:p>
        </w:tc>
        <w:tc>
          <w:tcPr>
            <w:tcW w:w="900" w:type="dxa"/>
            <w:noWrap/>
          </w:tcPr>
          <w:p w14:paraId="466AC3F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2704</w:t>
            </w:r>
          </w:p>
        </w:tc>
        <w:tc>
          <w:tcPr>
            <w:tcW w:w="1800" w:type="dxa"/>
            <w:noWrap/>
          </w:tcPr>
          <w:p w14:paraId="08EC282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127E2681" w14:textId="77777777" w:rsidTr="00C071C3">
        <w:trPr>
          <w:trHeight w:val="288"/>
        </w:trPr>
        <w:tc>
          <w:tcPr>
            <w:tcW w:w="4892" w:type="dxa"/>
            <w:noWrap/>
          </w:tcPr>
          <w:p w14:paraId="6C78F667"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Length of ED visit, mean days</w:t>
            </w:r>
          </w:p>
        </w:tc>
        <w:tc>
          <w:tcPr>
            <w:tcW w:w="1170" w:type="dxa"/>
            <w:noWrap/>
          </w:tcPr>
          <w:p w14:paraId="7791B67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1.000</w:t>
            </w:r>
          </w:p>
        </w:tc>
        <w:tc>
          <w:tcPr>
            <w:tcW w:w="1042" w:type="dxa"/>
            <w:noWrap/>
          </w:tcPr>
          <w:p w14:paraId="2C11E68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0.750</w:t>
            </w:r>
          </w:p>
        </w:tc>
        <w:tc>
          <w:tcPr>
            <w:tcW w:w="1085" w:type="dxa"/>
            <w:noWrap/>
          </w:tcPr>
          <w:p w14:paraId="45C6515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1.250</w:t>
            </w:r>
          </w:p>
        </w:tc>
        <w:tc>
          <w:tcPr>
            <w:tcW w:w="985" w:type="dxa"/>
            <w:noWrap/>
          </w:tcPr>
          <w:p w14:paraId="642A5CB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0.128</w:t>
            </w:r>
          </w:p>
        </w:tc>
        <w:tc>
          <w:tcPr>
            <w:tcW w:w="1028" w:type="dxa"/>
            <w:noWrap/>
          </w:tcPr>
          <w:p w14:paraId="48333BC8"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7089520D"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5F1DBA3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5286074C" w14:textId="77777777" w:rsidTr="00C071C3">
        <w:trPr>
          <w:trHeight w:val="288"/>
        </w:trPr>
        <w:tc>
          <w:tcPr>
            <w:tcW w:w="4892" w:type="dxa"/>
            <w:noWrap/>
          </w:tcPr>
          <w:p w14:paraId="0C97D7C4"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Length of hospitalization, mean days</w:t>
            </w:r>
          </w:p>
        </w:tc>
        <w:tc>
          <w:tcPr>
            <w:tcW w:w="1170" w:type="dxa"/>
            <w:noWrap/>
          </w:tcPr>
          <w:p w14:paraId="383D36D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2.000</w:t>
            </w:r>
          </w:p>
        </w:tc>
        <w:tc>
          <w:tcPr>
            <w:tcW w:w="1042" w:type="dxa"/>
            <w:noWrap/>
          </w:tcPr>
          <w:p w14:paraId="1F6CEE1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1.500</w:t>
            </w:r>
          </w:p>
        </w:tc>
        <w:tc>
          <w:tcPr>
            <w:tcW w:w="1085" w:type="dxa"/>
            <w:noWrap/>
          </w:tcPr>
          <w:p w14:paraId="30F7572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2.500</w:t>
            </w:r>
          </w:p>
        </w:tc>
        <w:tc>
          <w:tcPr>
            <w:tcW w:w="985" w:type="dxa"/>
            <w:noWrap/>
          </w:tcPr>
          <w:p w14:paraId="1BD748B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0.255</w:t>
            </w:r>
          </w:p>
        </w:tc>
        <w:tc>
          <w:tcPr>
            <w:tcW w:w="1028" w:type="dxa"/>
            <w:noWrap/>
          </w:tcPr>
          <w:p w14:paraId="2D0E3EC5"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168AE9AE"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6A33711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01E38E78" w14:textId="77777777" w:rsidTr="00C071C3">
        <w:trPr>
          <w:trHeight w:val="288"/>
        </w:trPr>
        <w:tc>
          <w:tcPr>
            <w:tcW w:w="4892" w:type="dxa"/>
            <w:noWrap/>
          </w:tcPr>
          <w:p w14:paraId="7AD2D230"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Length of outpatient visit, mean hours</w:t>
            </w:r>
          </w:p>
        </w:tc>
        <w:tc>
          <w:tcPr>
            <w:tcW w:w="1170" w:type="dxa"/>
            <w:noWrap/>
          </w:tcPr>
          <w:p w14:paraId="04D664A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1.000</w:t>
            </w:r>
          </w:p>
        </w:tc>
        <w:tc>
          <w:tcPr>
            <w:tcW w:w="1042" w:type="dxa"/>
            <w:noWrap/>
          </w:tcPr>
          <w:p w14:paraId="2FDF9BF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0.750</w:t>
            </w:r>
          </w:p>
        </w:tc>
        <w:tc>
          <w:tcPr>
            <w:tcW w:w="1085" w:type="dxa"/>
            <w:noWrap/>
          </w:tcPr>
          <w:p w14:paraId="306EB83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1.250</w:t>
            </w:r>
          </w:p>
        </w:tc>
        <w:tc>
          <w:tcPr>
            <w:tcW w:w="985" w:type="dxa"/>
            <w:noWrap/>
          </w:tcPr>
          <w:p w14:paraId="229D978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0.128</w:t>
            </w:r>
          </w:p>
        </w:tc>
        <w:tc>
          <w:tcPr>
            <w:tcW w:w="1028" w:type="dxa"/>
            <w:noWrap/>
          </w:tcPr>
          <w:p w14:paraId="12CBF54F"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358E9F8E"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3B8BEBD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72B7DDCD" w14:textId="77777777" w:rsidTr="00F77A75">
        <w:trPr>
          <w:trHeight w:val="288"/>
        </w:trPr>
        <w:tc>
          <w:tcPr>
            <w:tcW w:w="12902" w:type="dxa"/>
            <w:gridSpan w:val="8"/>
            <w:shd w:val="clear" w:color="auto" w:fill="F2F2F2" w:themeFill="background1" w:themeFillShade="F2"/>
            <w:noWrap/>
          </w:tcPr>
          <w:p w14:paraId="11DD52A2"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eastAsia="Times New Roman" w:hAnsiTheme="minorHAnsi" w:cstheme="minorHAnsi"/>
                <w:b/>
                <w:bCs/>
                <w:i/>
                <w:sz w:val="22"/>
              </w:rPr>
              <w:lastRenderedPageBreak/>
              <w:t>Adverse Drug Reaction</w:t>
            </w:r>
          </w:p>
        </w:tc>
      </w:tr>
      <w:tr w:rsidR="00433DF3" w:rsidRPr="00854503" w14:paraId="5A084455" w14:textId="77777777" w:rsidTr="00C071C3">
        <w:trPr>
          <w:trHeight w:val="288"/>
        </w:trPr>
        <w:tc>
          <w:tcPr>
            <w:tcW w:w="4892" w:type="dxa"/>
            <w:noWrap/>
          </w:tcPr>
          <w:p w14:paraId="12C50739"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ED treatment after adverse drug reaction for OM</w:t>
            </w:r>
          </w:p>
        </w:tc>
        <w:tc>
          <w:tcPr>
            <w:tcW w:w="1170" w:type="dxa"/>
            <w:noWrap/>
          </w:tcPr>
          <w:p w14:paraId="2BB2D20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0.104</w:t>
            </w:r>
          </w:p>
        </w:tc>
        <w:tc>
          <w:tcPr>
            <w:tcW w:w="1042" w:type="dxa"/>
            <w:noWrap/>
          </w:tcPr>
          <w:p w14:paraId="0630127D"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7D4204DF"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68C1D971"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6FBFBCC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421.636</w:t>
            </w:r>
          </w:p>
        </w:tc>
        <w:tc>
          <w:tcPr>
            <w:tcW w:w="900" w:type="dxa"/>
            <w:noWrap/>
          </w:tcPr>
          <w:p w14:paraId="29B9503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4062</w:t>
            </w:r>
          </w:p>
        </w:tc>
        <w:tc>
          <w:tcPr>
            <w:tcW w:w="1800" w:type="dxa"/>
            <w:noWrap/>
          </w:tcPr>
          <w:p w14:paraId="454743F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2B06007C" w14:textId="77777777" w:rsidTr="00C071C3">
        <w:trPr>
          <w:trHeight w:val="288"/>
        </w:trPr>
        <w:tc>
          <w:tcPr>
            <w:tcW w:w="4892" w:type="dxa"/>
            <w:noWrap/>
          </w:tcPr>
          <w:p w14:paraId="0A3261A6"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hospitalization after adverse drug reaction for OM</w:t>
            </w:r>
          </w:p>
        </w:tc>
        <w:tc>
          <w:tcPr>
            <w:tcW w:w="1170" w:type="dxa"/>
            <w:noWrap/>
          </w:tcPr>
          <w:p w14:paraId="49D8DEF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0.006</w:t>
            </w:r>
          </w:p>
        </w:tc>
        <w:tc>
          <w:tcPr>
            <w:tcW w:w="1042" w:type="dxa"/>
            <w:noWrap/>
          </w:tcPr>
          <w:p w14:paraId="1FEDA1E3"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7A684F3D"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0EB4C5D5"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48163AC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25.997</w:t>
            </w:r>
          </w:p>
        </w:tc>
        <w:tc>
          <w:tcPr>
            <w:tcW w:w="900" w:type="dxa"/>
            <w:noWrap/>
          </w:tcPr>
          <w:p w14:paraId="17DA635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4062</w:t>
            </w:r>
          </w:p>
        </w:tc>
        <w:tc>
          <w:tcPr>
            <w:tcW w:w="1800" w:type="dxa"/>
            <w:noWrap/>
          </w:tcPr>
          <w:p w14:paraId="302232D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228AAD0C" w14:textId="77777777" w:rsidTr="00C071C3">
        <w:trPr>
          <w:trHeight w:val="288"/>
        </w:trPr>
        <w:tc>
          <w:tcPr>
            <w:tcW w:w="4892" w:type="dxa"/>
            <w:noWrap/>
          </w:tcPr>
          <w:p w14:paraId="204D515E"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outpatient treatment after adverse drug reaction for OM</w:t>
            </w:r>
          </w:p>
        </w:tc>
        <w:tc>
          <w:tcPr>
            <w:tcW w:w="1170" w:type="dxa"/>
            <w:noWrap/>
          </w:tcPr>
          <w:p w14:paraId="51373F1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0.890</w:t>
            </w:r>
          </w:p>
        </w:tc>
        <w:tc>
          <w:tcPr>
            <w:tcW w:w="1042" w:type="dxa"/>
            <w:noWrap/>
          </w:tcPr>
          <w:p w14:paraId="4F7C3B2F"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6BF74E24"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097DB3A4"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3661581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3614.368</w:t>
            </w:r>
          </w:p>
        </w:tc>
        <w:tc>
          <w:tcPr>
            <w:tcW w:w="900" w:type="dxa"/>
            <w:noWrap/>
          </w:tcPr>
          <w:p w14:paraId="4F7D6F6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4062</w:t>
            </w:r>
          </w:p>
        </w:tc>
        <w:tc>
          <w:tcPr>
            <w:tcW w:w="1800" w:type="dxa"/>
            <w:noWrap/>
          </w:tcPr>
          <w:p w14:paraId="1A28993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1A8ACCA5" w14:textId="77777777" w:rsidTr="00C071C3">
        <w:trPr>
          <w:trHeight w:val="288"/>
        </w:trPr>
        <w:tc>
          <w:tcPr>
            <w:tcW w:w="4892" w:type="dxa"/>
            <w:noWrap/>
          </w:tcPr>
          <w:p w14:paraId="3D1D6593"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ED treatment after adverse drug reaction for AS</w:t>
            </w:r>
          </w:p>
        </w:tc>
        <w:tc>
          <w:tcPr>
            <w:tcW w:w="1170" w:type="dxa"/>
            <w:noWrap/>
          </w:tcPr>
          <w:p w14:paraId="2BCE856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0.092</w:t>
            </w:r>
          </w:p>
        </w:tc>
        <w:tc>
          <w:tcPr>
            <w:tcW w:w="1042" w:type="dxa"/>
            <w:noWrap/>
          </w:tcPr>
          <w:p w14:paraId="2CE19C50"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66366A40"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5096F423"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4A20C93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211.966</w:t>
            </w:r>
          </w:p>
        </w:tc>
        <w:tc>
          <w:tcPr>
            <w:tcW w:w="900" w:type="dxa"/>
            <w:noWrap/>
          </w:tcPr>
          <w:p w14:paraId="66D42F6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2309</w:t>
            </w:r>
          </w:p>
        </w:tc>
        <w:tc>
          <w:tcPr>
            <w:tcW w:w="1800" w:type="dxa"/>
            <w:noWrap/>
          </w:tcPr>
          <w:p w14:paraId="752B55E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1D7F202F" w14:textId="77777777" w:rsidTr="00C071C3">
        <w:trPr>
          <w:trHeight w:val="288"/>
        </w:trPr>
        <w:tc>
          <w:tcPr>
            <w:tcW w:w="4892" w:type="dxa"/>
            <w:noWrap/>
          </w:tcPr>
          <w:p w14:paraId="59D98E10"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hospitalization after adverse drug reaction for AS</w:t>
            </w:r>
          </w:p>
        </w:tc>
        <w:tc>
          <w:tcPr>
            <w:tcW w:w="1170" w:type="dxa"/>
            <w:noWrap/>
          </w:tcPr>
          <w:p w14:paraId="0A2BD78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0.006</w:t>
            </w:r>
          </w:p>
        </w:tc>
        <w:tc>
          <w:tcPr>
            <w:tcW w:w="1042" w:type="dxa"/>
            <w:noWrap/>
          </w:tcPr>
          <w:p w14:paraId="4EF8161B"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1E74EF44"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070BB4EF"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6728F54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13.392</w:t>
            </w:r>
          </w:p>
        </w:tc>
        <w:tc>
          <w:tcPr>
            <w:tcW w:w="900" w:type="dxa"/>
            <w:noWrap/>
          </w:tcPr>
          <w:p w14:paraId="2955ED4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2309</w:t>
            </w:r>
          </w:p>
        </w:tc>
        <w:tc>
          <w:tcPr>
            <w:tcW w:w="1800" w:type="dxa"/>
            <w:noWrap/>
          </w:tcPr>
          <w:p w14:paraId="607C596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560F8B14" w14:textId="77777777" w:rsidTr="00C071C3">
        <w:trPr>
          <w:trHeight w:val="288"/>
        </w:trPr>
        <w:tc>
          <w:tcPr>
            <w:tcW w:w="4892" w:type="dxa"/>
            <w:noWrap/>
          </w:tcPr>
          <w:p w14:paraId="31027B66"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outpatient treatment after adverse drug reaction for AS</w:t>
            </w:r>
          </w:p>
        </w:tc>
        <w:tc>
          <w:tcPr>
            <w:tcW w:w="1170" w:type="dxa"/>
            <w:noWrap/>
          </w:tcPr>
          <w:p w14:paraId="4744C71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0.902</w:t>
            </w:r>
          </w:p>
        </w:tc>
        <w:tc>
          <w:tcPr>
            <w:tcW w:w="1042" w:type="dxa"/>
            <w:noWrap/>
          </w:tcPr>
          <w:p w14:paraId="3497227D"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2512DA6C"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5F521FDF"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6C9DA88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2083.642</w:t>
            </w:r>
          </w:p>
        </w:tc>
        <w:tc>
          <w:tcPr>
            <w:tcW w:w="900" w:type="dxa"/>
            <w:noWrap/>
          </w:tcPr>
          <w:p w14:paraId="7756CF7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2309</w:t>
            </w:r>
          </w:p>
        </w:tc>
        <w:tc>
          <w:tcPr>
            <w:tcW w:w="1800" w:type="dxa"/>
            <w:noWrap/>
          </w:tcPr>
          <w:p w14:paraId="5862818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1DBFC3C4" w14:textId="77777777" w:rsidTr="00C071C3">
        <w:trPr>
          <w:trHeight w:val="288"/>
        </w:trPr>
        <w:tc>
          <w:tcPr>
            <w:tcW w:w="4892" w:type="dxa"/>
            <w:noWrap/>
          </w:tcPr>
          <w:p w14:paraId="2D576E36"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ED treatment after adverse drug reaction for GAS</w:t>
            </w:r>
          </w:p>
        </w:tc>
        <w:tc>
          <w:tcPr>
            <w:tcW w:w="1170" w:type="dxa"/>
            <w:noWrap/>
          </w:tcPr>
          <w:p w14:paraId="0E2BCF5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0.088</w:t>
            </w:r>
          </w:p>
        </w:tc>
        <w:tc>
          <w:tcPr>
            <w:tcW w:w="1042" w:type="dxa"/>
            <w:noWrap/>
          </w:tcPr>
          <w:p w14:paraId="41BDAED2"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24E877F2"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054E4799"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271D736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168.416</w:t>
            </w:r>
          </w:p>
        </w:tc>
        <w:tc>
          <w:tcPr>
            <w:tcW w:w="900" w:type="dxa"/>
            <w:noWrap/>
          </w:tcPr>
          <w:p w14:paraId="2FE1007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1916</w:t>
            </w:r>
          </w:p>
        </w:tc>
        <w:tc>
          <w:tcPr>
            <w:tcW w:w="1800" w:type="dxa"/>
            <w:noWrap/>
          </w:tcPr>
          <w:p w14:paraId="65DB00E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1D78386A" w14:textId="77777777" w:rsidTr="00C071C3">
        <w:trPr>
          <w:trHeight w:val="288"/>
        </w:trPr>
        <w:tc>
          <w:tcPr>
            <w:tcW w:w="4892" w:type="dxa"/>
            <w:noWrap/>
          </w:tcPr>
          <w:p w14:paraId="60C6021B"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hospitalization after adverse drug reaction for GAS</w:t>
            </w:r>
          </w:p>
        </w:tc>
        <w:tc>
          <w:tcPr>
            <w:tcW w:w="1170" w:type="dxa"/>
            <w:noWrap/>
          </w:tcPr>
          <w:p w14:paraId="274B9FB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0.006</w:t>
            </w:r>
          </w:p>
        </w:tc>
        <w:tc>
          <w:tcPr>
            <w:tcW w:w="1042" w:type="dxa"/>
            <w:noWrap/>
          </w:tcPr>
          <w:p w14:paraId="1B3B54DA"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4E32DE1A"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107F5A0C"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00AE469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12.262</w:t>
            </w:r>
          </w:p>
        </w:tc>
        <w:tc>
          <w:tcPr>
            <w:tcW w:w="900" w:type="dxa"/>
            <w:noWrap/>
          </w:tcPr>
          <w:p w14:paraId="38D6EC9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1916</w:t>
            </w:r>
          </w:p>
        </w:tc>
        <w:tc>
          <w:tcPr>
            <w:tcW w:w="1800" w:type="dxa"/>
            <w:noWrap/>
          </w:tcPr>
          <w:p w14:paraId="283F3F9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3E6A242F" w14:textId="77777777" w:rsidTr="00C071C3">
        <w:trPr>
          <w:trHeight w:val="288"/>
        </w:trPr>
        <w:tc>
          <w:tcPr>
            <w:tcW w:w="4892" w:type="dxa"/>
            <w:noWrap/>
          </w:tcPr>
          <w:p w14:paraId="2818EDD6"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Probability of outpatient treatment after adverse drug reaction for GAS</w:t>
            </w:r>
          </w:p>
        </w:tc>
        <w:tc>
          <w:tcPr>
            <w:tcW w:w="1170" w:type="dxa"/>
            <w:noWrap/>
          </w:tcPr>
          <w:p w14:paraId="5F68EE7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0.906</w:t>
            </w:r>
          </w:p>
        </w:tc>
        <w:tc>
          <w:tcPr>
            <w:tcW w:w="1042" w:type="dxa"/>
            <w:noWrap/>
          </w:tcPr>
          <w:p w14:paraId="57919FF3"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08B2211F"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34AD4EB2"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77B0D17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1735.321</w:t>
            </w:r>
          </w:p>
        </w:tc>
        <w:tc>
          <w:tcPr>
            <w:tcW w:w="900" w:type="dxa"/>
            <w:noWrap/>
          </w:tcPr>
          <w:p w14:paraId="5561858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1916</w:t>
            </w:r>
          </w:p>
        </w:tc>
        <w:tc>
          <w:tcPr>
            <w:tcW w:w="1800" w:type="dxa"/>
            <w:noWrap/>
          </w:tcPr>
          <w:p w14:paraId="194D1D4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Multinomial</w:t>
            </w:r>
          </w:p>
        </w:tc>
      </w:tr>
      <w:tr w:rsidR="00433DF3" w:rsidRPr="00854503" w14:paraId="28E1B992" w14:textId="77777777" w:rsidTr="00C071C3">
        <w:trPr>
          <w:trHeight w:val="288"/>
        </w:trPr>
        <w:tc>
          <w:tcPr>
            <w:tcW w:w="4892" w:type="dxa"/>
            <w:noWrap/>
          </w:tcPr>
          <w:p w14:paraId="08FAF9AB"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Length of ED visit, mean days</w:t>
            </w:r>
          </w:p>
        </w:tc>
        <w:tc>
          <w:tcPr>
            <w:tcW w:w="1170" w:type="dxa"/>
            <w:noWrap/>
          </w:tcPr>
          <w:p w14:paraId="1F48B96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1.000</w:t>
            </w:r>
          </w:p>
        </w:tc>
        <w:tc>
          <w:tcPr>
            <w:tcW w:w="1042" w:type="dxa"/>
            <w:noWrap/>
          </w:tcPr>
          <w:p w14:paraId="43FCE18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0.750</w:t>
            </w:r>
          </w:p>
        </w:tc>
        <w:tc>
          <w:tcPr>
            <w:tcW w:w="1085" w:type="dxa"/>
            <w:noWrap/>
          </w:tcPr>
          <w:p w14:paraId="57640A3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1.250</w:t>
            </w:r>
          </w:p>
        </w:tc>
        <w:tc>
          <w:tcPr>
            <w:tcW w:w="985" w:type="dxa"/>
            <w:noWrap/>
          </w:tcPr>
          <w:p w14:paraId="33E8156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0.128</w:t>
            </w:r>
          </w:p>
        </w:tc>
        <w:tc>
          <w:tcPr>
            <w:tcW w:w="1028" w:type="dxa"/>
            <w:noWrap/>
          </w:tcPr>
          <w:p w14:paraId="698ADAB3"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0EF4F8A5"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66F38FD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36A7A8BB" w14:textId="77777777" w:rsidTr="00C071C3">
        <w:trPr>
          <w:trHeight w:val="288"/>
        </w:trPr>
        <w:tc>
          <w:tcPr>
            <w:tcW w:w="4892" w:type="dxa"/>
            <w:noWrap/>
          </w:tcPr>
          <w:p w14:paraId="7698CBAF"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Length of hospitalization, mean days</w:t>
            </w:r>
          </w:p>
        </w:tc>
        <w:tc>
          <w:tcPr>
            <w:tcW w:w="1170" w:type="dxa"/>
            <w:noWrap/>
          </w:tcPr>
          <w:p w14:paraId="5ECAFAD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2.000</w:t>
            </w:r>
          </w:p>
        </w:tc>
        <w:tc>
          <w:tcPr>
            <w:tcW w:w="1042" w:type="dxa"/>
            <w:noWrap/>
          </w:tcPr>
          <w:p w14:paraId="2C07386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1.500</w:t>
            </w:r>
          </w:p>
        </w:tc>
        <w:tc>
          <w:tcPr>
            <w:tcW w:w="1085" w:type="dxa"/>
            <w:noWrap/>
          </w:tcPr>
          <w:p w14:paraId="2C0C40E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2.500</w:t>
            </w:r>
          </w:p>
        </w:tc>
        <w:tc>
          <w:tcPr>
            <w:tcW w:w="985" w:type="dxa"/>
            <w:noWrap/>
          </w:tcPr>
          <w:p w14:paraId="6D23BF0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0.255</w:t>
            </w:r>
          </w:p>
        </w:tc>
        <w:tc>
          <w:tcPr>
            <w:tcW w:w="1028" w:type="dxa"/>
            <w:noWrap/>
          </w:tcPr>
          <w:p w14:paraId="0F6558B3"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3E0891FC"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69D54AE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3CEFF54D" w14:textId="77777777" w:rsidTr="00C071C3">
        <w:trPr>
          <w:trHeight w:val="288"/>
        </w:trPr>
        <w:tc>
          <w:tcPr>
            <w:tcW w:w="4892" w:type="dxa"/>
            <w:noWrap/>
          </w:tcPr>
          <w:p w14:paraId="5900F0D6"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Length of outpatient visit, mean days</w:t>
            </w:r>
          </w:p>
        </w:tc>
        <w:tc>
          <w:tcPr>
            <w:tcW w:w="1170" w:type="dxa"/>
            <w:noWrap/>
          </w:tcPr>
          <w:p w14:paraId="142438F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1.000</w:t>
            </w:r>
          </w:p>
        </w:tc>
        <w:tc>
          <w:tcPr>
            <w:tcW w:w="1042" w:type="dxa"/>
            <w:noWrap/>
          </w:tcPr>
          <w:p w14:paraId="4CA9C21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1.183</w:t>
            </w:r>
          </w:p>
        </w:tc>
        <w:tc>
          <w:tcPr>
            <w:tcW w:w="1085" w:type="dxa"/>
            <w:noWrap/>
          </w:tcPr>
          <w:p w14:paraId="27885B0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1.417</w:t>
            </w:r>
          </w:p>
        </w:tc>
        <w:tc>
          <w:tcPr>
            <w:tcW w:w="985" w:type="dxa"/>
            <w:noWrap/>
          </w:tcPr>
          <w:p w14:paraId="3517FCF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0.060</w:t>
            </w:r>
          </w:p>
        </w:tc>
        <w:tc>
          <w:tcPr>
            <w:tcW w:w="1028" w:type="dxa"/>
            <w:noWrap/>
          </w:tcPr>
          <w:p w14:paraId="74518EFC"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77E75D45"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01F2067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r w:rsidR="00433DF3" w:rsidRPr="00854503" w14:paraId="5DB78017" w14:textId="77777777" w:rsidTr="00F77A75">
        <w:trPr>
          <w:trHeight w:val="288"/>
        </w:trPr>
        <w:tc>
          <w:tcPr>
            <w:tcW w:w="12902" w:type="dxa"/>
            <w:gridSpan w:val="8"/>
            <w:shd w:val="clear" w:color="auto" w:fill="D9D9D9" w:themeFill="background1" w:themeFillShade="D9"/>
            <w:noWrap/>
          </w:tcPr>
          <w:p w14:paraId="5CA2698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eastAsia="Times New Roman" w:hAnsiTheme="minorHAnsi" w:cstheme="minorHAnsi"/>
                <w:b/>
                <w:sz w:val="22"/>
              </w:rPr>
              <w:t>Study Population Parameters</w:t>
            </w:r>
          </w:p>
        </w:tc>
      </w:tr>
      <w:tr w:rsidR="00433DF3" w:rsidRPr="00854503" w14:paraId="69C46CDE" w14:textId="77777777" w:rsidTr="00F77A75">
        <w:trPr>
          <w:trHeight w:val="288"/>
        </w:trPr>
        <w:tc>
          <w:tcPr>
            <w:tcW w:w="12902" w:type="dxa"/>
            <w:gridSpan w:val="8"/>
            <w:shd w:val="clear" w:color="auto" w:fill="F2F2F2" w:themeFill="background1" w:themeFillShade="F2"/>
            <w:noWrap/>
          </w:tcPr>
          <w:p w14:paraId="63B9CB98"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eastAsia="Times New Roman" w:hAnsiTheme="minorHAnsi" w:cstheme="minorHAnsi"/>
                <w:b/>
                <w:bCs/>
                <w:i/>
                <w:sz w:val="22"/>
              </w:rPr>
              <w:t>Treatment Failure</w:t>
            </w:r>
          </w:p>
        </w:tc>
      </w:tr>
      <w:tr w:rsidR="00433DF3" w:rsidRPr="00854503" w14:paraId="196D6618" w14:textId="77777777" w:rsidTr="00C071C3">
        <w:trPr>
          <w:trHeight w:val="288"/>
        </w:trPr>
        <w:tc>
          <w:tcPr>
            <w:tcW w:w="4892" w:type="dxa"/>
            <w:noWrap/>
          </w:tcPr>
          <w:p w14:paraId="2F917B02" w14:textId="77777777" w:rsidR="00433DF3" w:rsidRPr="00854503" w:rsidRDefault="00433DF3" w:rsidP="00C071C3">
            <w:pPr>
              <w:spacing w:after="0" w:line="240" w:lineRule="auto"/>
              <w:rPr>
                <w:rFonts w:asciiTheme="minorHAnsi" w:hAnsiTheme="minorHAnsi" w:cstheme="minorHAnsi"/>
                <w:i/>
                <w:iCs/>
                <w:color w:val="000000"/>
                <w:sz w:val="22"/>
              </w:rPr>
            </w:pPr>
            <w:r w:rsidRPr="00854503">
              <w:rPr>
                <w:rFonts w:asciiTheme="minorHAnsi" w:hAnsiTheme="minorHAnsi" w:cstheme="minorHAnsi"/>
                <w:i/>
                <w:iCs/>
                <w:color w:val="000000"/>
                <w:sz w:val="22"/>
              </w:rPr>
              <w:t>Average cost of a hospitalization OM</w:t>
            </w:r>
          </w:p>
        </w:tc>
        <w:tc>
          <w:tcPr>
            <w:tcW w:w="1170" w:type="dxa"/>
            <w:noWrap/>
          </w:tcPr>
          <w:p w14:paraId="7B28C6F4"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66656690"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5B1CA01E"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743777C3"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0EFA5E04"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35F581C4"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26800C87" w14:textId="77777777" w:rsidR="00433DF3" w:rsidRPr="00854503" w:rsidRDefault="00433DF3" w:rsidP="00C071C3">
            <w:pPr>
              <w:spacing w:after="0" w:line="240" w:lineRule="auto"/>
              <w:jc w:val="center"/>
              <w:rPr>
                <w:rFonts w:asciiTheme="minorHAnsi" w:hAnsiTheme="minorHAnsi" w:cstheme="minorHAnsi"/>
                <w:sz w:val="22"/>
              </w:rPr>
            </w:pPr>
          </w:p>
        </w:tc>
      </w:tr>
      <w:tr w:rsidR="00433DF3" w:rsidRPr="00854503" w14:paraId="43C03EF9" w14:textId="77777777" w:rsidTr="00C071C3">
        <w:trPr>
          <w:trHeight w:val="288"/>
        </w:trPr>
        <w:tc>
          <w:tcPr>
            <w:tcW w:w="4892" w:type="dxa"/>
            <w:noWrap/>
          </w:tcPr>
          <w:p w14:paraId="14F27266"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Payer costs</w:t>
            </w:r>
          </w:p>
        </w:tc>
        <w:tc>
          <w:tcPr>
            <w:tcW w:w="1170" w:type="dxa"/>
            <w:noWrap/>
          </w:tcPr>
          <w:p w14:paraId="341B781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2831.233</w:t>
            </w:r>
          </w:p>
        </w:tc>
        <w:tc>
          <w:tcPr>
            <w:tcW w:w="1042" w:type="dxa"/>
            <w:noWrap/>
          </w:tcPr>
          <w:p w14:paraId="1CD9E2D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1502.356</w:t>
            </w:r>
          </w:p>
        </w:tc>
        <w:tc>
          <w:tcPr>
            <w:tcW w:w="1085" w:type="dxa"/>
            <w:noWrap/>
          </w:tcPr>
          <w:p w14:paraId="6DDF401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4574.153</w:t>
            </w:r>
          </w:p>
        </w:tc>
        <w:tc>
          <w:tcPr>
            <w:tcW w:w="985" w:type="dxa"/>
            <w:noWrap/>
          </w:tcPr>
          <w:p w14:paraId="28A9CBB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788.924</w:t>
            </w:r>
          </w:p>
        </w:tc>
        <w:tc>
          <w:tcPr>
            <w:tcW w:w="1028" w:type="dxa"/>
            <w:noWrap/>
          </w:tcPr>
          <w:p w14:paraId="14F8983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12.9</w:t>
            </w:r>
          </w:p>
        </w:tc>
        <w:tc>
          <w:tcPr>
            <w:tcW w:w="900" w:type="dxa"/>
            <w:noWrap/>
          </w:tcPr>
          <w:p w14:paraId="1FF4A8C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219.8</w:t>
            </w:r>
          </w:p>
        </w:tc>
        <w:tc>
          <w:tcPr>
            <w:tcW w:w="1800" w:type="dxa"/>
            <w:noWrap/>
          </w:tcPr>
          <w:p w14:paraId="07FB0374"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1AA37215" w14:textId="77777777" w:rsidTr="00C071C3">
        <w:trPr>
          <w:trHeight w:val="288"/>
        </w:trPr>
        <w:tc>
          <w:tcPr>
            <w:tcW w:w="4892" w:type="dxa"/>
            <w:noWrap/>
          </w:tcPr>
          <w:p w14:paraId="413CBB63"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Out-of-pocket costs</w:t>
            </w:r>
          </w:p>
        </w:tc>
        <w:tc>
          <w:tcPr>
            <w:tcW w:w="1170" w:type="dxa"/>
            <w:noWrap/>
          </w:tcPr>
          <w:p w14:paraId="51ED922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185.955</w:t>
            </w:r>
          </w:p>
        </w:tc>
        <w:tc>
          <w:tcPr>
            <w:tcW w:w="1042" w:type="dxa"/>
            <w:noWrap/>
          </w:tcPr>
          <w:p w14:paraId="220C4C5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98.675</w:t>
            </w:r>
          </w:p>
        </w:tc>
        <w:tc>
          <w:tcPr>
            <w:tcW w:w="1085" w:type="dxa"/>
            <w:noWrap/>
          </w:tcPr>
          <w:p w14:paraId="4CDA6B1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300.430</w:t>
            </w:r>
          </w:p>
        </w:tc>
        <w:tc>
          <w:tcPr>
            <w:tcW w:w="985" w:type="dxa"/>
            <w:noWrap/>
          </w:tcPr>
          <w:p w14:paraId="724B535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51.817</w:t>
            </w:r>
          </w:p>
        </w:tc>
        <w:tc>
          <w:tcPr>
            <w:tcW w:w="1028" w:type="dxa"/>
            <w:noWrap/>
          </w:tcPr>
          <w:p w14:paraId="4EC9A98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12.9</w:t>
            </w:r>
          </w:p>
        </w:tc>
        <w:tc>
          <w:tcPr>
            <w:tcW w:w="900" w:type="dxa"/>
            <w:noWrap/>
          </w:tcPr>
          <w:p w14:paraId="297916A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14.4</w:t>
            </w:r>
          </w:p>
        </w:tc>
        <w:tc>
          <w:tcPr>
            <w:tcW w:w="1800" w:type="dxa"/>
            <w:noWrap/>
          </w:tcPr>
          <w:p w14:paraId="2567D001"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7C7C0CC3" w14:textId="77777777" w:rsidTr="00C071C3">
        <w:trPr>
          <w:trHeight w:val="288"/>
        </w:trPr>
        <w:tc>
          <w:tcPr>
            <w:tcW w:w="4892" w:type="dxa"/>
            <w:noWrap/>
          </w:tcPr>
          <w:p w14:paraId="0B5C608E" w14:textId="77777777" w:rsidR="00433DF3" w:rsidRPr="00854503" w:rsidRDefault="00433DF3" w:rsidP="00C071C3">
            <w:pPr>
              <w:spacing w:after="0" w:line="240" w:lineRule="auto"/>
              <w:rPr>
                <w:rFonts w:asciiTheme="minorHAnsi" w:hAnsiTheme="minorHAnsi" w:cstheme="minorHAnsi"/>
                <w:i/>
                <w:iCs/>
                <w:color w:val="000000"/>
                <w:sz w:val="22"/>
              </w:rPr>
            </w:pPr>
            <w:r w:rsidRPr="00854503">
              <w:rPr>
                <w:rFonts w:asciiTheme="minorHAnsi" w:hAnsiTheme="minorHAnsi" w:cstheme="minorHAnsi"/>
                <w:i/>
                <w:iCs/>
                <w:color w:val="000000"/>
                <w:sz w:val="22"/>
              </w:rPr>
              <w:t>Average cost of ED visit OM</w:t>
            </w:r>
          </w:p>
        </w:tc>
        <w:tc>
          <w:tcPr>
            <w:tcW w:w="1170" w:type="dxa"/>
            <w:noWrap/>
          </w:tcPr>
          <w:p w14:paraId="71F0E1A7"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410DBB1B"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46CFC2F7"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2B775480"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1BF17304"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18D622FE"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6A092923" w14:textId="77777777" w:rsidR="00433DF3" w:rsidRPr="00854503" w:rsidRDefault="00433DF3" w:rsidP="00C071C3">
            <w:pPr>
              <w:spacing w:after="0" w:line="240" w:lineRule="auto"/>
              <w:jc w:val="center"/>
              <w:rPr>
                <w:rFonts w:asciiTheme="minorHAnsi" w:hAnsiTheme="minorHAnsi" w:cstheme="minorHAnsi"/>
                <w:color w:val="000000"/>
                <w:sz w:val="22"/>
              </w:rPr>
            </w:pPr>
          </w:p>
        </w:tc>
      </w:tr>
      <w:tr w:rsidR="00433DF3" w:rsidRPr="00854503" w14:paraId="700C8AB9" w14:textId="77777777" w:rsidTr="00C071C3">
        <w:trPr>
          <w:trHeight w:val="288"/>
        </w:trPr>
        <w:tc>
          <w:tcPr>
            <w:tcW w:w="4892" w:type="dxa"/>
            <w:noWrap/>
          </w:tcPr>
          <w:p w14:paraId="3E028801"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Payer costs</w:t>
            </w:r>
          </w:p>
        </w:tc>
        <w:tc>
          <w:tcPr>
            <w:tcW w:w="1170" w:type="dxa"/>
            <w:noWrap/>
          </w:tcPr>
          <w:p w14:paraId="02286F4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329.485</w:t>
            </w:r>
          </w:p>
        </w:tc>
        <w:tc>
          <w:tcPr>
            <w:tcW w:w="1042" w:type="dxa"/>
            <w:noWrap/>
          </w:tcPr>
          <w:p w14:paraId="6440986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284.089</w:t>
            </w:r>
          </w:p>
        </w:tc>
        <w:tc>
          <w:tcPr>
            <w:tcW w:w="1085" w:type="dxa"/>
            <w:noWrap/>
          </w:tcPr>
          <w:p w14:paraId="1D23A36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378.196</w:t>
            </w:r>
          </w:p>
        </w:tc>
        <w:tc>
          <w:tcPr>
            <w:tcW w:w="985" w:type="dxa"/>
            <w:noWrap/>
          </w:tcPr>
          <w:p w14:paraId="7B416EA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24.019</w:t>
            </w:r>
          </w:p>
        </w:tc>
        <w:tc>
          <w:tcPr>
            <w:tcW w:w="1028" w:type="dxa"/>
            <w:noWrap/>
          </w:tcPr>
          <w:p w14:paraId="183FDA2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188.2</w:t>
            </w:r>
          </w:p>
        </w:tc>
        <w:tc>
          <w:tcPr>
            <w:tcW w:w="900" w:type="dxa"/>
            <w:noWrap/>
          </w:tcPr>
          <w:p w14:paraId="64A02AC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1.8</w:t>
            </w:r>
          </w:p>
        </w:tc>
        <w:tc>
          <w:tcPr>
            <w:tcW w:w="1800" w:type="dxa"/>
            <w:noWrap/>
          </w:tcPr>
          <w:p w14:paraId="6F963217"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7155FF71" w14:textId="77777777" w:rsidTr="00C071C3">
        <w:trPr>
          <w:trHeight w:val="288"/>
        </w:trPr>
        <w:tc>
          <w:tcPr>
            <w:tcW w:w="4892" w:type="dxa"/>
            <w:noWrap/>
          </w:tcPr>
          <w:p w14:paraId="2C32CA7A"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Out-of-pocket costs</w:t>
            </w:r>
          </w:p>
        </w:tc>
        <w:tc>
          <w:tcPr>
            <w:tcW w:w="1170" w:type="dxa"/>
            <w:noWrap/>
          </w:tcPr>
          <w:p w14:paraId="338E7A1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41.934</w:t>
            </w:r>
          </w:p>
        </w:tc>
        <w:tc>
          <w:tcPr>
            <w:tcW w:w="1042" w:type="dxa"/>
            <w:noWrap/>
          </w:tcPr>
          <w:p w14:paraId="7BEFBBE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28.953</w:t>
            </w:r>
          </w:p>
        </w:tc>
        <w:tc>
          <w:tcPr>
            <w:tcW w:w="1085" w:type="dxa"/>
            <w:noWrap/>
          </w:tcPr>
          <w:p w14:paraId="370828B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57.280</w:t>
            </w:r>
          </w:p>
        </w:tc>
        <w:tc>
          <w:tcPr>
            <w:tcW w:w="985" w:type="dxa"/>
            <w:noWrap/>
          </w:tcPr>
          <w:p w14:paraId="4F0EDD4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7.245</w:t>
            </w:r>
          </w:p>
        </w:tc>
        <w:tc>
          <w:tcPr>
            <w:tcW w:w="1028" w:type="dxa"/>
            <w:noWrap/>
          </w:tcPr>
          <w:p w14:paraId="084CD79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33.5</w:t>
            </w:r>
          </w:p>
        </w:tc>
        <w:tc>
          <w:tcPr>
            <w:tcW w:w="900" w:type="dxa"/>
            <w:noWrap/>
          </w:tcPr>
          <w:p w14:paraId="06F7CF6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1.3</w:t>
            </w:r>
          </w:p>
        </w:tc>
        <w:tc>
          <w:tcPr>
            <w:tcW w:w="1800" w:type="dxa"/>
            <w:noWrap/>
          </w:tcPr>
          <w:p w14:paraId="6BDBFBC1"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0DEA9EFD" w14:textId="77777777" w:rsidTr="00C071C3">
        <w:trPr>
          <w:trHeight w:val="288"/>
        </w:trPr>
        <w:tc>
          <w:tcPr>
            <w:tcW w:w="4892" w:type="dxa"/>
            <w:noWrap/>
          </w:tcPr>
          <w:p w14:paraId="0B357449" w14:textId="77777777" w:rsidR="00433DF3" w:rsidRPr="00854503" w:rsidRDefault="00433DF3" w:rsidP="00C071C3">
            <w:pPr>
              <w:spacing w:after="0" w:line="240" w:lineRule="auto"/>
              <w:rPr>
                <w:rFonts w:asciiTheme="minorHAnsi" w:hAnsiTheme="minorHAnsi" w:cstheme="minorHAnsi"/>
                <w:i/>
                <w:iCs/>
                <w:color w:val="000000"/>
                <w:sz w:val="22"/>
              </w:rPr>
            </w:pPr>
            <w:r w:rsidRPr="00854503">
              <w:rPr>
                <w:rFonts w:asciiTheme="minorHAnsi" w:hAnsiTheme="minorHAnsi" w:cstheme="minorHAnsi"/>
                <w:i/>
                <w:iCs/>
                <w:color w:val="000000"/>
                <w:sz w:val="22"/>
              </w:rPr>
              <w:t>Average cost of outpatient visit OM</w:t>
            </w:r>
          </w:p>
        </w:tc>
        <w:tc>
          <w:tcPr>
            <w:tcW w:w="1170" w:type="dxa"/>
            <w:noWrap/>
          </w:tcPr>
          <w:p w14:paraId="1CBACD18"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455ACA84"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4717F7A7"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7D84A95E"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656263F9"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0AA225CC"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0990AA86" w14:textId="77777777" w:rsidR="00433DF3" w:rsidRPr="00854503" w:rsidRDefault="00433DF3" w:rsidP="00C071C3">
            <w:pPr>
              <w:spacing w:after="0" w:line="240" w:lineRule="auto"/>
              <w:jc w:val="center"/>
              <w:rPr>
                <w:rFonts w:asciiTheme="minorHAnsi" w:hAnsiTheme="minorHAnsi" w:cstheme="minorHAnsi"/>
                <w:color w:val="000000"/>
                <w:sz w:val="22"/>
              </w:rPr>
            </w:pPr>
          </w:p>
        </w:tc>
      </w:tr>
      <w:tr w:rsidR="00433DF3" w:rsidRPr="00854503" w14:paraId="1D285687" w14:textId="77777777" w:rsidTr="00C071C3">
        <w:trPr>
          <w:trHeight w:val="288"/>
        </w:trPr>
        <w:tc>
          <w:tcPr>
            <w:tcW w:w="4892" w:type="dxa"/>
            <w:noWrap/>
          </w:tcPr>
          <w:p w14:paraId="7CE20E3F"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lastRenderedPageBreak/>
              <w:t xml:space="preserve">   Payer costs</w:t>
            </w:r>
          </w:p>
        </w:tc>
        <w:tc>
          <w:tcPr>
            <w:tcW w:w="1170" w:type="dxa"/>
            <w:noWrap/>
          </w:tcPr>
          <w:p w14:paraId="07498BE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165.543</w:t>
            </w:r>
          </w:p>
        </w:tc>
        <w:tc>
          <w:tcPr>
            <w:tcW w:w="1042" w:type="dxa"/>
            <w:noWrap/>
          </w:tcPr>
          <w:p w14:paraId="2B8846D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151.451</w:t>
            </w:r>
          </w:p>
        </w:tc>
        <w:tc>
          <w:tcPr>
            <w:tcW w:w="1085" w:type="dxa"/>
            <w:noWrap/>
          </w:tcPr>
          <w:p w14:paraId="2611F1C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180.254</w:t>
            </w:r>
          </w:p>
        </w:tc>
        <w:tc>
          <w:tcPr>
            <w:tcW w:w="985" w:type="dxa"/>
            <w:noWrap/>
          </w:tcPr>
          <w:p w14:paraId="19764DE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7.349</w:t>
            </w:r>
          </w:p>
        </w:tc>
        <w:tc>
          <w:tcPr>
            <w:tcW w:w="1028" w:type="dxa"/>
            <w:noWrap/>
          </w:tcPr>
          <w:p w14:paraId="6A98014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507.4</w:t>
            </w:r>
          </w:p>
        </w:tc>
        <w:tc>
          <w:tcPr>
            <w:tcW w:w="900" w:type="dxa"/>
            <w:noWrap/>
          </w:tcPr>
          <w:p w14:paraId="64767AA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0.3</w:t>
            </w:r>
          </w:p>
        </w:tc>
        <w:tc>
          <w:tcPr>
            <w:tcW w:w="1800" w:type="dxa"/>
            <w:noWrap/>
          </w:tcPr>
          <w:p w14:paraId="304D3649"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4F719031" w14:textId="77777777" w:rsidTr="00C071C3">
        <w:trPr>
          <w:trHeight w:val="288"/>
        </w:trPr>
        <w:tc>
          <w:tcPr>
            <w:tcW w:w="4892" w:type="dxa"/>
            <w:noWrap/>
          </w:tcPr>
          <w:p w14:paraId="2F8C41E0"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Out-of-pocket costs</w:t>
            </w:r>
          </w:p>
        </w:tc>
        <w:tc>
          <w:tcPr>
            <w:tcW w:w="1170" w:type="dxa"/>
            <w:noWrap/>
          </w:tcPr>
          <w:p w14:paraId="32C7F72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26.607</w:t>
            </w:r>
          </w:p>
        </w:tc>
        <w:tc>
          <w:tcPr>
            <w:tcW w:w="1042" w:type="dxa"/>
            <w:noWrap/>
          </w:tcPr>
          <w:p w14:paraId="3C60952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23.756</w:t>
            </w:r>
          </w:p>
        </w:tc>
        <w:tc>
          <w:tcPr>
            <w:tcW w:w="1085" w:type="dxa"/>
            <w:noWrap/>
          </w:tcPr>
          <w:p w14:paraId="60464BF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29.616</w:t>
            </w:r>
          </w:p>
        </w:tc>
        <w:tc>
          <w:tcPr>
            <w:tcW w:w="985" w:type="dxa"/>
            <w:noWrap/>
          </w:tcPr>
          <w:p w14:paraId="03DDEE7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1.495</w:t>
            </w:r>
          </w:p>
        </w:tc>
        <w:tc>
          <w:tcPr>
            <w:tcW w:w="1028" w:type="dxa"/>
            <w:noWrap/>
          </w:tcPr>
          <w:p w14:paraId="7411547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316.6</w:t>
            </w:r>
          </w:p>
        </w:tc>
        <w:tc>
          <w:tcPr>
            <w:tcW w:w="900" w:type="dxa"/>
            <w:noWrap/>
          </w:tcPr>
          <w:p w14:paraId="57E25D4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0.1</w:t>
            </w:r>
          </w:p>
        </w:tc>
        <w:tc>
          <w:tcPr>
            <w:tcW w:w="1800" w:type="dxa"/>
            <w:noWrap/>
          </w:tcPr>
          <w:p w14:paraId="2220628D"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11F6B2BD" w14:textId="77777777" w:rsidTr="00C071C3">
        <w:trPr>
          <w:trHeight w:val="288"/>
        </w:trPr>
        <w:tc>
          <w:tcPr>
            <w:tcW w:w="4892" w:type="dxa"/>
            <w:noWrap/>
          </w:tcPr>
          <w:p w14:paraId="52B580E4" w14:textId="77777777" w:rsidR="00433DF3" w:rsidRPr="00854503" w:rsidRDefault="00433DF3" w:rsidP="00C071C3">
            <w:pPr>
              <w:spacing w:after="0" w:line="240" w:lineRule="auto"/>
              <w:rPr>
                <w:rFonts w:asciiTheme="minorHAnsi" w:hAnsiTheme="minorHAnsi" w:cstheme="minorHAnsi"/>
                <w:i/>
                <w:iCs/>
                <w:color w:val="000000"/>
                <w:sz w:val="22"/>
              </w:rPr>
            </w:pPr>
            <w:r w:rsidRPr="00854503">
              <w:rPr>
                <w:rFonts w:asciiTheme="minorHAnsi" w:hAnsiTheme="minorHAnsi" w:cstheme="minorHAnsi"/>
                <w:i/>
                <w:iCs/>
                <w:color w:val="000000"/>
                <w:sz w:val="22"/>
              </w:rPr>
              <w:t>Average cost of a hospitalization AS</w:t>
            </w:r>
          </w:p>
        </w:tc>
        <w:tc>
          <w:tcPr>
            <w:tcW w:w="1170" w:type="dxa"/>
            <w:noWrap/>
          </w:tcPr>
          <w:p w14:paraId="181E838C"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65A947BB"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2A31C1C7"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51E3B7E6"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2812CCC5"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74466FB7"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4D38AAA1" w14:textId="77777777" w:rsidR="00433DF3" w:rsidRPr="00854503" w:rsidRDefault="00433DF3" w:rsidP="00C071C3">
            <w:pPr>
              <w:spacing w:after="0" w:line="240" w:lineRule="auto"/>
              <w:ind w:firstLineChars="100" w:firstLine="220"/>
              <w:jc w:val="center"/>
              <w:rPr>
                <w:rFonts w:asciiTheme="minorHAnsi" w:hAnsiTheme="minorHAnsi" w:cstheme="minorHAnsi"/>
                <w:color w:val="000000"/>
                <w:sz w:val="22"/>
              </w:rPr>
            </w:pPr>
          </w:p>
        </w:tc>
      </w:tr>
      <w:tr w:rsidR="00433DF3" w:rsidRPr="00854503" w14:paraId="16C0C436" w14:textId="77777777" w:rsidTr="00C071C3">
        <w:trPr>
          <w:trHeight w:val="288"/>
        </w:trPr>
        <w:tc>
          <w:tcPr>
            <w:tcW w:w="4892" w:type="dxa"/>
            <w:noWrap/>
          </w:tcPr>
          <w:p w14:paraId="4033C4BE"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Payer costs</w:t>
            </w:r>
          </w:p>
        </w:tc>
        <w:tc>
          <w:tcPr>
            <w:tcW w:w="1170" w:type="dxa"/>
            <w:noWrap/>
          </w:tcPr>
          <w:p w14:paraId="1D0F7CD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2531.179</w:t>
            </w:r>
          </w:p>
        </w:tc>
        <w:tc>
          <w:tcPr>
            <w:tcW w:w="1042" w:type="dxa"/>
            <w:noWrap/>
          </w:tcPr>
          <w:p w14:paraId="76346F4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503.170</w:t>
            </w:r>
          </w:p>
        </w:tc>
        <w:tc>
          <w:tcPr>
            <w:tcW w:w="1085" w:type="dxa"/>
            <w:noWrap/>
          </w:tcPr>
          <w:p w14:paraId="549E2C0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6165.305</w:t>
            </w:r>
          </w:p>
        </w:tc>
        <w:tc>
          <w:tcPr>
            <w:tcW w:w="985" w:type="dxa"/>
            <w:noWrap/>
          </w:tcPr>
          <w:p w14:paraId="530C8AD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1485.834</w:t>
            </w:r>
          </w:p>
        </w:tc>
        <w:tc>
          <w:tcPr>
            <w:tcW w:w="1028" w:type="dxa"/>
            <w:noWrap/>
          </w:tcPr>
          <w:p w14:paraId="2336788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2.9</w:t>
            </w:r>
          </w:p>
        </w:tc>
        <w:tc>
          <w:tcPr>
            <w:tcW w:w="900" w:type="dxa"/>
            <w:noWrap/>
          </w:tcPr>
          <w:p w14:paraId="7BBB800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872.2</w:t>
            </w:r>
          </w:p>
        </w:tc>
        <w:tc>
          <w:tcPr>
            <w:tcW w:w="1800" w:type="dxa"/>
            <w:noWrap/>
          </w:tcPr>
          <w:p w14:paraId="632B7F55"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435B8307" w14:textId="77777777" w:rsidTr="00C071C3">
        <w:trPr>
          <w:trHeight w:val="288"/>
        </w:trPr>
        <w:tc>
          <w:tcPr>
            <w:tcW w:w="4892" w:type="dxa"/>
            <w:noWrap/>
          </w:tcPr>
          <w:p w14:paraId="7C340768"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Out-of-pocket costs</w:t>
            </w:r>
          </w:p>
        </w:tc>
        <w:tc>
          <w:tcPr>
            <w:tcW w:w="1170" w:type="dxa"/>
            <w:noWrap/>
          </w:tcPr>
          <w:p w14:paraId="730D1F0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166.248</w:t>
            </w:r>
          </w:p>
        </w:tc>
        <w:tc>
          <w:tcPr>
            <w:tcW w:w="1042" w:type="dxa"/>
            <w:noWrap/>
          </w:tcPr>
          <w:p w14:paraId="596C78A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33.048</w:t>
            </w:r>
          </w:p>
        </w:tc>
        <w:tc>
          <w:tcPr>
            <w:tcW w:w="1085" w:type="dxa"/>
            <w:noWrap/>
          </w:tcPr>
          <w:p w14:paraId="315D9D8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404.937</w:t>
            </w:r>
          </w:p>
        </w:tc>
        <w:tc>
          <w:tcPr>
            <w:tcW w:w="985" w:type="dxa"/>
            <w:noWrap/>
          </w:tcPr>
          <w:p w14:paraId="6F70E50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97.590</w:t>
            </w:r>
          </w:p>
        </w:tc>
        <w:tc>
          <w:tcPr>
            <w:tcW w:w="1028" w:type="dxa"/>
            <w:noWrap/>
          </w:tcPr>
          <w:p w14:paraId="590E7AE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2.9</w:t>
            </w:r>
          </w:p>
        </w:tc>
        <w:tc>
          <w:tcPr>
            <w:tcW w:w="900" w:type="dxa"/>
            <w:noWrap/>
          </w:tcPr>
          <w:p w14:paraId="1B8EEA6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57.3</w:t>
            </w:r>
          </w:p>
        </w:tc>
        <w:tc>
          <w:tcPr>
            <w:tcW w:w="1800" w:type="dxa"/>
            <w:noWrap/>
          </w:tcPr>
          <w:p w14:paraId="54C276FC"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0F20D483" w14:textId="77777777" w:rsidTr="00C071C3">
        <w:trPr>
          <w:trHeight w:val="288"/>
        </w:trPr>
        <w:tc>
          <w:tcPr>
            <w:tcW w:w="4892" w:type="dxa"/>
            <w:noWrap/>
          </w:tcPr>
          <w:p w14:paraId="28BE8972" w14:textId="77777777" w:rsidR="00433DF3" w:rsidRPr="00854503" w:rsidRDefault="00433DF3" w:rsidP="00C071C3">
            <w:pPr>
              <w:spacing w:after="0" w:line="240" w:lineRule="auto"/>
              <w:rPr>
                <w:rFonts w:asciiTheme="minorHAnsi" w:hAnsiTheme="minorHAnsi" w:cstheme="minorHAnsi"/>
                <w:i/>
                <w:iCs/>
                <w:color w:val="000000"/>
                <w:sz w:val="22"/>
              </w:rPr>
            </w:pPr>
            <w:r w:rsidRPr="00854503">
              <w:rPr>
                <w:rFonts w:asciiTheme="minorHAnsi" w:hAnsiTheme="minorHAnsi" w:cstheme="minorHAnsi"/>
                <w:i/>
                <w:iCs/>
                <w:color w:val="000000"/>
                <w:sz w:val="22"/>
              </w:rPr>
              <w:t xml:space="preserve">Average cost of ED </w:t>
            </w:r>
            <w:proofErr w:type="gramStart"/>
            <w:r w:rsidRPr="00854503">
              <w:rPr>
                <w:rFonts w:asciiTheme="minorHAnsi" w:hAnsiTheme="minorHAnsi" w:cstheme="minorHAnsi"/>
                <w:i/>
                <w:iCs/>
                <w:color w:val="000000"/>
                <w:sz w:val="22"/>
              </w:rPr>
              <w:t>visit</w:t>
            </w:r>
            <w:proofErr w:type="gramEnd"/>
            <w:r w:rsidRPr="00854503">
              <w:rPr>
                <w:rFonts w:asciiTheme="minorHAnsi" w:hAnsiTheme="minorHAnsi" w:cstheme="minorHAnsi"/>
                <w:i/>
                <w:iCs/>
                <w:color w:val="000000"/>
                <w:sz w:val="22"/>
              </w:rPr>
              <w:t xml:space="preserve"> AS</w:t>
            </w:r>
          </w:p>
        </w:tc>
        <w:tc>
          <w:tcPr>
            <w:tcW w:w="1170" w:type="dxa"/>
            <w:noWrap/>
          </w:tcPr>
          <w:p w14:paraId="30ABB574"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465CF137"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769EAF28"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40B28C1D"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1CB614AC"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1043BFB0"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121D7511" w14:textId="77777777" w:rsidR="00433DF3" w:rsidRPr="00854503" w:rsidRDefault="00433DF3" w:rsidP="00C071C3">
            <w:pPr>
              <w:spacing w:after="0" w:line="240" w:lineRule="auto"/>
              <w:jc w:val="center"/>
              <w:rPr>
                <w:rFonts w:asciiTheme="minorHAnsi" w:hAnsiTheme="minorHAnsi" w:cstheme="minorHAnsi"/>
                <w:color w:val="000000"/>
                <w:sz w:val="22"/>
              </w:rPr>
            </w:pPr>
          </w:p>
        </w:tc>
      </w:tr>
      <w:tr w:rsidR="00433DF3" w:rsidRPr="00854503" w14:paraId="0B9CB884" w14:textId="77777777" w:rsidTr="00C071C3">
        <w:trPr>
          <w:trHeight w:val="288"/>
        </w:trPr>
        <w:tc>
          <w:tcPr>
            <w:tcW w:w="4892" w:type="dxa"/>
            <w:noWrap/>
          </w:tcPr>
          <w:p w14:paraId="79855611"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Payer costs</w:t>
            </w:r>
          </w:p>
        </w:tc>
        <w:tc>
          <w:tcPr>
            <w:tcW w:w="1170" w:type="dxa"/>
            <w:noWrap/>
          </w:tcPr>
          <w:p w14:paraId="0B43B80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394.317</w:t>
            </w:r>
          </w:p>
        </w:tc>
        <w:tc>
          <w:tcPr>
            <w:tcW w:w="1042" w:type="dxa"/>
            <w:noWrap/>
          </w:tcPr>
          <w:p w14:paraId="3FF77CB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312.135</w:t>
            </w:r>
          </w:p>
        </w:tc>
        <w:tc>
          <w:tcPr>
            <w:tcW w:w="1085" w:type="dxa"/>
            <w:noWrap/>
          </w:tcPr>
          <w:p w14:paraId="1479789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485.958</w:t>
            </w:r>
          </w:p>
        </w:tc>
        <w:tc>
          <w:tcPr>
            <w:tcW w:w="985" w:type="dxa"/>
            <w:noWrap/>
          </w:tcPr>
          <w:p w14:paraId="1313099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44.393</w:t>
            </w:r>
          </w:p>
        </w:tc>
        <w:tc>
          <w:tcPr>
            <w:tcW w:w="1028" w:type="dxa"/>
            <w:noWrap/>
          </w:tcPr>
          <w:p w14:paraId="5C6411E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78.9</w:t>
            </w:r>
          </w:p>
        </w:tc>
        <w:tc>
          <w:tcPr>
            <w:tcW w:w="900" w:type="dxa"/>
            <w:noWrap/>
          </w:tcPr>
          <w:p w14:paraId="060F337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5.0</w:t>
            </w:r>
          </w:p>
        </w:tc>
        <w:tc>
          <w:tcPr>
            <w:tcW w:w="1800" w:type="dxa"/>
            <w:noWrap/>
          </w:tcPr>
          <w:p w14:paraId="10363BB1"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6CEDA1C1" w14:textId="77777777" w:rsidTr="00C071C3">
        <w:trPr>
          <w:trHeight w:val="288"/>
        </w:trPr>
        <w:tc>
          <w:tcPr>
            <w:tcW w:w="4892" w:type="dxa"/>
            <w:noWrap/>
          </w:tcPr>
          <w:p w14:paraId="165F50CF"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Out-of-pocket costs</w:t>
            </w:r>
          </w:p>
        </w:tc>
        <w:tc>
          <w:tcPr>
            <w:tcW w:w="1170" w:type="dxa"/>
            <w:noWrap/>
          </w:tcPr>
          <w:p w14:paraId="61ABD92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33.903</w:t>
            </w:r>
          </w:p>
        </w:tc>
        <w:tc>
          <w:tcPr>
            <w:tcW w:w="1042" w:type="dxa"/>
            <w:noWrap/>
          </w:tcPr>
          <w:p w14:paraId="18B6CA1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20.949</w:t>
            </w:r>
          </w:p>
        </w:tc>
        <w:tc>
          <w:tcPr>
            <w:tcW w:w="1085" w:type="dxa"/>
            <w:noWrap/>
          </w:tcPr>
          <w:p w14:paraId="3772D5A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49.926</w:t>
            </w:r>
          </w:p>
        </w:tc>
        <w:tc>
          <w:tcPr>
            <w:tcW w:w="985" w:type="dxa"/>
            <w:noWrap/>
          </w:tcPr>
          <w:p w14:paraId="4B7B3B9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7.423</w:t>
            </w:r>
          </w:p>
        </w:tc>
        <w:tc>
          <w:tcPr>
            <w:tcW w:w="1028" w:type="dxa"/>
            <w:noWrap/>
          </w:tcPr>
          <w:p w14:paraId="51A9D41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20.9</w:t>
            </w:r>
          </w:p>
        </w:tc>
        <w:tc>
          <w:tcPr>
            <w:tcW w:w="900" w:type="dxa"/>
            <w:noWrap/>
          </w:tcPr>
          <w:p w14:paraId="7B3B489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1.6</w:t>
            </w:r>
          </w:p>
        </w:tc>
        <w:tc>
          <w:tcPr>
            <w:tcW w:w="1800" w:type="dxa"/>
            <w:noWrap/>
          </w:tcPr>
          <w:p w14:paraId="2C5C531F"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53E2DB61" w14:textId="77777777" w:rsidTr="00C071C3">
        <w:trPr>
          <w:trHeight w:val="288"/>
        </w:trPr>
        <w:tc>
          <w:tcPr>
            <w:tcW w:w="4892" w:type="dxa"/>
            <w:noWrap/>
          </w:tcPr>
          <w:p w14:paraId="73634C9E" w14:textId="77777777" w:rsidR="00433DF3" w:rsidRPr="00854503" w:rsidRDefault="00433DF3" w:rsidP="00C071C3">
            <w:pPr>
              <w:spacing w:after="0" w:line="240" w:lineRule="auto"/>
              <w:rPr>
                <w:rFonts w:asciiTheme="minorHAnsi" w:hAnsiTheme="minorHAnsi" w:cstheme="minorHAnsi"/>
                <w:i/>
                <w:iCs/>
                <w:color w:val="000000"/>
                <w:sz w:val="22"/>
              </w:rPr>
            </w:pPr>
            <w:r w:rsidRPr="00854503">
              <w:rPr>
                <w:rFonts w:asciiTheme="minorHAnsi" w:hAnsiTheme="minorHAnsi" w:cstheme="minorHAnsi"/>
                <w:i/>
                <w:iCs/>
                <w:color w:val="000000"/>
                <w:sz w:val="22"/>
              </w:rPr>
              <w:t xml:space="preserve">Average cost of outpatient </w:t>
            </w:r>
            <w:proofErr w:type="gramStart"/>
            <w:r w:rsidRPr="00854503">
              <w:rPr>
                <w:rFonts w:asciiTheme="minorHAnsi" w:hAnsiTheme="minorHAnsi" w:cstheme="minorHAnsi"/>
                <w:i/>
                <w:iCs/>
                <w:color w:val="000000"/>
                <w:sz w:val="22"/>
              </w:rPr>
              <w:t>visit</w:t>
            </w:r>
            <w:proofErr w:type="gramEnd"/>
            <w:r w:rsidRPr="00854503">
              <w:rPr>
                <w:rFonts w:asciiTheme="minorHAnsi" w:hAnsiTheme="minorHAnsi" w:cstheme="minorHAnsi"/>
                <w:i/>
                <w:iCs/>
                <w:color w:val="000000"/>
                <w:sz w:val="22"/>
              </w:rPr>
              <w:t xml:space="preserve"> AS</w:t>
            </w:r>
          </w:p>
        </w:tc>
        <w:tc>
          <w:tcPr>
            <w:tcW w:w="1170" w:type="dxa"/>
            <w:noWrap/>
          </w:tcPr>
          <w:p w14:paraId="437F2BA1"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00B99E6D"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6BFF7464"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42211465"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0A1833A5"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5D820952"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60AC7A76" w14:textId="77777777" w:rsidR="00433DF3" w:rsidRPr="00854503" w:rsidRDefault="00433DF3" w:rsidP="00C071C3">
            <w:pPr>
              <w:spacing w:after="0" w:line="240" w:lineRule="auto"/>
              <w:jc w:val="center"/>
              <w:rPr>
                <w:rFonts w:asciiTheme="minorHAnsi" w:hAnsiTheme="minorHAnsi" w:cstheme="minorHAnsi"/>
                <w:color w:val="000000"/>
                <w:sz w:val="22"/>
              </w:rPr>
            </w:pPr>
          </w:p>
        </w:tc>
      </w:tr>
      <w:tr w:rsidR="00433DF3" w:rsidRPr="00854503" w14:paraId="52FFC755" w14:textId="77777777" w:rsidTr="00C071C3">
        <w:trPr>
          <w:trHeight w:val="288"/>
        </w:trPr>
        <w:tc>
          <w:tcPr>
            <w:tcW w:w="4892" w:type="dxa"/>
            <w:noWrap/>
          </w:tcPr>
          <w:p w14:paraId="41070243"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Payer costs</w:t>
            </w:r>
          </w:p>
        </w:tc>
        <w:tc>
          <w:tcPr>
            <w:tcW w:w="1170" w:type="dxa"/>
            <w:noWrap/>
          </w:tcPr>
          <w:p w14:paraId="44EE9F0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119.766</w:t>
            </w:r>
          </w:p>
        </w:tc>
        <w:tc>
          <w:tcPr>
            <w:tcW w:w="1042" w:type="dxa"/>
            <w:noWrap/>
          </w:tcPr>
          <w:p w14:paraId="1156BAF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101.164</w:t>
            </w:r>
          </w:p>
        </w:tc>
        <w:tc>
          <w:tcPr>
            <w:tcW w:w="1085" w:type="dxa"/>
            <w:noWrap/>
          </w:tcPr>
          <w:p w14:paraId="474F41C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139.914</w:t>
            </w:r>
          </w:p>
        </w:tc>
        <w:tc>
          <w:tcPr>
            <w:tcW w:w="985" w:type="dxa"/>
            <w:noWrap/>
          </w:tcPr>
          <w:p w14:paraId="469BB4B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9.891</w:t>
            </w:r>
          </w:p>
        </w:tc>
        <w:tc>
          <w:tcPr>
            <w:tcW w:w="1028" w:type="dxa"/>
            <w:noWrap/>
          </w:tcPr>
          <w:p w14:paraId="5E71354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146.6</w:t>
            </w:r>
          </w:p>
        </w:tc>
        <w:tc>
          <w:tcPr>
            <w:tcW w:w="900" w:type="dxa"/>
            <w:noWrap/>
          </w:tcPr>
          <w:p w14:paraId="38170D9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0.8</w:t>
            </w:r>
          </w:p>
        </w:tc>
        <w:tc>
          <w:tcPr>
            <w:tcW w:w="1800" w:type="dxa"/>
            <w:noWrap/>
          </w:tcPr>
          <w:p w14:paraId="67701C6F"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7946A6F4" w14:textId="77777777" w:rsidTr="00C071C3">
        <w:trPr>
          <w:trHeight w:val="288"/>
        </w:trPr>
        <w:tc>
          <w:tcPr>
            <w:tcW w:w="4892" w:type="dxa"/>
            <w:noWrap/>
          </w:tcPr>
          <w:p w14:paraId="398EEF21"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Out-of-pocket costs</w:t>
            </w:r>
          </w:p>
        </w:tc>
        <w:tc>
          <w:tcPr>
            <w:tcW w:w="1170" w:type="dxa"/>
            <w:noWrap/>
          </w:tcPr>
          <w:p w14:paraId="3B78AA5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25.844</w:t>
            </w:r>
          </w:p>
        </w:tc>
        <w:tc>
          <w:tcPr>
            <w:tcW w:w="1042" w:type="dxa"/>
            <w:noWrap/>
          </w:tcPr>
          <w:p w14:paraId="1F2CA8C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23.536</w:t>
            </w:r>
          </w:p>
        </w:tc>
        <w:tc>
          <w:tcPr>
            <w:tcW w:w="1085" w:type="dxa"/>
            <w:noWrap/>
          </w:tcPr>
          <w:p w14:paraId="0F53787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28.259</w:t>
            </w:r>
          </w:p>
        </w:tc>
        <w:tc>
          <w:tcPr>
            <w:tcW w:w="985" w:type="dxa"/>
            <w:noWrap/>
          </w:tcPr>
          <w:p w14:paraId="104234F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1.205</w:t>
            </w:r>
          </w:p>
        </w:tc>
        <w:tc>
          <w:tcPr>
            <w:tcW w:w="1028" w:type="dxa"/>
            <w:noWrap/>
          </w:tcPr>
          <w:p w14:paraId="56F6D49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459.9</w:t>
            </w:r>
          </w:p>
        </w:tc>
        <w:tc>
          <w:tcPr>
            <w:tcW w:w="900" w:type="dxa"/>
            <w:noWrap/>
          </w:tcPr>
          <w:p w14:paraId="5646EED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0.1</w:t>
            </w:r>
          </w:p>
        </w:tc>
        <w:tc>
          <w:tcPr>
            <w:tcW w:w="1800" w:type="dxa"/>
            <w:noWrap/>
          </w:tcPr>
          <w:p w14:paraId="7A4662BB"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565B758C" w14:textId="77777777" w:rsidTr="00C071C3">
        <w:trPr>
          <w:trHeight w:val="288"/>
        </w:trPr>
        <w:tc>
          <w:tcPr>
            <w:tcW w:w="4892" w:type="dxa"/>
            <w:noWrap/>
          </w:tcPr>
          <w:p w14:paraId="267FC4C5" w14:textId="77777777" w:rsidR="00433DF3" w:rsidRPr="00854503" w:rsidRDefault="00433DF3" w:rsidP="00C071C3">
            <w:pPr>
              <w:spacing w:after="0" w:line="240" w:lineRule="auto"/>
              <w:rPr>
                <w:rFonts w:asciiTheme="minorHAnsi" w:hAnsiTheme="minorHAnsi" w:cstheme="minorHAnsi"/>
                <w:i/>
                <w:iCs/>
                <w:color w:val="000000"/>
                <w:sz w:val="22"/>
              </w:rPr>
            </w:pPr>
            <w:r w:rsidRPr="00854503">
              <w:rPr>
                <w:rFonts w:asciiTheme="minorHAnsi" w:hAnsiTheme="minorHAnsi" w:cstheme="minorHAnsi"/>
                <w:i/>
                <w:iCs/>
                <w:color w:val="000000"/>
                <w:sz w:val="22"/>
              </w:rPr>
              <w:t>Average cost of a hospitalization GAS</w:t>
            </w:r>
          </w:p>
        </w:tc>
        <w:tc>
          <w:tcPr>
            <w:tcW w:w="1170" w:type="dxa"/>
            <w:noWrap/>
          </w:tcPr>
          <w:p w14:paraId="0EAC8339"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0B32EA64"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3B56B926"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0909B0D6"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53D1C6E6"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31C8587F"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6DF7CC09" w14:textId="77777777" w:rsidR="00433DF3" w:rsidRPr="00854503" w:rsidRDefault="00433DF3" w:rsidP="00C071C3">
            <w:pPr>
              <w:spacing w:after="0" w:line="240" w:lineRule="auto"/>
              <w:ind w:firstLineChars="100" w:firstLine="220"/>
              <w:jc w:val="center"/>
              <w:rPr>
                <w:rFonts w:asciiTheme="minorHAnsi" w:hAnsiTheme="minorHAnsi" w:cstheme="minorHAnsi"/>
                <w:color w:val="000000"/>
                <w:sz w:val="22"/>
              </w:rPr>
            </w:pPr>
          </w:p>
        </w:tc>
      </w:tr>
      <w:tr w:rsidR="00433DF3" w:rsidRPr="00854503" w14:paraId="6255553B" w14:textId="77777777" w:rsidTr="00C071C3">
        <w:trPr>
          <w:trHeight w:val="288"/>
        </w:trPr>
        <w:tc>
          <w:tcPr>
            <w:tcW w:w="4892" w:type="dxa"/>
            <w:noWrap/>
          </w:tcPr>
          <w:p w14:paraId="0DB95481"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Payer costs</w:t>
            </w:r>
          </w:p>
        </w:tc>
        <w:tc>
          <w:tcPr>
            <w:tcW w:w="1170" w:type="dxa"/>
            <w:noWrap/>
          </w:tcPr>
          <w:p w14:paraId="19EB87C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2531.179</w:t>
            </w:r>
          </w:p>
        </w:tc>
        <w:tc>
          <w:tcPr>
            <w:tcW w:w="1042" w:type="dxa"/>
            <w:noWrap/>
          </w:tcPr>
          <w:p w14:paraId="7BC45F2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503.170</w:t>
            </w:r>
          </w:p>
        </w:tc>
        <w:tc>
          <w:tcPr>
            <w:tcW w:w="1085" w:type="dxa"/>
            <w:noWrap/>
          </w:tcPr>
          <w:p w14:paraId="3783BCD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6165.305</w:t>
            </w:r>
          </w:p>
        </w:tc>
        <w:tc>
          <w:tcPr>
            <w:tcW w:w="985" w:type="dxa"/>
            <w:noWrap/>
          </w:tcPr>
          <w:p w14:paraId="53F0D4E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1485.834</w:t>
            </w:r>
          </w:p>
        </w:tc>
        <w:tc>
          <w:tcPr>
            <w:tcW w:w="1028" w:type="dxa"/>
            <w:noWrap/>
          </w:tcPr>
          <w:p w14:paraId="5925913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2.9</w:t>
            </w:r>
          </w:p>
        </w:tc>
        <w:tc>
          <w:tcPr>
            <w:tcW w:w="900" w:type="dxa"/>
            <w:noWrap/>
          </w:tcPr>
          <w:p w14:paraId="1140D44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872.2</w:t>
            </w:r>
          </w:p>
        </w:tc>
        <w:tc>
          <w:tcPr>
            <w:tcW w:w="1800" w:type="dxa"/>
            <w:noWrap/>
          </w:tcPr>
          <w:p w14:paraId="7F1BA351"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0EFB112B" w14:textId="77777777" w:rsidTr="00C071C3">
        <w:trPr>
          <w:trHeight w:val="288"/>
        </w:trPr>
        <w:tc>
          <w:tcPr>
            <w:tcW w:w="4892" w:type="dxa"/>
            <w:noWrap/>
          </w:tcPr>
          <w:p w14:paraId="7EB3AD8B"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Out-of-pocket costs</w:t>
            </w:r>
          </w:p>
        </w:tc>
        <w:tc>
          <w:tcPr>
            <w:tcW w:w="1170" w:type="dxa"/>
            <w:noWrap/>
          </w:tcPr>
          <w:p w14:paraId="4E15AA0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166.248</w:t>
            </w:r>
          </w:p>
        </w:tc>
        <w:tc>
          <w:tcPr>
            <w:tcW w:w="1042" w:type="dxa"/>
            <w:noWrap/>
          </w:tcPr>
          <w:p w14:paraId="3028A43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33.048</w:t>
            </w:r>
          </w:p>
        </w:tc>
        <w:tc>
          <w:tcPr>
            <w:tcW w:w="1085" w:type="dxa"/>
            <w:noWrap/>
          </w:tcPr>
          <w:p w14:paraId="222F908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404.937</w:t>
            </w:r>
          </w:p>
        </w:tc>
        <w:tc>
          <w:tcPr>
            <w:tcW w:w="985" w:type="dxa"/>
            <w:noWrap/>
          </w:tcPr>
          <w:p w14:paraId="15C7F1F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97.590</w:t>
            </w:r>
          </w:p>
        </w:tc>
        <w:tc>
          <w:tcPr>
            <w:tcW w:w="1028" w:type="dxa"/>
            <w:noWrap/>
          </w:tcPr>
          <w:p w14:paraId="32998A2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2.9</w:t>
            </w:r>
          </w:p>
        </w:tc>
        <w:tc>
          <w:tcPr>
            <w:tcW w:w="900" w:type="dxa"/>
            <w:noWrap/>
          </w:tcPr>
          <w:p w14:paraId="4756180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57.3</w:t>
            </w:r>
          </w:p>
        </w:tc>
        <w:tc>
          <w:tcPr>
            <w:tcW w:w="1800" w:type="dxa"/>
            <w:noWrap/>
          </w:tcPr>
          <w:p w14:paraId="4CE52CF8"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67A1E9B8" w14:textId="77777777" w:rsidTr="00C071C3">
        <w:trPr>
          <w:trHeight w:val="288"/>
        </w:trPr>
        <w:tc>
          <w:tcPr>
            <w:tcW w:w="4892" w:type="dxa"/>
            <w:noWrap/>
          </w:tcPr>
          <w:p w14:paraId="50CE67C0" w14:textId="77777777" w:rsidR="00433DF3" w:rsidRPr="00854503" w:rsidRDefault="00433DF3" w:rsidP="00C071C3">
            <w:pPr>
              <w:spacing w:after="0" w:line="240" w:lineRule="auto"/>
              <w:rPr>
                <w:rFonts w:asciiTheme="minorHAnsi" w:hAnsiTheme="minorHAnsi" w:cstheme="minorHAnsi"/>
                <w:i/>
                <w:iCs/>
                <w:color w:val="000000"/>
                <w:sz w:val="22"/>
              </w:rPr>
            </w:pPr>
            <w:r w:rsidRPr="00854503">
              <w:rPr>
                <w:rFonts w:asciiTheme="minorHAnsi" w:hAnsiTheme="minorHAnsi" w:cstheme="minorHAnsi"/>
                <w:i/>
                <w:iCs/>
                <w:color w:val="000000"/>
                <w:sz w:val="22"/>
              </w:rPr>
              <w:t>Average cost of ED visit GAS</w:t>
            </w:r>
          </w:p>
        </w:tc>
        <w:tc>
          <w:tcPr>
            <w:tcW w:w="1170" w:type="dxa"/>
            <w:noWrap/>
          </w:tcPr>
          <w:p w14:paraId="196F1562"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559401E7"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2A19E8B1"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3F0085C0"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1217DA1D"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38174953"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7064D73B" w14:textId="77777777" w:rsidR="00433DF3" w:rsidRPr="00854503" w:rsidRDefault="00433DF3" w:rsidP="00C071C3">
            <w:pPr>
              <w:spacing w:after="0" w:line="240" w:lineRule="auto"/>
              <w:jc w:val="center"/>
              <w:rPr>
                <w:rFonts w:asciiTheme="minorHAnsi" w:hAnsiTheme="minorHAnsi" w:cstheme="minorHAnsi"/>
                <w:color w:val="000000"/>
                <w:sz w:val="22"/>
              </w:rPr>
            </w:pPr>
          </w:p>
        </w:tc>
      </w:tr>
      <w:tr w:rsidR="00433DF3" w:rsidRPr="00854503" w14:paraId="775789B0" w14:textId="77777777" w:rsidTr="00C071C3">
        <w:trPr>
          <w:trHeight w:val="288"/>
        </w:trPr>
        <w:tc>
          <w:tcPr>
            <w:tcW w:w="4892" w:type="dxa"/>
            <w:noWrap/>
          </w:tcPr>
          <w:p w14:paraId="49901847"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Payer costs</w:t>
            </w:r>
          </w:p>
        </w:tc>
        <w:tc>
          <w:tcPr>
            <w:tcW w:w="1170" w:type="dxa"/>
            <w:noWrap/>
          </w:tcPr>
          <w:p w14:paraId="38002CD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394.317</w:t>
            </w:r>
          </w:p>
        </w:tc>
        <w:tc>
          <w:tcPr>
            <w:tcW w:w="1042" w:type="dxa"/>
            <w:noWrap/>
          </w:tcPr>
          <w:p w14:paraId="79C608A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312.135</w:t>
            </w:r>
          </w:p>
        </w:tc>
        <w:tc>
          <w:tcPr>
            <w:tcW w:w="1085" w:type="dxa"/>
            <w:noWrap/>
          </w:tcPr>
          <w:p w14:paraId="3D46DDD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485.958</w:t>
            </w:r>
          </w:p>
        </w:tc>
        <w:tc>
          <w:tcPr>
            <w:tcW w:w="985" w:type="dxa"/>
            <w:noWrap/>
          </w:tcPr>
          <w:p w14:paraId="62BA300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44.393</w:t>
            </w:r>
          </w:p>
        </w:tc>
        <w:tc>
          <w:tcPr>
            <w:tcW w:w="1028" w:type="dxa"/>
            <w:noWrap/>
          </w:tcPr>
          <w:p w14:paraId="1BD1D7C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78.9</w:t>
            </w:r>
          </w:p>
        </w:tc>
        <w:tc>
          <w:tcPr>
            <w:tcW w:w="900" w:type="dxa"/>
            <w:noWrap/>
          </w:tcPr>
          <w:p w14:paraId="5C4FFFE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5.0</w:t>
            </w:r>
          </w:p>
        </w:tc>
        <w:tc>
          <w:tcPr>
            <w:tcW w:w="1800" w:type="dxa"/>
            <w:noWrap/>
          </w:tcPr>
          <w:p w14:paraId="041A1300"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513C61C1" w14:textId="77777777" w:rsidTr="00C071C3">
        <w:trPr>
          <w:trHeight w:val="288"/>
        </w:trPr>
        <w:tc>
          <w:tcPr>
            <w:tcW w:w="4892" w:type="dxa"/>
            <w:noWrap/>
          </w:tcPr>
          <w:p w14:paraId="744A28F5"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Out-of-pocket costs</w:t>
            </w:r>
          </w:p>
        </w:tc>
        <w:tc>
          <w:tcPr>
            <w:tcW w:w="1170" w:type="dxa"/>
            <w:noWrap/>
          </w:tcPr>
          <w:p w14:paraId="5C12414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33.903</w:t>
            </w:r>
          </w:p>
        </w:tc>
        <w:tc>
          <w:tcPr>
            <w:tcW w:w="1042" w:type="dxa"/>
            <w:noWrap/>
          </w:tcPr>
          <w:p w14:paraId="4360226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20.949</w:t>
            </w:r>
          </w:p>
        </w:tc>
        <w:tc>
          <w:tcPr>
            <w:tcW w:w="1085" w:type="dxa"/>
            <w:noWrap/>
          </w:tcPr>
          <w:p w14:paraId="5A13C34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49.926</w:t>
            </w:r>
          </w:p>
        </w:tc>
        <w:tc>
          <w:tcPr>
            <w:tcW w:w="985" w:type="dxa"/>
            <w:noWrap/>
          </w:tcPr>
          <w:p w14:paraId="43380F3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7.423</w:t>
            </w:r>
          </w:p>
        </w:tc>
        <w:tc>
          <w:tcPr>
            <w:tcW w:w="1028" w:type="dxa"/>
            <w:noWrap/>
          </w:tcPr>
          <w:p w14:paraId="58AC1A8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20.9</w:t>
            </w:r>
          </w:p>
        </w:tc>
        <w:tc>
          <w:tcPr>
            <w:tcW w:w="900" w:type="dxa"/>
            <w:noWrap/>
          </w:tcPr>
          <w:p w14:paraId="5D818DD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1.6</w:t>
            </w:r>
          </w:p>
        </w:tc>
        <w:tc>
          <w:tcPr>
            <w:tcW w:w="1800" w:type="dxa"/>
            <w:noWrap/>
          </w:tcPr>
          <w:p w14:paraId="4E2A8BA7"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13261D6B" w14:textId="77777777" w:rsidTr="00C071C3">
        <w:trPr>
          <w:trHeight w:val="288"/>
        </w:trPr>
        <w:tc>
          <w:tcPr>
            <w:tcW w:w="4892" w:type="dxa"/>
            <w:noWrap/>
          </w:tcPr>
          <w:p w14:paraId="147F0C06" w14:textId="77777777" w:rsidR="00433DF3" w:rsidRPr="00854503" w:rsidRDefault="00433DF3" w:rsidP="00C071C3">
            <w:pPr>
              <w:spacing w:after="0" w:line="240" w:lineRule="auto"/>
              <w:rPr>
                <w:rFonts w:asciiTheme="minorHAnsi" w:hAnsiTheme="minorHAnsi" w:cstheme="minorHAnsi"/>
                <w:i/>
                <w:iCs/>
                <w:color w:val="000000"/>
                <w:sz w:val="22"/>
              </w:rPr>
            </w:pPr>
            <w:r w:rsidRPr="00854503">
              <w:rPr>
                <w:rFonts w:asciiTheme="minorHAnsi" w:hAnsiTheme="minorHAnsi" w:cstheme="minorHAnsi"/>
                <w:i/>
                <w:iCs/>
                <w:color w:val="000000"/>
                <w:sz w:val="22"/>
              </w:rPr>
              <w:t>Average cost of outpatient visit GAS</w:t>
            </w:r>
          </w:p>
        </w:tc>
        <w:tc>
          <w:tcPr>
            <w:tcW w:w="1170" w:type="dxa"/>
            <w:noWrap/>
          </w:tcPr>
          <w:p w14:paraId="68FCECA9"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4A100F39"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6524D2E6"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50BBAF8C"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4B4A8093"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043364C4"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42AD731E" w14:textId="77777777" w:rsidR="00433DF3" w:rsidRPr="00854503" w:rsidRDefault="00433DF3" w:rsidP="00C071C3">
            <w:pPr>
              <w:spacing w:after="0" w:line="240" w:lineRule="auto"/>
              <w:jc w:val="center"/>
              <w:rPr>
                <w:rFonts w:asciiTheme="minorHAnsi" w:hAnsiTheme="minorHAnsi" w:cstheme="minorHAnsi"/>
                <w:color w:val="000000"/>
                <w:sz w:val="22"/>
              </w:rPr>
            </w:pPr>
          </w:p>
        </w:tc>
      </w:tr>
      <w:tr w:rsidR="00433DF3" w:rsidRPr="00854503" w14:paraId="12D5493A" w14:textId="77777777" w:rsidTr="00C071C3">
        <w:trPr>
          <w:trHeight w:val="288"/>
        </w:trPr>
        <w:tc>
          <w:tcPr>
            <w:tcW w:w="4892" w:type="dxa"/>
            <w:noWrap/>
          </w:tcPr>
          <w:p w14:paraId="38434B58"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Payer costs</w:t>
            </w:r>
          </w:p>
        </w:tc>
        <w:tc>
          <w:tcPr>
            <w:tcW w:w="1170" w:type="dxa"/>
            <w:noWrap/>
          </w:tcPr>
          <w:p w14:paraId="08AE2EA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119.766</w:t>
            </w:r>
          </w:p>
        </w:tc>
        <w:tc>
          <w:tcPr>
            <w:tcW w:w="1042" w:type="dxa"/>
            <w:noWrap/>
          </w:tcPr>
          <w:p w14:paraId="1D40CC0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101.164</w:t>
            </w:r>
          </w:p>
        </w:tc>
        <w:tc>
          <w:tcPr>
            <w:tcW w:w="1085" w:type="dxa"/>
            <w:noWrap/>
          </w:tcPr>
          <w:p w14:paraId="59DF2E8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139.914</w:t>
            </w:r>
          </w:p>
        </w:tc>
        <w:tc>
          <w:tcPr>
            <w:tcW w:w="985" w:type="dxa"/>
            <w:noWrap/>
          </w:tcPr>
          <w:p w14:paraId="620A08E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9.891</w:t>
            </w:r>
          </w:p>
        </w:tc>
        <w:tc>
          <w:tcPr>
            <w:tcW w:w="1028" w:type="dxa"/>
            <w:noWrap/>
          </w:tcPr>
          <w:p w14:paraId="36036CE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146.6</w:t>
            </w:r>
          </w:p>
        </w:tc>
        <w:tc>
          <w:tcPr>
            <w:tcW w:w="900" w:type="dxa"/>
            <w:noWrap/>
          </w:tcPr>
          <w:p w14:paraId="3C762A4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0.8</w:t>
            </w:r>
          </w:p>
        </w:tc>
        <w:tc>
          <w:tcPr>
            <w:tcW w:w="1800" w:type="dxa"/>
            <w:noWrap/>
          </w:tcPr>
          <w:p w14:paraId="1C415E8F"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35FB8233" w14:textId="77777777" w:rsidTr="00C071C3">
        <w:trPr>
          <w:trHeight w:val="288"/>
        </w:trPr>
        <w:tc>
          <w:tcPr>
            <w:tcW w:w="4892" w:type="dxa"/>
            <w:noWrap/>
          </w:tcPr>
          <w:p w14:paraId="1B66EF2B" w14:textId="77777777" w:rsidR="00433DF3" w:rsidRPr="00854503" w:rsidRDefault="00433DF3" w:rsidP="00C071C3">
            <w:pPr>
              <w:spacing w:after="0" w:line="240" w:lineRule="auto"/>
              <w:rPr>
                <w:rFonts w:asciiTheme="minorHAnsi" w:hAnsiTheme="minorHAnsi" w:cstheme="minorHAnsi"/>
                <w:color w:val="000000"/>
                <w:sz w:val="22"/>
              </w:rPr>
            </w:pPr>
            <w:r w:rsidRPr="00854503">
              <w:rPr>
                <w:rFonts w:asciiTheme="minorHAnsi" w:hAnsiTheme="minorHAnsi" w:cstheme="minorHAnsi"/>
                <w:color w:val="000000"/>
                <w:sz w:val="22"/>
              </w:rPr>
              <w:t xml:space="preserve">    Out-of-pocket costs</w:t>
            </w:r>
          </w:p>
        </w:tc>
        <w:tc>
          <w:tcPr>
            <w:tcW w:w="1170" w:type="dxa"/>
            <w:noWrap/>
          </w:tcPr>
          <w:p w14:paraId="56F207D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25.844</w:t>
            </w:r>
          </w:p>
        </w:tc>
        <w:tc>
          <w:tcPr>
            <w:tcW w:w="1042" w:type="dxa"/>
            <w:noWrap/>
          </w:tcPr>
          <w:p w14:paraId="1E234D9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23.536</w:t>
            </w:r>
          </w:p>
        </w:tc>
        <w:tc>
          <w:tcPr>
            <w:tcW w:w="1085" w:type="dxa"/>
            <w:noWrap/>
          </w:tcPr>
          <w:p w14:paraId="4B64AA8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28.259</w:t>
            </w:r>
          </w:p>
        </w:tc>
        <w:tc>
          <w:tcPr>
            <w:tcW w:w="985" w:type="dxa"/>
            <w:noWrap/>
          </w:tcPr>
          <w:p w14:paraId="6FEF66A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1.205</w:t>
            </w:r>
          </w:p>
        </w:tc>
        <w:tc>
          <w:tcPr>
            <w:tcW w:w="1028" w:type="dxa"/>
            <w:noWrap/>
          </w:tcPr>
          <w:p w14:paraId="4E42959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459.9</w:t>
            </w:r>
          </w:p>
        </w:tc>
        <w:tc>
          <w:tcPr>
            <w:tcW w:w="900" w:type="dxa"/>
            <w:noWrap/>
          </w:tcPr>
          <w:p w14:paraId="6B71E29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0.1</w:t>
            </w:r>
          </w:p>
        </w:tc>
        <w:tc>
          <w:tcPr>
            <w:tcW w:w="1800" w:type="dxa"/>
            <w:noWrap/>
          </w:tcPr>
          <w:p w14:paraId="0B0E12FF" w14:textId="77777777" w:rsidR="00433DF3" w:rsidRPr="00854503" w:rsidRDefault="00433DF3" w:rsidP="00C071C3">
            <w:pPr>
              <w:spacing w:after="0" w:line="240" w:lineRule="auto"/>
              <w:jc w:val="center"/>
              <w:rPr>
                <w:rFonts w:asciiTheme="minorHAnsi" w:hAnsiTheme="minorHAnsi" w:cstheme="minorHAnsi"/>
                <w:color w:val="000000"/>
                <w:sz w:val="22"/>
              </w:rPr>
            </w:pPr>
            <w:r w:rsidRPr="00854503">
              <w:rPr>
                <w:rFonts w:asciiTheme="minorHAnsi" w:hAnsiTheme="minorHAnsi" w:cstheme="minorHAnsi"/>
                <w:color w:val="000000"/>
                <w:sz w:val="22"/>
              </w:rPr>
              <w:t>Gamma</w:t>
            </w:r>
          </w:p>
        </w:tc>
      </w:tr>
      <w:tr w:rsidR="00433DF3" w:rsidRPr="00854503" w14:paraId="0B54E417" w14:textId="77777777" w:rsidTr="00F77A75">
        <w:trPr>
          <w:trHeight w:val="288"/>
        </w:trPr>
        <w:tc>
          <w:tcPr>
            <w:tcW w:w="12902" w:type="dxa"/>
            <w:gridSpan w:val="8"/>
            <w:shd w:val="clear" w:color="auto" w:fill="F2F2F2" w:themeFill="background1" w:themeFillShade="F2"/>
            <w:noWrap/>
          </w:tcPr>
          <w:p w14:paraId="0CBEB5E6"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eastAsia="Times New Roman" w:hAnsiTheme="minorHAnsi" w:cstheme="minorHAnsi"/>
                <w:b/>
                <w:bCs/>
                <w:i/>
                <w:sz w:val="22"/>
              </w:rPr>
              <w:t>Adverse Drug Reaction Costs</w:t>
            </w:r>
          </w:p>
        </w:tc>
      </w:tr>
      <w:tr w:rsidR="00433DF3" w:rsidRPr="00854503" w14:paraId="42B0818F" w14:textId="77777777" w:rsidTr="00C071C3">
        <w:trPr>
          <w:trHeight w:val="288"/>
        </w:trPr>
        <w:tc>
          <w:tcPr>
            <w:tcW w:w="4892" w:type="dxa"/>
            <w:noWrap/>
          </w:tcPr>
          <w:p w14:paraId="52BF0E49"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Average cost of a hospitalization OM</w:t>
            </w:r>
          </w:p>
        </w:tc>
        <w:tc>
          <w:tcPr>
            <w:tcW w:w="1170" w:type="dxa"/>
            <w:noWrap/>
          </w:tcPr>
          <w:p w14:paraId="0693EEC0"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743AE243"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12070C1E"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3368A467"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5077E486"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2286D21B"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29371F17" w14:textId="77777777" w:rsidR="00433DF3" w:rsidRPr="00854503" w:rsidRDefault="00433DF3" w:rsidP="00C071C3">
            <w:pPr>
              <w:spacing w:after="0" w:line="240" w:lineRule="auto"/>
              <w:jc w:val="center"/>
              <w:rPr>
                <w:rFonts w:asciiTheme="minorHAnsi" w:hAnsiTheme="minorHAnsi" w:cstheme="minorHAnsi"/>
                <w:sz w:val="22"/>
              </w:rPr>
            </w:pPr>
          </w:p>
        </w:tc>
      </w:tr>
      <w:tr w:rsidR="00433DF3" w:rsidRPr="00854503" w14:paraId="54891761" w14:textId="77777777" w:rsidTr="00C071C3">
        <w:trPr>
          <w:trHeight w:val="288"/>
        </w:trPr>
        <w:tc>
          <w:tcPr>
            <w:tcW w:w="4892" w:type="dxa"/>
            <w:noWrap/>
          </w:tcPr>
          <w:p w14:paraId="08671A60"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Payer costs</w:t>
            </w:r>
          </w:p>
        </w:tc>
        <w:tc>
          <w:tcPr>
            <w:tcW w:w="1170" w:type="dxa"/>
            <w:noWrap/>
          </w:tcPr>
          <w:p w14:paraId="766B9D0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5808.304</w:t>
            </w:r>
          </w:p>
        </w:tc>
        <w:tc>
          <w:tcPr>
            <w:tcW w:w="1042" w:type="dxa"/>
            <w:noWrap/>
          </w:tcPr>
          <w:p w14:paraId="197412A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2554.008</w:t>
            </w:r>
          </w:p>
        </w:tc>
        <w:tc>
          <w:tcPr>
            <w:tcW w:w="1085" w:type="dxa"/>
            <w:noWrap/>
          </w:tcPr>
          <w:p w14:paraId="14FD378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10376.611</w:t>
            </w:r>
          </w:p>
        </w:tc>
        <w:tc>
          <w:tcPr>
            <w:tcW w:w="985" w:type="dxa"/>
            <w:noWrap/>
          </w:tcPr>
          <w:p w14:paraId="51476D1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2016.378</w:t>
            </w:r>
          </w:p>
        </w:tc>
        <w:tc>
          <w:tcPr>
            <w:tcW w:w="1028" w:type="dxa"/>
            <w:noWrap/>
          </w:tcPr>
          <w:p w14:paraId="3C2FDBC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8.3</w:t>
            </w:r>
          </w:p>
        </w:tc>
        <w:tc>
          <w:tcPr>
            <w:tcW w:w="900" w:type="dxa"/>
            <w:noWrap/>
          </w:tcPr>
          <w:p w14:paraId="13100AE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700.0</w:t>
            </w:r>
          </w:p>
        </w:tc>
        <w:tc>
          <w:tcPr>
            <w:tcW w:w="1800" w:type="dxa"/>
            <w:noWrap/>
          </w:tcPr>
          <w:p w14:paraId="697F526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07572A42" w14:textId="77777777" w:rsidTr="00C071C3">
        <w:trPr>
          <w:trHeight w:val="288"/>
        </w:trPr>
        <w:tc>
          <w:tcPr>
            <w:tcW w:w="4892" w:type="dxa"/>
            <w:noWrap/>
          </w:tcPr>
          <w:p w14:paraId="2A52B58A"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Out-of-pocket costs</w:t>
            </w:r>
          </w:p>
        </w:tc>
        <w:tc>
          <w:tcPr>
            <w:tcW w:w="1170" w:type="dxa"/>
            <w:noWrap/>
          </w:tcPr>
          <w:p w14:paraId="420B25A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381.489</w:t>
            </w:r>
          </w:p>
        </w:tc>
        <w:tc>
          <w:tcPr>
            <w:tcW w:w="1042" w:type="dxa"/>
            <w:noWrap/>
          </w:tcPr>
          <w:p w14:paraId="40B1670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167.747</w:t>
            </w:r>
          </w:p>
        </w:tc>
        <w:tc>
          <w:tcPr>
            <w:tcW w:w="1085" w:type="dxa"/>
            <w:noWrap/>
          </w:tcPr>
          <w:p w14:paraId="70CADAD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681.536</w:t>
            </w:r>
          </w:p>
        </w:tc>
        <w:tc>
          <w:tcPr>
            <w:tcW w:w="985" w:type="dxa"/>
            <w:noWrap/>
          </w:tcPr>
          <w:p w14:paraId="313BA0F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132.436</w:t>
            </w:r>
          </w:p>
        </w:tc>
        <w:tc>
          <w:tcPr>
            <w:tcW w:w="1028" w:type="dxa"/>
            <w:noWrap/>
          </w:tcPr>
          <w:p w14:paraId="579AD24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8.3</w:t>
            </w:r>
          </w:p>
        </w:tc>
        <w:tc>
          <w:tcPr>
            <w:tcW w:w="900" w:type="dxa"/>
            <w:noWrap/>
          </w:tcPr>
          <w:p w14:paraId="6981267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46.0</w:t>
            </w:r>
          </w:p>
        </w:tc>
        <w:tc>
          <w:tcPr>
            <w:tcW w:w="1800" w:type="dxa"/>
            <w:noWrap/>
          </w:tcPr>
          <w:p w14:paraId="1AAD59B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55879252" w14:textId="77777777" w:rsidTr="00C071C3">
        <w:trPr>
          <w:trHeight w:val="288"/>
        </w:trPr>
        <w:tc>
          <w:tcPr>
            <w:tcW w:w="4892" w:type="dxa"/>
            <w:noWrap/>
          </w:tcPr>
          <w:p w14:paraId="35FCCD9D"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Average cost of ED visit OM</w:t>
            </w:r>
          </w:p>
        </w:tc>
        <w:tc>
          <w:tcPr>
            <w:tcW w:w="1170" w:type="dxa"/>
            <w:noWrap/>
          </w:tcPr>
          <w:p w14:paraId="3E68DD3F"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57FC923A"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0F829AD5"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207A961A"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19DD2A2E"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54A7EC2B"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491C1612" w14:textId="77777777" w:rsidR="00433DF3" w:rsidRPr="00854503" w:rsidRDefault="00433DF3" w:rsidP="00C071C3">
            <w:pPr>
              <w:spacing w:after="0" w:line="240" w:lineRule="auto"/>
              <w:jc w:val="center"/>
              <w:rPr>
                <w:rFonts w:asciiTheme="minorHAnsi" w:hAnsiTheme="minorHAnsi" w:cstheme="minorHAnsi"/>
                <w:sz w:val="22"/>
              </w:rPr>
            </w:pPr>
          </w:p>
        </w:tc>
      </w:tr>
      <w:tr w:rsidR="00433DF3" w:rsidRPr="00854503" w14:paraId="18642883" w14:textId="77777777" w:rsidTr="00C071C3">
        <w:trPr>
          <w:trHeight w:val="288"/>
        </w:trPr>
        <w:tc>
          <w:tcPr>
            <w:tcW w:w="4892" w:type="dxa"/>
            <w:noWrap/>
          </w:tcPr>
          <w:p w14:paraId="4D052F33"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Payer costs</w:t>
            </w:r>
          </w:p>
        </w:tc>
        <w:tc>
          <w:tcPr>
            <w:tcW w:w="1170" w:type="dxa"/>
            <w:noWrap/>
          </w:tcPr>
          <w:p w14:paraId="5AF0A87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456.962</w:t>
            </w:r>
          </w:p>
        </w:tc>
        <w:tc>
          <w:tcPr>
            <w:tcW w:w="1042" w:type="dxa"/>
            <w:noWrap/>
          </w:tcPr>
          <w:p w14:paraId="5D7AECF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384.197</w:t>
            </w:r>
          </w:p>
        </w:tc>
        <w:tc>
          <w:tcPr>
            <w:tcW w:w="1085" w:type="dxa"/>
            <w:noWrap/>
          </w:tcPr>
          <w:p w14:paraId="4FE27C0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535.945</w:t>
            </w:r>
          </w:p>
        </w:tc>
        <w:tc>
          <w:tcPr>
            <w:tcW w:w="985" w:type="dxa"/>
            <w:noWrap/>
          </w:tcPr>
          <w:p w14:paraId="3EBC00E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38.736</w:t>
            </w:r>
          </w:p>
        </w:tc>
        <w:tc>
          <w:tcPr>
            <w:tcW w:w="1028" w:type="dxa"/>
            <w:noWrap/>
          </w:tcPr>
          <w:p w14:paraId="4D7AEC1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139.2</w:t>
            </w:r>
          </w:p>
        </w:tc>
        <w:tc>
          <w:tcPr>
            <w:tcW w:w="900" w:type="dxa"/>
            <w:noWrap/>
          </w:tcPr>
          <w:p w14:paraId="7FC0103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3.3</w:t>
            </w:r>
          </w:p>
        </w:tc>
        <w:tc>
          <w:tcPr>
            <w:tcW w:w="1800" w:type="dxa"/>
            <w:noWrap/>
          </w:tcPr>
          <w:p w14:paraId="063ACA0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49902213" w14:textId="77777777" w:rsidTr="00C071C3">
        <w:trPr>
          <w:trHeight w:val="288"/>
        </w:trPr>
        <w:tc>
          <w:tcPr>
            <w:tcW w:w="4892" w:type="dxa"/>
            <w:noWrap/>
          </w:tcPr>
          <w:p w14:paraId="5572DA24"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Out-of-pocket costs</w:t>
            </w:r>
          </w:p>
        </w:tc>
        <w:tc>
          <w:tcPr>
            <w:tcW w:w="1170" w:type="dxa"/>
            <w:noWrap/>
          </w:tcPr>
          <w:p w14:paraId="32278BE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43.372</w:t>
            </w:r>
          </w:p>
        </w:tc>
        <w:tc>
          <w:tcPr>
            <w:tcW w:w="1042" w:type="dxa"/>
            <w:noWrap/>
          </w:tcPr>
          <w:p w14:paraId="322E8A7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30.147</w:t>
            </w:r>
          </w:p>
        </w:tc>
        <w:tc>
          <w:tcPr>
            <w:tcW w:w="1085" w:type="dxa"/>
            <w:noWrap/>
          </w:tcPr>
          <w:p w14:paraId="3E839D0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58.964</w:t>
            </w:r>
          </w:p>
        </w:tc>
        <w:tc>
          <w:tcPr>
            <w:tcW w:w="985" w:type="dxa"/>
            <w:noWrap/>
          </w:tcPr>
          <w:p w14:paraId="5A2BD12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7.370</w:t>
            </w:r>
          </w:p>
        </w:tc>
        <w:tc>
          <w:tcPr>
            <w:tcW w:w="1028" w:type="dxa"/>
            <w:noWrap/>
          </w:tcPr>
          <w:p w14:paraId="5E04E86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34.6</w:t>
            </w:r>
          </w:p>
        </w:tc>
        <w:tc>
          <w:tcPr>
            <w:tcW w:w="900" w:type="dxa"/>
            <w:noWrap/>
          </w:tcPr>
          <w:p w14:paraId="7D5428E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1.3</w:t>
            </w:r>
          </w:p>
        </w:tc>
        <w:tc>
          <w:tcPr>
            <w:tcW w:w="1800" w:type="dxa"/>
            <w:noWrap/>
          </w:tcPr>
          <w:p w14:paraId="20B136C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3883C06A" w14:textId="77777777" w:rsidTr="00C071C3">
        <w:trPr>
          <w:trHeight w:val="288"/>
        </w:trPr>
        <w:tc>
          <w:tcPr>
            <w:tcW w:w="4892" w:type="dxa"/>
            <w:noWrap/>
          </w:tcPr>
          <w:p w14:paraId="3978174F"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Average cost of outpatient visit OM</w:t>
            </w:r>
          </w:p>
        </w:tc>
        <w:tc>
          <w:tcPr>
            <w:tcW w:w="1170" w:type="dxa"/>
            <w:noWrap/>
          </w:tcPr>
          <w:p w14:paraId="4F22F476"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0B0926A4"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791C17E6"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45CDC6D8"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025222B7"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240A7C95"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415A1927" w14:textId="77777777" w:rsidR="00433DF3" w:rsidRPr="00854503" w:rsidRDefault="00433DF3" w:rsidP="00C071C3">
            <w:pPr>
              <w:spacing w:after="0" w:line="240" w:lineRule="auto"/>
              <w:jc w:val="center"/>
              <w:rPr>
                <w:rFonts w:asciiTheme="minorHAnsi" w:hAnsiTheme="minorHAnsi" w:cstheme="minorHAnsi"/>
                <w:sz w:val="22"/>
              </w:rPr>
            </w:pPr>
          </w:p>
        </w:tc>
      </w:tr>
      <w:tr w:rsidR="00433DF3" w:rsidRPr="00854503" w14:paraId="71A766D0" w14:textId="77777777" w:rsidTr="00C071C3">
        <w:trPr>
          <w:trHeight w:val="288"/>
        </w:trPr>
        <w:tc>
          <w:tcPr>
            <w:tcW w:w="4892" w:type="dxa"/>
            <w:noWrap/>
          </w:tcPr>
          <w:p w14:paraId="317974C8"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Payer costs</w:t>
            </w:r>
          </w:p>
        </w:tc>
        <w:tc>
          <w:tcPr>
            <w:tcW w:w="1170" w:type="dxa"/>
            <w:noWrap/>
          </w:tcPr>
          <w:p w14:paraId="1B81E11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198.957</w:t>
            </w:r>
          </w:p>
        </w:tc>
        <w:tc>
          <w:tcPr>
            <w:tcW w:w="1042" w:type="dxa"/>
            <w:noWrap/>
          </w:tcPr>
          <w:p w14:paraId="60A41CC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106.157</w:t>
            </w:r>
          </w:p>
        </w:tc>
        <w:tc>
          <w:tcPr>
            <w:tcW w:w="1085" w:type="dxa"/>
            <w:noWrap/>
          </w:tcPr>
          <w:p w14:paraId="12F18CD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320.420</w:t>
            </w:r>
          </w:p>
        </w:tc>
        <w:tc>
          <w:tcPr>
            <w:tcW w:w="985" w:type="dxa"/>
            <w:noWrap/>
          </w:tcPr>
          <w:p w14:paraId="57B5AA1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55.024</w:t>
            </w:r>
          </w:p>
        </w:tc>
        <w:tc>
          <w:tcPr>
            <w:tcW w:w="1028" w:type="dxa"/>
            <w:noWrap/>
          </w:tcPr>
          <w:p w14:paraId="6F4B09D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13.1</w:t>
            </w:r>
          </w:p>
        </w:tc>
        <w:tc>
          <w:tcPr>
            <w:tcW w:w="900" w:type="dxa"/>
            <w:noWrap/>
          </w:tcPr>
          <w:p w14:paraId="2CC5AD5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15.2</w:t>
            </w:r>
          </w:p>
        </w:tc>
        <w:tc>
          <w:tcPr>
            <w:tcW w:w="1800" w:type="dxa"/>
            <w:noWrap/>
          </w:tcPr>
          <w:p w14:paraId="36979E7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35446610" w14:textId="77777777" w:rsidTr="00C071C3">
        <w:trPr>
          <w:trHeight w:val="288"/>
        </w:trPr>
        <w:tc>
          <w:tcPr>
            <w:tcW w:w="4892" w:type="dxa"/>
            <w:noWrap/>
          </w:tcPr>
          <w:p w14:paraId="3E20381E"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lastRenderedPageBreak/>
              <w:t xml:space="preserve">    Out-of-pocket costs</w:t>
            </w:r>
          </w:p>
        </w:tc>
        <w:tc>
          <w:tcPr>
            <w:tcW w:w="1170" w:type="dxa"/>
            <w:noWrap/>
          </w:tcPr>
          <w:p w14:paraId="7515A8C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32.899</w:t>
            </w:r>
          </w:p>
        </w:tc>
        <w:tc>
          <w:tcPr>
            <w:tcW w:w="1042" w:type="dxa"/>
            <w:noWrap/>
          </w:tcPr>
          <w:p w14:paraId="5AF9620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17.463</w:t>
            </w:r>
          </w:p>
        </w:tc>
        <w:tc>
          <w:tcPr>
            <w:tcW w:w="1085" w:type="dxa"/>
            <w:noWrap/>
          </w:tcPr>
          <w:p w14:paraId="2C3301D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53.141</w:t>
            </w:r>
          </w:p>
        </w:tc>
        <w:tc>
          <w:tcPr>
            <w:tcW w:w="985" w:type="dxa"/>
            <w:noWrap/>
          </w:tcPr>
          <w:p w14:paraId="3BDB21C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9.163</w:t>
            </w:r>
          </w:p>
        </w:tc>
        <w:tc>
          <w:tcPr>
            <w:tcW w:w="1028" w:type="dxa"/>
            <w:noWrap/>
          </w:tcPr>
          <w:p w14:paraId="60AC76E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12.9</w:t>
            </w:r>
          </w:p>
        </w:tc>
        <w:tc>
          <w:tcPr>
            <w:tcW w:w="900" w:type="dxa"/>
            <w:noWrap/>
          </w:tcPr>
          <w:p w14:paraId="5359ABE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2.6</w:t>
            </w:r>
          </w:p>
        </w:tc>
        <w:tc>
          <w:tcPr>
            <w:tcW w:w="1800" w:type="dxa"/>
            <w:noWrap/>
          </w:tcPr>
          <w:p w14:paraId="32244A5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2958A425" w14:textId="77777777" w:rsidTr="00C071C3">
        <w:trPr>
          <w:trHeight w:val="288"/>
        </w:trPr>
        <w:tc>
          <w:tcPr>
            <w:tcW w:w="4892" w:type="dxa"/>
            <w:noWrap/>
          </w:tcPr>
          <w:p w14:paraId="1C0C3CB8"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Average cost of a hospitalization AS</w:t>
            </w:r>
          </w:p>
        </w:tc>
        <w:tc>
          <w:tcPr>
            <w:tcW w:w="1170" w:type="dxa"/>
            <w:noWrap/>
          </w:tcPr>
          <w:p w14:paraId="1C822E92"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494154B4"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6A5B6A09"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4FFFC3A5"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22016BC2"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2B8FAAA6"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41926C7C" w14:textId="77777777" w:rsidR="00433DF3" w:rsidRPr="00854503" w:rsidRDefault="00433DF3" w:rsidP="00C071C3">
            <w:pPr>
              <w:spacing w:after="0" w:line="240" w:lineRule="auto"/>
              <w:jc w:val="center"/>
              <w:rPr>
                <w:rFonts w:asciiTheme="minorHAnsi" w:hAnsiTheme="minorHAnsi" w:cstheme="minorHAnsi"/>
                <w:sz w:val="22"/>
              </w:rPr>
            </w:pPr>
          </w:p>
        </w:tc>
      </w:tr>
      <w:tr w:rsidR="00433DF3" w:rsidRPr="00854503" w14:paraId="0668308C" w14:textId="77777777" w:rsidTr="00C071C3">
        <w:trPr>
          <w:trHeight w:val="288"/>
        </w:trPr>
        <w:tc>
          <w:tcPr>
            <w:tcW w:w="4892" w:type="dxa"/>
            <w:noWrap/>
          </w:tcPr>
          <w:p w14:paraId="489DE3C7"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Payer costs</w:t>
            </w:r>
          </w:p>
        </w:tc>
        <w:tc>
          <w:tcPr>
            <w:tcW w:w="1170" w:type="dxa"/>
            <w:noWrap/>
          </w:tcPr>
          <w:p w14:paraId="6C3815F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7747.178</w:t>
            </w:r>
          </w:p>
        </w:tc>
        <w:tc>
          <w:tcPr>
            <w:tcW w:w="1042" w:type="dxa"/>
            <w:noWrap/>
          </w:tcPr>
          <w:p w14:paraId="3EAEB7C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3218.628</w:t>
            </w:r>
          </w:p>
        </w:tc>
        <w:tc>
          <w:tcPr>
            <w:tcW w:w="1085" w:type="dxa"/>
            <w:noWrap/>
          </w:tcPr>
          <w:p w14:paraId="4FCD6FF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14230.262</w:t>
            </w:r>
          </w:p>
        </w:tc>
        <w:tc>
          <w:tcPr>
            <w:tcW w:w="985" w:type="dxa"/>
            <w:noWrap/>
          </w:tcPr>
          <w:p w14:paraId="174D175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2841.732</w:t>
            </w:r>
          </w:p>
        </w:tc>
        <w:tc>
          <w:tcPr>
            <w:tcW w:w="1028" w:type="dxa"/>
            <w:noWrap/>
          </w:tcPr>
          <w:p w14:paraId="03846E4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7.4</w:t>
            </w:r>
          </w:p>
        </w:tc>
        <w:tc>
          <w:tcPr>
            <w:tcW w:w="900" w:type="dxa"/>
            <w:noWrap/>
          </w:tcPr>
          <w:p w14:paraId="0A88145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1042.4</w:t>
            </w:r>
          </w:p>
        </w:tc>
        <w:tc>
          <w:tcPr>
            <w:tcW w:w="1800" w:type="dxa"/>
            <w:noWrap/>
          </w:tcPr>
          <w:p w14:paraId="2181AA1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37CDB80B" w14:textId="77777777" w:rsidTr="00C071C3">
        <w:trPr>
          <w:trHeight w:val="288"/>
        </w:trPr>
        <w:tc>
          <w:tcPr>
            <w:tcW w:w="4892" w:type="dxa"/>
            <w:noWrap/>
          </w:tcPr>
          <w:p w14:paraId="661B10B2"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Out-of-pocket costs</w:t>
            </w:r>
          </w:p>
        </w:tc>
        <w:tc>
          <w:tcPr>
            <w:tcW w:w="1170" w:type="dxa"/>
            <w:noWrap/>
          </w:tcPr>
          <w:p w14:paraId="375C727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508.834</w:t>
            </w:r>
          </w:p>
        </w:tc>
        <w:tc>
          <w:tcPr>
            <w:tcW w:w="1042" w:type="dxa"/>
            <w:noWrap/>
          </w:tcPr>
          <w:p w14:paraId="709F944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211.399</w:t>
            </w:r>
          </w:p>
        </w:tc>
        <w:tc>
          <w:tcPr>
            <w:tcW w:w="1085" w:type="dxa"/>
            <w:noWrap/>
          </w:tcPr>
          <w:p w14:paraId="3508FE6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934.643</w:t>
            </w:r>
          </w:p>
        </w:tc>
        <w:tc>
          <w:tcPr>
            <w:tcW w:w="985" w:type="dxa"/>
            <w:noWrap/>
          </w:tcPr>
          <w:p w14:paraId="35138FE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186.645</w:t>
            </w:r>
          </w:p>
        </w:tc>
        <w:tc>
          <w:tcPr>
            <w:tcW w:w="1028" w:type="dxa"/>
            <w:noWrap/>
          </w:tcPr>
          <w:p w14:paraId="4A84616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7.4</w:t>
            </w:r>
          </w:p>
        </w:tc>
        <w:tc>
          <w:tcPr>
            <w:tcW w:w="900" w:type="dxa"/>
            <w:noWrap/>
          </w:tcPr>
          <w:p w14:paraId="5399165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68.5</w:t>
            </w:r>
          </w:p>
        </w:tc>
        <w:tc>
          <w:tcPr>
            <w:tcW w:w="1800" w:type="dxa"/>
            <w:noWrap/>
          </w:tcPr>
          <w:p w14:paraId="32F9E4D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18B4C843" w14:textId="77777777" w:rsidTr="00C071C3">
        <w:trPr>
          <w:trHeight w:val="288"/>
        </w:trPr>
        <w:tc>
          <w:tcPr>
            <w:tcW w:w="4892" w:type="dxa"/>
            <w:noWrap/>
          </w:tcPr>
          <w:p w14:paraId="6A1A5BF4"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Average cost of ED </w:t>
            </w:r>
            <w:proofErr w:type="gramStart"/>
            <w:r w:rsidRPr="00854503">
              <w:rPr>
                <w:rFonts w:asciiTheme="minorHAnsi" w:hAnsiTheme="minorHAnsi" w:cstheme="minorHAnsi"/>
                <w:sz w:val="22"/>
              </w:rPr>
              <w:t>visit</w:t>
            </w:r>
            <w:proofErr w:type="gramEnd"/>
            <w:r w:rsidRPr="00854503">
              <w:rPr>
                <w:rFonts w:asciiTheme="minorHAnsi" w:hAnsiTheme="minorHAnsi" w:cstheme="minorHAnsi"/>
                <w:sz w:val="22"/>
              </w:rPr>
              <w:t xml:space="preserve"> AS</w:t>
            </w:r>
          </w:p>
        </w:tc>
        <w:tc>
          <w:tcPr>
            <w:tcW w:w="1170" w:type="dxa"/>
            <w:noWrap/>
          </w:tcPr>
          <w:p w14:paraId="1046974E"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7F2741E1"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20175DEF"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3B7B63C7"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07AFADDA"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79AD2E87"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03DEE2F0" w14:textId="77777777" w:rsidR="00433DF3" w:rsidRPr="00854503" w:rsidRDefault="00433DF3" w:rsidP="00C071C3">
            <w:pPr>
              <w:spacing w:after="0" w:line="240" w:lineRule="auto"/>
              <w:jc w:val="center"/>
              <w:rPr>
                <w:rFonts w:asciiTheme="minorHAnsi" w:hAnsiTheme="minorHAnsi" w:cstheme="minorHAnsi"/>
                <w:sz w:val="22"/>
              </w:rPr>
            </w:pPr>
          </w:p>
        </w:tc>
      </w:tr>
      <w:tr w:rsidR="00433DF3" w:rsidRPr="00854503" w14:paraId="192BA282" w14:textId="77777777" w:rsidTr="00C071C3">
        <w:trPr>
          <w:trHeight w:val="288"/>
        </w:trPr>
        <w:tc>
          <w:tcPr>
            <w:tcW w:w="4892" w:type="dxa"/>
            <w:noWrap/>
          </w:tcPr>
          <w:p w14:paraId="6A737938"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Payer costs</w:t>
            </w:r>
          </w:p>
        </w:tc>
        <w:tc>
          <w:tcPr>
            <w:tcW w:w="1170" w:type="dxa"/>
            <w:noWrap/>
          </w:tcPr>
          <w:p w14:paraId="6AFE531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499.596</w:t>
            </w:r>
          </w:p>
        </w:tc>
        <w:tc>
          <w:tcPr>
            <w:tcW w:w="1042" w:type="dxa"/>
            <w:noWrap/>
          </w:tcPr>
          <w:p w14:paraId="39C6ECA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400.837</w:t>
            </w:r>
          </w:p>
        </w:tc>
        <w:tc>
          <w:tcPr>
            <w:tcW w:w="1085" w:type="dxa"/>
            <w:noWrap/>
          </w:tcPr>
          <w:p w14:paraId="1F71A53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609.067</w:t>
            </w:r>
          </w:p>
        </w:tc>
        <w:tc>
          <w:tcPr>
            <w:tcW w:w="985" w:type="dxa"/>
            <w:noWrap/>
          </w:tcPr>
          <w:p w14:paraId="65DB69E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53.174</w:t>
            </w:r>
          </w:p>
        </w:tc>
        <w:tc>
          <w:tcPr>
            <w:tcW w:w="1028" w:type="dxa"/>
            <w:noWrap/>
          </w:tcPr>
          <w:p w14:paraId="2D7A644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88.3</w:t>
            </w:r>
          </w:p>
        </w:tc>
        <w:tc>
          <w:tcPr>
            <w:tcW w:w="900" w:type="dxa"/>
            <w:noWrap/>
          </w:tcPr>
          <w:p w14:paraId="4B6531A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5.7</w:t>
            </w:r>
          </w:p>
        </w:tc>
        <w:tc>
          <w:tcPr>
            <w:tcW w:w="1800" w:type="dxa"/>
            <w:noWrap/>
          </w:tcPr>
          <w:p w14:paraId="042EF9A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69741965" w14:textId="77777777" w:rsidTr="00C071C3">
        <w:trPr>
          <w:trHeight w:val="288"/>
        </w:trPr>
        <w:tc>
          <w:tcPr>
            <w:tcW w:w="4892" w:type="dxa"/>
            <w:noWrap/>
          </w:tcPr>
          <w:p w14:paraId="3A0602DC"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Out-of-pocket costs</w:t>
            </w:r>
          </w:p>
        </w:tc>
        <w:tc>
          <w:tcPr>
            <w:tcW w:w="1170" w:type="dxa"/>
            <w:noWrap/>
          </w:tcPr>
          <w:p w14:paraId="13A87D2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42.604</w:t>
            </w:r>
          </w:p>
        </w:tc>
        <w:tc>
          <w:tcPr>
            <w:tcW w:w="1042" w:type="dxa"/>
            <w:noWrap/>
          </w:tcPr>
          <w:p w14:paraId="41D602B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23.369</w:t>
            </w:r>
          </w:p>
        </w:tc>
        <w:tc>
          <w:tcPr>
            <w:tcW w:w="1085" w:type="dxa"/>
            <w:noWrap/>
          </w:tcPr>
          <w:p w14:paraId="4A33974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67.520</w:t>
            </w:r>
          </w:p>
        </w:tc>
        <w:tc>
          <w:tcPr>
            <w:tcW w:w="985" w:type="dxa"/>
            <w:noWrap/>
          </w:tcPr>
          <w:p w14:paraId="384036D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11.332</w:t>
            </w:r>
          </w:p>
        </w:tc>
        <w:tc>
          <w:tcPr>
            <w:tcW w:w="1028" w:type="dxa"/>
            <w:noWrap/>
          </w:tcPr>
          <w:p w14:paraId="1285D0F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14.1</w:t>
            </w:r>
          </w:p>
        </w:tc>
        <w:tc>
          <w:tcPr>
            <w:tcW w:w="900" w:type="dxa"/>
            <w:noWrap/>
          </w:tcPr>
          <w:p w14:paraId="32AD95C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3.0</w:t>
            </w:r>
          </w:p>
        </w:tc>
        <w:tc>
          <w:tcPr>
            <w:tcW w:w="1800" w:type="dxa"/>
            <w:noWrap/>
          </w:tcPr>
          <w:p w14:paraId="4857C02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06C7B54B" w14:textId="77777777" w:rsidTr="00C071C3">
        <w:trPr>
          <w:trHeight w:val="288"/>
        </w:trPr>
        <w:tc>
          <w:tcPr>
            <w:tcW w:w="4892" w:type="dxa"/>
            <w:noWrap/>
          </w:tcPr>
          <w:p w14:paraId="25FF277D"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Average cost of outpatient </w:t>
            </w:r>
            <w:proofErr w:type="gramStart"/>
            <w:r w:rsidRPr="00854503">
              <w:rPr>
                <w:rFonts w:asciiTheme="minorHAnsi" w:hAnsiTheme="minorHAnsi" w:cstheme="minorHAnsi"/>
                <w:sz w:val="22"/>
              </w:rPr>
              <w:t>visit</w:t>
            </w:r>
            <w:proofErr w:type="gramEnd"/>
            <w:r w:rsidRPr="00854503">
              <w:rPr>
                <w:rFonts w:asciiTheme="minorHAnsi" w:hAnsiTheme="minorHAnsi" w:cstheme="minorHAnsi"/>
                <w:sz w:val="22"/>
              </w:rPr>
              <w:t xml:space="preserve"> AS</w:t>
            </w:r>
          </w:p>
        </w:tc>
        <w:tc>
          <w:tcPr>
            <w:tcW w:w="1170" w:type="dxa"/>
            <w:noWrap/>
          </w:tcPr>
          <w:p w14:paraId="489A9A2F"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6E19EA9E"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734A9EAA"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10B5D5EC"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2ADC8372"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68AB758B"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14C93A21" w14:textId="77777777" w:rsidR="00433DF3" w:rsidRPr="00854503" w:rsidRDefault="00433DF3" w:rsidP="00C071C3">
            <w:pPr>
              <w:spacing w:after="0" w:line="240" w:lineRule="auto"/>
              <w:jc w:val="center"/>
              <w:rPr>
                <w:rFonts w:asciiTheme="minorHAnsi" w:hAnsiTheme="minorHAnsi" w:cstheme="minorHAnsi"/>
                <w:sz w:val="22"/>
              </w:rPr>
            </w:pPr>
          </w:p>
        </w:tc>
      </w:tr>
      <w:tr w:rsidR="00433DF3" w:rsidRPr="00854503" w14:paraId="0A4A16BC" w14:textId="77777777" w:rsidTr="00C071C3">
        <w:trPr>
          <w:trHeight w:val="288"/>
        </w:trPr>
        <w:tc>
          <w:tcPr>
            <w:tcW w:w="4892" w:type="dxa"/>
            <w:noWrap/>
          </w:tcPr>
          <w:p w14:paraId="3682C5A7"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Payer costs</w:t>
            </w:r>
          </w:p>
        </w:tc>
        <w:tc>
          <w:tcPr>
            <w:tcW w:w="1170" w:type="dxa"/>
            <w:noWrap/>
          </w:tcPr>
          <w:p w14:paraId="51E5757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140.591</w:t>
            </w:r>
          </w:p>
        </w:tc>
        <w:tc>
          <w:tcPr>
            <w:tcW w:w="1042" w:type="dxa"/>
            <w:noWrap/>
          </w:tcPr>
          <w:p w14:paraId="6AD8B30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109.054</w:t>
            </w:r>
          </w:p>
        </w:tc>
        <w:tc>
          <w:tcPr>
            <w:tcW w:w="1085" w:type="dxa"/>
            <w:noWrap/>
          </w:tcPr>
          <w:p w14:paraId="1659922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176.074</w:t>
            </w:r>
          </w:p>
        </w:tc>
        <w:tc>
          <w:tcPr>
            <w:tcW w:w="985" w:type="dxa"/>
            <w:noWrap/>
          </w:tcPr>
          <w:p w14:paraId="05489E0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17.120</w:t>
            </w:r>
          </w:p>
        </w:tc>
        <w:tc>
          <w:tcPr>
            <w:tcW w:w="1028" w:type="dxa"/>
            <w:noWrap/>
          </w:tcPr>
          <w:p w14:paraId="4DE39E2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67.4</w:t>
            </w:r>
          </w:p>
        </w:tc>
        <w:tc>
          <w:tcPr>
            <w:tcW w:w="900" w:type="dxa"/>
            <w:noWrap/>
          </w:tcPr>
          <w:p w14:paraId="3036302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2.1</w:t>
            </w:r>
          </w:p>
        </w:tc>
        <w:tc>
          <w:tcPr>
            <w:tcW w:w="1800" w:type="dxa"/>
            <w:noWrap/>
          </w:tcPr>
          <w:p w14:paraId="29E3268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2A896FE7" w14:textId="77777777" w:rsidTr="00C071C3">
        <w:trPr>
          <w:trHeight w:val="288"/>
        </w:trPr>
        <w:tc>
          <w:tcPr>
            <w:tcW w:w="4892" w:type="dxa"/>
            <w:noWrap/>
          </w:tcPr>
          <w:p w14:paraId="5756F047"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Out-of-pocket costs</w:t>
            </w:r>
          </w:p>
        </w:tc>
        <w:tc>
          <w:tcPr>
            <w:tcW w:w="1170" w:type="dxa"/>
            <w:noWrap/>
          </w:tcPr>
          <w:p w14:paraId="3D4CC6A9"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30.800</w:t>
            </w:r>
          </w:p>
        </w:tc>
        <w:tc>
          <w:tcPr>
            <w:tcW w:w="1042" w:type="dxa"/>
            <w:noWrap/>
          </w:tcPr>
          <w:p w14:paraId="456E065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12.829</w:t>
            </w:r>
          </w:p>
        </w:tc>
        <w:tc>
          <w:tcPr>
            <w:tcW w:w="1085" w:type="dxa"/>
            <w:noWrap/>
          </w:tcPr>
          <w:p w14:paraId="28F5A28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56.503</w:t>
            </w:r>
          </w:p>
        </w:tc>
        <w:tc>
          <w:tcPr>
            <w:tcW w:w="985" w:type="dxa"/>
            <w:noWrap/>
          </w:tcPr>
          <w:p w14:paraId="7269D37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11.270</w:t>
            </w:r>
          </w:p>
        </w:tc>
        <w:tc>
          <w:tcPr>
            <w:tcW w:w="1028" w:type="dxa"/>
            <w:noWrap/>
          </w:tcPr>
          <w:p w14:paraId="60E33B3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7.5</w:t>
            </w:r>
          </w:p>
        </w:tc>
        <w:tc>
          <w:tcPr>
            <w:tcW w:w="900" w:type="dxa"/>
            <w:noWrap/>
          </w:tcPr>
          <w:p w14:paraId="0862F6D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4.1</w:t>
            </w:r>
          </w:p>
        </w:tc>
        <w:tc>
          <w:tcPr>
            <w:tcW w:w="1800" w:type="dxa"/>
            <w:noWrap/>
          </w:tcPr>
          <w:p w14:paraId="57A3308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0E0D8212" w14:textId="77777777" w:rsidTr="00C071C3">
        <w:trPr>
          <w:trHeight w:val="288"/>
        </w:trPr>
        <w:tc>
          <w:tcPr>
            <w:tcW w:w="4892" w:type="dxa"/>
            <w:noWrap/>
          </w:tcPr>
          <w:p w14:paraId="7596C7FB"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Average cost of a hospitalization GAS</w:t>
            </w:r>
          </w:p>
        </w:tc>
        <w:tc>
          <w:tcPr>
            <w:tcW w:w="1170" w:type="dxa"/>
            <w:noWrap/>
          </w:tcPr>
          <w:p w14:paraId="3482EAEF"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1D7BAB51"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2C6809C2"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2E4B2E52"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153CC746"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57B586D8"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6A02F212" w14:textId="77777777" w:rsidR="00433DF3" w:rsidRPr="00854503" w:rsidRDefault="00433DF3" w:rsidP="00C071C3">
            <w:pPr>
              <w:spacing w:after="0" w:line="240" w:lineRule="auto"/>
              <w:jc w:val="center"/>
              <w:rPr>
                <w:rFonts w:asciiTheme="minorHAnsi" w:hAnsiTheme="minorHAnsi" w:cstheme="minorHAnsi"/>
                <w:sz w:val="22"/>
              </w:rPr>
            </w:pPr>
          </w:p>
        </w:tc>
      </w:tr>
      <w:tr w:rsidR="00433DF3" w:rsidRPr="00854503" w14:paraId="491CBE18" w14:textId="77777777" w:rsidTr="00C071C3">
        <w:trPr>
          <w:trHeight w:val="288"/>
        </w:trPr>
        <w:tc>
          <w:tcPr>
            <w:tcW w:w="4892" w:type="dxa"/>
            <w:noWrap/>
          </w:tcPr>
          <w:p w14:paraId="3743A4BC"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Payer costs</w:t>
            </w:r>
          </w:p>
        </w:tc>
        <w:tc>
          <w:tcPr>
            <w:tcW w:w="1170" w:type="dxa"/>
            <w:noWrap/>
          </w:tcPr>
          <w:p w14:paraId="3913A2F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8122.610</w:t>
            </w:r>
          </w:p>
        </w:tc>
        <w:tc>
          <w:tcPr>
            <w:tcW w:w="1042" w:type="dxa"/>
            <w:noWrap/>
          </w:tcPr>
          <w:p w14:paraId="4160332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3317.148</w:t>
            </w:r>
          </w:p>
        </w:tc>
        <w:tc>
          <w:tcPr>
            <w:tcW w:w="1085" w:type="dxa"/>
            <w:noWrap/>
          </w:tcPr>
          <w:p w14:paraId="22963874"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15042.580</w:t>
            </w:r>
          </w:p>
        </w:tc>
        <w:tc>
          <w:tcPr>
            <w:tcW w:w="985" w:type="dxa"/>
            <w:noWrap/>
          </w:tcPr>
          <w:p w14:paraId="78008E3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3027.034</w:t>
            </w:r>
          </w:p>
        </w:tc>
        <w:tc>
          <w:tcPr>
            <w:tcW w:w="1028" w:type="dxa"/>
            <w:noWrap/>
          </w:tcPr>
          <w:p w14:paraId="485C7FD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7.2</w:t>
            </w:r>
          </w:p>
        </w:tc>
        <w:tc>
          <w:tcPr>
            <w:tcW w:w="900" w:type="dxa"/>
            <w:noWrap/>
          </w:tcPr>
          <w:p w14:paraId="1FA0327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1128.1</w:t>
            </w:r>
          </w:p>
        </w:tc>
        <w:tc>
          <w:tcPr>
            <w:tcW w:w="1800" w:type="dxa"/>
            <w:noWrap/>
          </w:tcPr>
          <w:p w14:paraId="5FBBF7C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2AC6AFE8" w14:textId="77777777" w:rsidTr="00C071C3">
        <w:trPr>
          <w:trHeight w:val="288"/>
        </w:trPr>
        <w:tc>
          <w:tcPr>
            <w:tcW w:w="4892" w:type="dxa"/>
            <w:noWrap/>
          </w:tcPr>
          <w:p w14:paraId="6EB578C8"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Out-of-pocket costs</w:t>
            </w:r>
          </w:p>
        </w:tc>
        <w:tc>
          <w:tcPr>
            <w:tcW w:w="1170" w:type="dxa"/>
            <w:noWrap/>
          </w:tcPr>
          <w:p w14:paraId="42E7773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533.493</w:t>
            </w:r>
          </w:p>
        </w:tc>
        <w:tc>
          <w:tcPr>
            <w:tcW w:w="1042" w:type="dxa"/>
            <w:noWrap/>
          </w:tcPr>
          <w:p w14:paraId="44D605E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217.870</w:t>
            </w:r>
          </w:p>
        </w:tc>
        <w:tc>
          <w:tcPr>
            <w:tcW w:w="1085" w:type="dxa"/>
            <w:noWrap/>
          </w:tcPr>
          <w:p w14:paraId="61AD1ED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987.996</w:t>
            </w:r>
          </w:p>
        </w:tc>
        <w:tc>
          <w:tcPr>
            <w:tcW w:w="985" w:type="dxa"/>
            <w:noWrap/>
          </w:tcPr>
          <w:p w14:paraId="4986347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198.816</w:t>
            </w:r>
          </w:p>
        </w:tc>
        <w:tc>
          <w:tcPr>
            <w:tcW w:w="1028" w:type="dxa"/>
            <w:noWrap/>
          </w:tcPr>
          <w:p w14:paraId="3C96AE5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7.2</w:t>
            </w:r>
          </w:p>
        </w:tc>
        <w:tc>
          <w:tcPr>
            <w:tcW w:w="900" w:type="dxa"/>
            <w:noWrap/>
          </w:tcPr>
          <w:p w14:paraId="7BAA160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74.1</w:t>
            </w:r>
          </w:p>
        </w:tc>
        <w:tc>
          <w:tcPr>
            <w:tcW w:w="1800" w:type="dxa"/>
            <w:noWrap/>
          </w:tcPr>
          <w:p w14:paraId="471C7BD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216AA672" w14:textId="77777777" w:rsidTr="00C071C3">
        <w:trPr>
          <w:trHeight w:val="288"/>
        </w:trPr>
        <w:tc>
          <w:tcPr>
            <w:tcW w:w="4892" w:type="dxa"/>
            <w:noWrap/>
          </w:tcPr>
          <w:p w14:paraId="23572CDA"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Average cost of ED visit GAS</w:t>
            </w:r>
          </w:p>
        </w:tc>
        <w:tc>
          <w:tcPr>
            <w:tcW w:w="1170" w:type="dxa"/>
            <w:noWrap/>
          </w:tcPr>
          <w:p w14:paraId="62606B4E"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28016D73"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59D08DA6"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30D6EDFA"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40744D09"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48BC3B78"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78424554" w14:textId="77777777" w:rsidR="00433DF3" w:rsidRPr="00854503" w:rsidRDefault="00433DF3" w:rsidP="00C071C3">
            <w:pPr>
              <w:spacing w:after="0" w:line="240" w:lineRule="auto"/>
              <w:jc w:val="center"/>
              <w:rPr>
                <w:rFonts w:asciiTheme="minorHAnsi" w:hAnsiTheme="minorHAnsi" w:cstheme="minorHAnsi"/>
                <w:sz w:val="22"/>
              </w:rPr>
            </w:pPr>
          </w:p>
        </w:tc>
      </w:tr>
      <w:tr w:rsidR="00433DF3" w:rsidRPr="00854503" w14:paraId="1C1D013D" w14:textId="77777777" w:rsidTr="00C071C3">
        <w:trPr>
          <w:trHeight w:val="288"/>
        </w:trPr>
        <w:tc>
          <w:tcPr>
            <w:tcW w:w="4892" w:type="dxa"/>
            <w:noWrap/>
          </w:tcPr>
          <w:p w14:paraId="138031DE"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Private payer costs</w:t>
            </w:r>
          </w:p>
        </w:tc>
        <w:tc>
          <w:tcPr>
            <w:tcW w:w="1170" w:type="dxa"/>
            <w:noWrap/>
          </w:tcPr>
          <w:p w14:paraId="3805CBF2"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501.624</w:t>
            </w:r>
          </w:p>
        </w:tc>
        <w:tc>
          <w:tcPr>
            <w:tcW w:w="1042" w:type="dxa"/>
            <w:noWrap/>
          </w:tcPr>
          <w:p w14:paraId="516DC28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397.707</w:t>
            </w:r>
          </w:p>
        </w:tc>
        <w:tc>
          <w:tcPr>
            <w:tcW w:w="1085" w:type="dxa"/>
            <w:noWrap/>
          </w:tcPr>
          <w:p w14:paraId="7ACC970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617.421</w:t>
            </w:r>
          </w:p>
        </w:tc>
        <w:tc>
          <w:tcPr>
            <w:tcW w:w="985" w:type="dxa"/>
            <w:noWrap/>
          </w:tcPr>
          <w:p w14:paraId="15CB97A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56.112</w:t>
            </w:r>
          </w:p>
        </w:tc>
        <w:tc>
          <w:tcPr>
            <w:tcW w:w="1028" w:type="dxa"/>
            <w:noWrap/>
          </w:tcPr>
          <w:p w14:paraId="3E86AC7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79.9</w:t>
            </w:r>
          </w:p>
        </w:tc>
        <w:tc>
          <w:tcPr>
            <w:tcW w:w="900" w:type="dxa"/>
            <w:noWrap/>
          </w:tcPr>
          <w:p w14:paraId="4F939BFC"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6.3</w:t>
            </w:r>
          </w:p>
        </w:tc>
        <w:tc>
          <w:tcPr>
            <w:tcW w:w="1800" w:type="dxa"/>
            <w:noWrap/>
          </w:tcPr>
          <w:p w14:paraId="6CD40050"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4C79F6FB" w14:textId="77777777" w:rsidTr="00C071C3">
        <w:trPr>
          <w:trHeight w:val="288"/>
        </w:trPr>
        <w:tc>
          <w:tcPr>
            <w:tcW w:w="4892" w:type="dxa"/>
            <w:noWrap/>
          </w:tcPr>
          <w:p w14:paraId="1FC54486"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Out-of-pocket costs</w:t>
            </w:r>
          </w:p>
        </w:tc>
        <w:tc>
          <w:tcPr>
            <w:tcW w:w="1170" w:type="dxa"/>
            <w:noWrap/>
          </w:tcPr>
          <w:p w14:paraId="6DE2877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39.508</w:t>
            </w:r>
          </w:p>
        </w:tc>
        <w:tc>
          <w:tcPr>
            <w:tcW w:w="1042" w:type="dxa"/>
            <w:noWrap/>
          </w:tcPr>
          <w:p w14:paraId="2673E8A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20.289</w:t>
            </w:r>
          </w:p>
        </w:tc>
        <w:tc>
          <w:tcPr>
            <w:tcW w:w="1085" w:type="dxa"/>
            <w:noWrap/>
          </w:tcPr>
          <w:p w14:paraId="47B205D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65.026</w:t>
            </w:r>
          </w:p>
        </w:tc>
        <w:tc>
          <w:tcPr>
            <w:tcW w:w="985" w:type="dxa"/>
            <w:noWrap/>
          </w:tcPr>
          <w:p w14:paraId="139716D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11.497</w:t>
            </w:r>
          </w:p>
        </w:tc>
        <w:tc>
          <w:tcPr>
            <w:tcW w:w="1028" w:type="dxa"/>
            <w:noWrap/>
          </w:tcPr>
          <w:p w14:paraId="265535F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11.8</w:t>
            </w:r>
          </w:p>
        </w:tc>
        <w:tc>
          <w:tcPr>
            <w:tcW w:w="900" w:type="dxa"/>
            <w:noWrap/>
          </w:tcPr>
          <w:p w14:paraId="2E040D1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3.3</w:t>
            </w:r>
          </w:p>
        </w:tc>
        <w:tc>
          <w:tcPr>
            <w:tcW w:w="1800" w:type="dxa"/>
            <w:noWrap/>
          </w:tcPr>
          <w:p w14:paraId="6C77D6D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1DB4EC14" w14:textId="77777777" w:rsidTr="00C071C3">
        <w:trPr>
          <w:trHeight w:val="288"/>
        </w:trPr>
        <w:tc>
          <w:tcPr>
            <w:tcW w:w="4892" w:type="dxa"/>
            <w:noWrap/>
          </w:tcPr>
          <w:p w14:paraId="7E04E534"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Average cost of outpatient visit GAS</w:t>
            </w:r>
          </w:p>
        </w:tc>
        <w:tc>
          <w:tcPr>
            <w:tcW w:w="1170" w:type="dxa"/>
            <w:noWrap/>
          </w:tcPr>
          <w:p w14:paraId="1CD9FCEB" w14:textId="77777777" w:rsidR="00433DF3" w:rsidRPr="00854503" w:rsidRDefault="00433DF3" w:rsidP="00C071C3">
            <w:pPr>
              <w:spacing w:after="0" w:line="240" w:lineRule="auto"/>
              <w:jc w:val="center"/>
              <w:rPr>
                <w:rFonts w:asciiTheme="minorHAnsi" w:hAnsiTheme="minorHAnsi" w:cstheme="minorHAnsi"/>
                <w:sz w:val="22"/>
              </w:rPr>
            </w:pPr>
          </w:p>
        </w:tc>
        <w:tc>
          <w:tcPr>
            <w:tcW w:w="1042" w:type="dxa"/>
            <w:noWrap/>
          </w:tcPr>
          <w:p w14:paraId="71C8951D" w14:textId="77777777" w:rsidR="00433DF3" w:rsidRPr="00854503" w:rsidRDefault="00433DF3" w:rsidP="00C071C3">
            <w:pPr>
              <w:spacing w:after="0" w:line="240" w:lineRule="auto"/>
              <w:jc w:val="center"/>
              <w:rPr>
                <w:rFonts w:asciiTheme="minorHAnsi" w:hAnsiTheme="minorHAnsi" w:cstheme="minorHAnsi"/>
                <w:sz w:val="22"/>
              </w:rPr>
            </w:pPr>
          </w:p>
        </w:tc>
        <w:tc>
          <w:tcPr>
            <w:tcW w:w="1085" w:type="dxa"/>
            <w:noWrap/>
          </w:tcPr>
          <w:p w14:paraId="370D8042" w14:textId="77777777" w:rsidR="00433DF3" w:rsidRPr="00854503" w:rsidRDefault="00433DF3" w:rsidP="00C071C3">
            <w:pPr>
              <w:spacing w:after="0" w:line="240" w:lineRule="auto"/>
              <w:jc w:val="center"/>
              <w:rPr>
                <w:rFonts w:asciiTheme="minorHAnsi" w:hAnsiTheme="minorHAnsi" w:cstheme="minorHAnsi"/>
                <w:sz w:val="22"/>
              </w:rPr>
            </w:pPr>
          </w:p>
        </w:tc>
        <w:tc>
          <w:tcPr>
            <w:tcW w:w="985" w:type="dxa"/>
            <w:noWrap/>
          </w:tcPr>
          <w:p w14:paraId="1BFE2E3C" w14:textId="77777777" w:rsidR="00433DF3" w:rsidRPr="00854503" w:rsidRDefault="00433DF3" w:rsidP="00C071C3">
            <w:pPr>
              <w:spacing w:after="0" w:line="240" w:lineRule="auto"/>
              <w:jc w:val="center"/>
              <w:rPr>
                <w:rFonts w:asciiTheme="minorHAnsi" w:hAnsiTheme="minorHAnsi" w:cstheme="minorHAnsi"/>
                <w:sz w:val="22"/>
              </w:rPr>
            </w:pPr>
          </w:p>
        </w:tc>
        <w:tc>
          <w:tcPr>
            <w:tcW w:w="1028" w:type="dxa"/>
            <w:noWrap/>
          </w:tcPr>
          <w:p w14:paraId="01406780"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1ECF59B7"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13B18E83" w14:textId="77777777" w:rsidR="00433DF3" w:rsidRPr="00854503" w:rsidRDefault="00433DF3" w:rsidP="00C071C3">
            <w:pPr>
              <w:spacing w:after="0" w:line="240" w:lineRule="auto"/>
              <w:jc w:val="center"/>
              <w:rPr>
                <w:rFonts w:asciiTheme="minorHAnsi" w:hAnsiTheme="minorHAnsi" w:cstheme="minorHAnsi"/>
                <w:sz w:val="22"/>
              </w:rPr>
            </w:pPr>
          </w:p>
        </w:tc>
      </w:tr>
      <w:tr w:rsidR="00433DF3" w:rsidRPr="00854503" w14:paraId="2C23DC79" w14:textId="77777777" w:rsidTr="00C071C3">
        <w:trPr>
          <w:trHeight w:val="288"/>
        </w:trPr>
        <w:tc>
          <w:tcPr>
            <w:tcW w:w="4892" w:type="dxa"/>
            <w:noWrap/>
          </w:tcPr>
          <w:p w14:paraId="40D18B1A"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Payer costs</w:t>
            </w:r>
          </w:p>
        </w:tc>
        <w:tc>
          <w:tcPr>
            <w:tcW w:w="1170" w:type="dxa"/>
            <w:noWrap/>
          </w:tcPr>
          <w:p w14:paraId="41D23FB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139.852</w:t>
            </w:r>
          </w:p>
        </w:tc>
        <w:tc>
          <w:tcPr>
            <w:tcW w:w="1042" w:type="dxa"/>
            <w:noWrap/>
          </w:tcPr>
          <w:p w14:paraId="39E455B5"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103.042</w:t>
            </w:r>
          </w:p>
        </w:tc>
        <w:tc>
          <w:tcPr>
            <w:tcW w:w="1085" w:type="dxa"/>
            <w:noWrap/>
          </w:tcPr>
          <w:p w14:paraId="07B8D9F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182.197</w:t>
            </w:r>
          </w:p>
        </w:tc>
        <w:tc>
          <w:tcPr>
            <w:tcW w:w="985" w:type="dxa"/>
            <w:noWrap/>
          </w:tcPr>
          <w:p w14:paraId="598FCBE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20.230</w:t>
            </w:r>
          </w:p>
        </w:tc>
        <w:tc>
          <w:tcPr>
            <w:tcW w:w="1028" w:type="dxa"/>
            <w:noWrap/>
          </w:tcPr>
          <w:p w14:paraId="7C8F171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47.8</w:t>
            </w:r>
          </w:p>
        </w:tc>
        <w:tc>
          <w:tcPr>
            <w:tcW w:w="900" w:type="dxa"/>
            <w:noWrap/>
          </w:tcPr>
          <w:p w14:paraId="1875BEF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2.9</w:t>
            </w:r>
          </w:p>
        </w:tc>
        <w:tc>
          <w:tcPr>
            <w:tcW w:w="1800" w:type="dxa"/>
            <w:noWrap/>
          </w:tcPr>
          <w:p w14:paraId="782B31D6"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3B75D10E" w14:textId="77777777" w:rsidTr="00C071C3">
        <w:trPr>
          <w:trHeight w:val="288"/>
        </w:trPr>
        <w:tc>
          <w:tcPr>
            <w:tcW w:w="4892" w:type="dxa"/>
            <w:noWrap/>
          </w:tcPr>
          <w:p w14:paraId="76CDE000"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 xml:space="preserve">    Out-of-pocket costs</w:t>
            </w:r>
          </w:p>
        </w:tc>
        <w:tc>
          <w:tcPr>
            <w:tcW w:w="1170" w:type="dxa"/>
            <w:noWrap/>
          </w:tcPr>
          <w:p w14:paraId="53175C3B"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33.385</w:t>
            </w:r>
          </w:p>
        </w:tc>
        <w:tc>
          <w:tcPr>
            <w:tcW w:w="1042" w:type="dxa"/>
            <w:noWrap/>
          </w:tcPr>
          <w:p w14:paraId="423A239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12.427</w:t>
            </w:r>
          </w:p>
        </w:tc>
        <w:tc>
          <w:tcPr>
            <w:tcW w:w="1085" w:type="dxa"/>
            <w:noWrap/>
          </w:tcPr>
          <w:p w14:paraId="4B734D3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64.517</w:t>
            </w:r>
          </w:p>
        </w:tc>
        <w:tc>
          <w:tcPr>
            <w:tcW w:w="985" w:type="dxa"/>
            <w:noWrap/>
          </w:tcPr>
          <w:p w14:paraId="2166F5A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13.475</w:t>
            </w:r>
          </w:p>
        </w:tc>
        <w:tc>
          <w:tcPr>
            <w:tcW w:w="1028" w:type="dxa"/>
            <w:noWrap/>
          </w:tcPr>
          <w:p w14:paraId="05EACF0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6.1</w:t>
            </w:r>
          </w:p>
        </w:tc>
        <w:tc>
          <w:tcPr>
            <w:tcW w:w="900" w:type="dxa"/>
            <w:noWrap/>
          </w:tcPr>
          <w:p w14:paraId="1C1409D8"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5.4</w:t>
            </w:r>
          </w:p>
        </w:tc>
        <w:tc>
          <w:tcPr>
            <w:tcW w:w="1800" w:type="dxa"/>
            <w:noWrap/>
          </w:tcPr>
          <w:p w14:paraId="47CA6AF3"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Gamma</w:t>
            </w:r>
          </w:p>
        </w:tc>
      </w:tr>
      <w:tr w:rsidR="00433DF3" w:rsidRPr="00854503" w14:paraId="431BA477" w14:textId="77777777" w:rsidTr="00F77A75">
        <w:trPr>
          <w:trHeight w:val="288"/>
        </w:trPr>
        <w:tc>
          <w:tcPr>
            <w:tcW w:w="12902" w:type="dxa"/>
            <w:gridSpan w:val="8"/>
            <w:shd w:val="clear" w:color="auto" w:fill="D9D9D9" w:themeFill="background1" w:themeFillShade="D9"/>
            <w:noWrap/>
          </w:tcPr>
          <w:p w14:paraId="31E1EBB1"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eastAsia="Times New Roman" w:hAnsiTheme="minorHAnsi" w:cstheme="minorHAnsi"/>
                <w:b/>
                <w:sz w:val="22"/>
              </w:rPr>
              <w:t>Other Productivity Parameters</w:t>
            </w:r>
          </w:p>
        </w:tc>
      </w:tr>
      <w:tr w:rsidR="00433DF3" w:rsidRPr="00854503" w14:paraId="2AAC8761" w14:textId="77777777" w:rsidTr="00C071C3">
        <w:trPr>
          <w:trHeight w:val="288"/>
        </w:trPr>
        <w:tc>
          <w:tcPr>
            <w:tcW w:w="4892" w:type="dxa"/>
            <w:noWrap/>
          </w:tcPr>
          <w:p w14:paraId="168147CB" w14:textId="77777777" w:rsidR="00433DF3" w:rsidRPr="00854503" w:rsidRDefault="00433DF3" w:rsidP="00C071C3">
            <w:pPr>
              <w:spacing w:after="0" w:line="240" w:lineRule="auto"/>
              <w:rPr>
                <w:rFonts w:asciiTheme="minorHAnsi" w:hAnsiTheme="minorHAnsi" w:cstheme="minorHAnsi"/>
                <w:sz w:val="22"/>
              </w:rPr>
            </w:pPr>
            <w:r w:rsidRPr="00854503">
              <w:rPr>
                <w:rFonts w:asciiTheme="minorHAnsi" w:hAnsiTheme="minorHAnsi" w:cstheme="minorHAnsi"/>
                <w:sz w:val="22"/>
              </w:rPr>
              <w:t>Travel time for hospitalization, ED, outpatient, or office visit (hours)</w:t>
            </w:r>
          </w:p>
        </w:tc>
        <w:tc>
          <w:tcPr>
            <w:tcW w:w="1170" w:type="dxa"/>
            <w:noWrap/>
          </w:tcPr>
          <w:p w14:paraId="78ABF30F"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0.83</w:t>
            </w:r>
          </w:p>
        </w:tc>
        <w:tc>
          <w:tcPr>
            <w:tcW w:w="1042" w:type="dxa"/>
            <w:noWrap/>
          </w:tcPr>
          <w:p w14:paraId="77988F1E"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0.75</w:t>
            </w:r>
          </w:p>
        </w:tc>
        <w:tc>
          <w:tcPr>
            <w:tcW w:w="1085" w:type="dxa"/>
            <w:noWrap/>
          </w:tcPr>
          <w:p w14:paraId="32B757BA"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0.92</w:t>
            </w:r>
          </w:p>
        </w:tc>
        <w:tc>
          <w:tcPr>
            <w:tcW w:w="985" w:type="dxa"/>
            <w:noWrap/>
          </w:tcPr>
          <w:p w14:paraId="3EAD4EB7"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0.04</w:t>
            </w:r>
          </w:p>
        </w:tc>
        <w:tc>
          <w:tcPr>
            <w:tcW w:w="1028" w:type="dxa"/>
            <w:noWrap/>
          </w:tcPr>
          <w:p w14:paraId="19B19BA6" w14:textId="77777777" w:rsidR="00433DF3" w:rsidRPr="00854503" w:rsidRDefault="00433DF3" w:rsidP="00C071C3">
            <w:pPr>
              <w:spacing w:after="0" w:line="240" w:lineRule="auto"/>
              <w:jc w:val="center"/>
              <w:rPr>
                <w:rFonts w:asciiTheme="minorHAnsi" w:hAnsiTheme="minorHAnsi" w:cstheme="minorHAnsi"/>
                <w:sz w:val="22"/>
              </w:rPr>
            </w:pPr>
          </w:p>
        </w:tc>
        <w:tc>
          <w:tcPr>
            <w:tcW w:w="900" w:type="dxa"/>
            <w:noWrap/>
          </w:tcPr>
          <w:p w14:paraId="4DACE8A0" w14:textId="77777777" w:rsidR="00433DF3" w:rsidRPr="00854503" w:rsidRDefault="00433DF3" w:rsidP="00C071C3">
            <w:pPr>
              <w:spacing w:after="0" w:line="240" w:lineRule="auto"/>
              <w:jc w:val="center"/>
              <w:rPr>
                <w:rFonts w:asciiTheme="minorHAnsi" w:hAnsiTheme="minorHAnsi" w:cstheme="minorHAnsi"/>
                <w:sz w:val="22"/>
              </w:rPr>
            </w:pPr>
          </w:p>
        </w:tc>
        <w:tc>
          <w:tcPr>
            <w:tcW w:w="1800" w:type="dxa"/>
            <w:noWrap/>
          </w:tcPr>
          <w:p w14:paraId="7D651A3D" w14:textId="77777777" w:rsidR="00433DF3" w:rsidRPr="00854503" w:rsidRDefault="00433DF3" w:rsidP="00C071C3">
            <w:pPr>
              <w:spacing w:after="0" w:line="240" w:lineRule="auto"/>
              <w:jc w:val="center"/>
              <w:rPr>
                <w:rFonts w:asciiTheme="minorHAnsi" w:hAnsiTheme="minorHAnsi" w:cstheme="minorHAnsi"/>
                <w:sz w:val="22"/>
              </w:rPr>
            </w:pPr>
            <w:r w:rsidRPr="00854503">
              <w:rPr>
                <w:rFonts w:asciiTheme="minorHAnsi" w:hAnsiTheme="minorHAnsi" w:cstheme="minorHAnsi"/>
                <w:sz w:val="22"/>
              </w:rPr>
              <w:t>Normal</w:t>
            </w:r>
          </w:p>
        </w:tc>
      </w:tr>
    </w:tbl>
    <w:p w14:paraId="37D25966" w14:textId="77777777" w:rsidR="00433DF3" w:rsidRPr="00A06D5C" w:rsidRDefault="00433DF3" w:rsidP="00433DF3">
      <w:pPr>
        <w:pStyle w:val="FtnteTable-IPR"/>
        <w:spacing w:before="0"/>
        <w:rPr>
          <w:rFonts w:asciiTheme="minorHAnsi" w:hAnsiTheme="minorHAnsi" w:cstheme="minorHAnsi"/>
          <w:sz w:val="20"/>
        </w:rPr>
      </w:pPr>
      <w:r w:rsidRPr="00A06D5C">
        <w:rPr>
          <w:rFonts w:asciiTheme="minorHAnsi" w:hAnsiTheme="minorHAnsi" w:cstheme="minorHAnsi"/>
          <w:sz w:val="20"/>
        </w:rPr>
        <w:t xml:space="preserve">Notes: ADR = adverse drug reaction; AS = acute sinusitis; ED = emergency department; GAS = Group A streptococcal pharyngitis; OM = otitis media; TF = treatment failure </w:t>
      </w:r>
    </w:p>
    <w:p w14:paraId="1BBC6AA2" w14:textId="77777777" w:rsidR="00433DF3" w:rsidRPr="00854503" w:rsidRDefault="00433DF3" w:rsidP="00433DF3">
      <w:pPr>
        <w:rPr>
          <w:rFonts w:cstheme="minorHAnsi"/>
        </w:rPr>
      </w:pPr>
      <w:bookmarkStart w:id="4" w:name="RANGE!C15"/>
      <w:bookmarkEnd w:id="1"/>
      <w:bookmarkEnd w:id="2"/>
      <w:bookmarkEnd w:id="3"/>
      <w:bookmarkEnd w:id="4"/>
    </w:p>
    <w:p w14:paraId="40DCF837" w14:textId="17FF600E" w:rsidR="00F0224C" w:rsidRDefault="00F0224C">
      <w:pPr>
        <w:spacing w:after="160" w:line="259" w:lineRule="auto"/>
      </w:pPr>
      <w:r>
        <w:br w:type="page"/>
      </w:r>
    </w:p>
    <w:p w14:paraId="0902F3DF" w14:textId="77777777" w:rsidR="00F0224C" w:rsidRDefault="00F0224C" w:rsidP="00F0224C">
      <w:pPr>
        <w:rPr>
          <w:rFonts w:ascii="Arial" w:hAnsi="Arial" w:cs="Arial"/>
          <w:sz w:val="25"/>
          <w:szCs w:val="25"/>
        </w:rPr>
      </w:pPr>
      <w:r>
        <w:rPr>
          <w:rFonts w:ascii="Arial" w:hAnsi="Arial" w:cs="Arial"/>
          <w:sz w:val="25"/>
          <w:szCs w:val="25"/>
        </w:rPr>
        <w:lastRenderedPageBreak/>
        <w:t>References</w:t>
      </w:r>
    </w:p>
    <w:p w14:paraId="51527A77" w14:textId="77777777" w:rsidR="00F0224C" w:rsidRDefault="00F0224C" w:rsidP="00F0224C">
      <w:pPr>
        <w:rPr>
          <w:sz w:val="24"/>
          <w:szCs w:val="24"/>
        </w:rPr>
      </w:pPr>
      <w:r>
        <w:rPr>
          <w:sz w:val="24"/>
          <w:szCs w:val="24"/>
        </w:rPr>
        <w:t>1</w:t>
      </w:r>
      <w:r w:rsidRPr="008B5DA3">
        <w:rPr>
          <w:sz w:val="24"/>
          <w:szCs w:val="24"/>
        </w:rPr>
        <w:t>. U.S. Census Bureau. 2017 National Population Projections Datasets: Projections for the United States, 2017 to</w:t>
      </w:r>
      <w:r>
        <w:rPr>
          <w:sz w:val="24"/>
          <w:szCs w:val="24"/>
        </w:rPr>
        <w:t xml:space="preserve"> </w:t>
      </w:r>
      <w:r w:rsidRPr="008B5DA3">
        <w:rPr>
          <w:sz w:val="24"/>
          <w:szCs w:val="24"/>
        </w:rPr>
        <w:t xml:space="preserve">2060 (2018) </w:t>
      </w:r>
      <w:hyperlink r:id="rId8" w:history="1">
        <w:r w:rsidRPr="00B15897">
          <w:rPr>
            <w:rStyle w:val="Hyperlink"/>
            <w:sz w:val="24"/>
            <w:szCs w:val="24"/>
          </w:rPr>
          <w:t>https://www.census.gov/data/datasets/2017/demo/popproj/2017-popproj.html</w:t>
        </w:r>
      </w:hyperlink>
    </w:p>
    <w:p w14:paraId="643119DE" w14:textId="77777777" w:rsidR="00F0224C" w:rsidRDefault="00F0224C" w:rsidP="00F0224C">
      <w:pPr>
        <w:rPr>
          <w:sz w:val="24"/>
          <w:szCs w:val="24"/>
        </w:rPr>
      </w:pPr>
      <w:r>
        <w:rPr>
          <w:sz w:val="24"/>
          <w:szCs w:val="24"/>
        </w:rPr>
        <w:t>2</w:t>
      </w:r>
      <w:r w:rsidRPr="008B5DA3">
        <w:rPr>
          <w:sz w:val="24"/>
          <w:szCs w:val="24"/>
        </w:rPr>
        <w:t xml:space="preserve">. Kawai K, Adil EA, Barrett D, </w:t>
      </w:r>
      <w:proofErr w:type="spellStart"/>
      <w:r w:rsidRPr="008B5DA3">
        <w:rPr>
          <w:sz w:val="24"/>
          <w:szCs w:val="24"/>
        </w:rPr>
        <w:t>Manganella</w:t>
      </w:r>
      <w:proofErr w:type="spellEnd"/>
      <w:r w:rsidRPr="008B5DA3">
        <w:rPr>
          <w:sz w:val="24"/>
          <w:szCs w:val="24"/>
        </w:rPr>
        <w:t xml:space="preserve"> J, Kenna MA. Ambulatory visits for otitis media before and after the introduction of</w:t>
      </w:r>
      <w:r>
        <w:rPr>
          <w:sz w:val="24"/>
          <w:szCs w:val="24"/>
        </w:rPr>
        <w:t xml:space="preserve"> </w:t>
      </w:r>
      <w:r w:rsidRPr="008B5DA3">
        <w:rPr>
          <w:sz w:val="24"/>
          <w:szCs w:val="24"/>
        </w:rPr>
        <w:t xml:space="preserve">pneumococcal conjugate vaccination. J. </w:t>
      </w:r>
      <w:proofErr w:type="spellStart"/>
      <w:r w:rsidRPr="008B5DA3">
        <w:rPr>
          <w:sz w:val="24"/>
          <w:szCs w:val="24"/>
        </w:rPr>
        <w:t>Pediatr</w:t>
      </w:r>
      <w:proofErr w:type="spellEnd"/>
      <w:r w:rsidRPr="008B5DA3">
        <w:rPr>
          <w:sz w:val="24"/>
          <w:szCs w:val="24"/>
        </w:rPr>
        <w:t>. 201, 122–127.e1 (2018).</w:t>
      </w:r>
      <w:r>
        <w:rPr>
          <w:sz w:val="24"/>
          <w:szCs w:val="24"/>
        </w:rPr>
        <w:t xml:space="preserve"> </w:t>
      </w:r>
    </w:p>
    <w:p w14:paraId="4ABA5667" w14:textId="77777777" w:rsidR="00F0224C" w:rsidRDefault="00F0224C" w:rsidP="00F0224C">
      <w:pPr>
        <w:rPr>
          <w:sz w:val="24"/>
          <w:szCs w:val="24"/>
        </w:rPr>
      </w:pPr>
      <w:r>
        <w:rPr>
          <w:sz w:val="24"/>
          <w:szCs w:val="24"/>
        </w:rPr>
        <w:t>3</w:t>
      </w:r>
      <w:r w:rsidRPr="008B5DA3">
        <w:rPr>
          <w:sz w:val="24"/>
          <w:szCs w:val="24"/>
        </w:rPr>
        <w:t>. Shapiro DJ, Gonzales R, Cabana MD, Hersh AL. National trends in visit rates and antibiotic prescribing for children with acute</w:t>
      </w:r>
      <w:r>
        <w:rPr>
          <w:sz w:val="24"/>
          <w:szCs w:val="24"/>
        </w:rPr>
        <w:t xml:space="preserve"> </w:t>
      </w:r>
      <w:r w:rsidRPr="008B5DA3">
        <w:rPr>
          <w:sz w:val="24"/>
          <w:szCs w:val="24"/>
        </w:rPr>
        <w:t>sinusitis. Pediatrics 127(1), 28–34 (2011).</w:t>
      </w:r>
      <w:r>
        <w:rPr>
          <w:sz w:val="24"/>
          <w:szCs w:val="24"/>
        </w:rPr>
        <w:t xml:space="preserve"> </w:t>
      </w:r>
    </w:p>
    <w:p w14:paraId="699197D0" w14:textId="77777777" w:rsidR="00F0224C" w:rsidRDefault="00F0224C" w:rsidP="00F0224C">
      <w:pPr>
        <w:rPr>
          <w:sz w:val="24"/>
          <w:szCs w:val="24"/>
        </w:rPr>
      </w:pPr>
      <w:r>
        <w:rPr>
          <w:sz w:val="24"/>
          <w:szCs w:val="24"/>
        </w:rPr>
        <w:t>4</w:t>
      </w:r>
      <w:r w:rsidRPr="008B5DA3">
        <w:rPr>
          <w:sz w:val="24"/>
          <w:szCs w:val="24"/>
        </w:rPr>
        <w:t xml:space="preserve">. Dooling KL, Shapiro DJ, Van </w:t>
      </w:r>
      <w:proofErr w:type="spellStart"/>
      <w:r w:rsidRPr="008B5DA3">
        <w:rPr>
          <w:sz w:val="24"/>
          <w:szCs w:val="24"/>
        </w:rPr>
        <w:t>Beneden</w:t>
      </w:r>
      <w:proofErr w:type="spellEnd"/>
      <w:r w:rsidRPr="008B5DA3">
        <w:rPr>
          <w:sz w:val="24"/>
          <w:szCs w:val="24"/>
        </w:rPr>
        <w:t xml:space="preserve"> C, Hersh AL, Hicks LA. Overprescribing and inappropriate antibiotic selection for children with</w:t>
      </w:r>
      <w:r>
        <w:rPr>
          <w:sz w:val="24"/>
          <w:szCs w:val="24"/>
        </w:rPr>
        <w:t xml:space="preserve"> </w:t>
      </w:r>
      <w:r w:rsidRPr="008B5DA3">
        <w:rPr>
          <w:sz w:val="24"/>
          <w:szCs w:val="24"/>
        </w:rPr>
        <w:t xml:space="preserve">pharyngitis in the United States, 1997–2010. JAMA </w:t>
      </w:r>
      <w:proofErr w:type="spellStart"/>
      <w:r w:rsidRPr="008B5DA3">
        <w:rPr>
          <w:sz w:val="24"/>
          <w:szCs w:val="24"/>
        </w:rPr>
        <w:t>Pediatr</w:t>
      </w:r>
      <w:proofErr w:type="spellEnd"/>
      <w:r w:rsidRPr="008B5DA3">
        <w:rPr>
          <w:sz w:val="24"/>
          <w:szCs w:val="24"/>
        </w:rPr>
        <w:t>. 168(11), 1073–1074 (2014).</w:t>
      </w:r>
      <w:r>
        <w:rPr>
          <w:sz w:val="24"/>
          <w:szCs w:val="24"/>
        </w:rPr>
        <w:t xml:space="preserve"> </w:t>
      </w:r>
    </w:p>
    <w:p w14:paraId="117A0412" w14:textId="77777777" w:rsidR="00F0224C" w:rsidRDefault="00F0224C" w:rsidP="00F0224C">
      <w:pPr>
        <w:rPr>
          <w:sz w:val="24"/>
          <w:szCs w:val="24"/>
        </w:rPr>
      </w:pPr>
      <w:r>
        <w:rPr>
          <w:sz w:val="24"/>
          <w:szCs w:val="24"/>
        </w:rPr>
        <w:t>5</w:t>
      </w:r>
      <w:r w:rsidRPr="008B5DA3">
        <w:rPr>
          <w:sz w:val="24"/>
          <w:szCs w:val="24"/>
        </w:rPr>
        <w:t xml:space="preserve">. </w:t>
      </w:r>
      <w:proofErr w:type="spellStart"/>
      <w:r w:rsidRPr="008B5DA3">
        <w:rPr>
          <w:sz w:val="24"/>
          <w:szCs w:val="24"/>
        </w:rPr>
        <w:t>Suaya</w:t>
      </w:r>
      <w:proofErr w:type="spellEnd"/>
      <w:r w:rsidRPr="008B5DA3">
        <w:rPr>
          <w:sz w:val="24"/>
          <w:szCs w:val="24"/>
        </w:rPr>
        <w:t xml:space="preserve"> JA, Gessner BD, Fung S et al. Acute otitis media, antimicrobial prescriptions, and medical expenses among children in the United</w:t>
      </w:r>
      <w:r>
        <w:rPr>
          <w:sz w:val="24"/>
          <w:szCs w:val="24"/>
        </w:rPr>
        <w:t xml:space="preserve"> </w:t>
      </w:r>
      <w:r w:rsidRPr="008B5DA3">
        <w:rPr>
          <w:sz w:val="24"/>
          <w:szCs w:val="24"/>
        </w:rPr>
        <w:t>States during 2011–2016. Vaccine 36(49), 7479–7486 (2018).</w:t>
      </w:r>
      <w:r>
        <w:rPr>
          <w:sz w:val="24"/>
          <w:szCs w:val="24"/>
        </w:rPr>
        <w:t xml:space="preserve"> </w:t>
      </w:r>
    </w:p>
    <w:p w14:paraId="10FAE389" w14:textId="77777777" w:rsidR="00F0224C" w:rsidRDefault="00F0224C" w:rsidP="00F0224C">
      <w:pPr>
        <w:rPr>
          <w:sz w:val="24"/>
          <w:szCs w:val="24"/>
        </w:rPr>
      </w:pPr>
      <w:r>
        <w:rPr>
          <w:sz w:val="24"/>
          <w:szCs w:val="24"/>
        </w:rPr>
        <w:t>6</w:t>
      </w:r>
      <w:r w:rsidRPr="008B5DA3">
        <w:rPr>
          <w:sz w:val="24"/>
          <w:szCs w:val="24"/>
        </w:rPr>
        <w:t xml:space="preserve">. </w:t>
      </w:r>
      <w:proofErr w:type="spellStart"/>
      <w:r w:rsidRPr="008B5DA3">
        <w:rPr>
          <w:sz w:val="24"/>
          <w:szCs w:val="24"/>
        </w:rPr>
        <w:t>Gidengil</w:t>
      </w:r>
      <w:proofErr w:type="spellEnd"/>
      <w:r w:rsidRPr="008B5DA3">
        <w:rPr>
          <w:sz w:val="24"/>
          <w:szCs w:val="24"/>
        </w:rPr>
        <w:t xml:space="preserve"> CA, Kruskal BA, Lee GM. Initial antibiotic choice in the treatment of group A streptococcal pharyngitis and return visit rates.</w:t>
      </w:r>
      <w:r>
        <w:rPr>
          <w:sz w:val="24"/>
          <w:szCs w:val="24"/>
        </w:rPr>
        <w:t xml:space="preserve"> </w:t>
      </w:r>
      <w:r w:rsidRPr="008B5DA3">
        <w:rPr>
          <w:sz w:val="24"/>
          <w:szCs w:val="24"/>
        </w:rPr>
        <w:t>J. Pediatric Infect. Dis. Soc. 2(4), 361–367 (2013).</w:t>
      </w:r>
      <w:r>
        <w:rPr>
          <w:sz w:val="24"/>
          <w:szCs w:val="24"/>
        </w:rPr>
        <w:t xml:space="preserve"> </w:t>
      </w:r>
    </w:p>
    <w:p w14:paraId="03F7ACB4" w14:textId="77777777" w:rsidR="00F0224C" w:rsidRDefault="00F0224C" w:rsidP="00F0224C">
      <w:pPr>
        <w:rPr>
          <w:sz w:val="24"/>
          <w:szCs w:val="24"/>
        </w:rPr>
      </w:pPr>
      <w:r>
        <w:rPr>
          <w:sz w:val="24"/>
          <w:szCs w:val="24"/>
        </w:rPr>
        <w:t>7</w:t>
      </w:r>
      <w:r w:rsidRPr="008B5DA3">
        <w:rPr>
          <w:sz w:val="24"/>
          <w:szCs w:val="24"/>
        </w:rPr>
        <w:t xml:space="preserve">. </w:t>
      </w:r>
      <w:proofErr w:type="spellStart"/>
      <w:r w:rsidRPr="008B5DA3">
        <w:rPr>
          <w:sz w:val="24"/>
          <w:szCs w:val="24"/>
        </w:rPr>
        <w:t>Vyles</w:t>
      </w:r>
      <w:proofErr w:type="spellEnd"/>
      <w:r w:rsidRPr="008B5DA3">
        <w:rPr>
          <w:sz w:val="24"/>
          <w:szCs w:val="24"/>
        </w:rPr>
        <w:t xml:space="preserve"> D, Chiu A, Simpson P, </w:t>
      </w:r>
      <w:proofErr w:type="spellStart"/>
      <w:r w:rsidRPr="008B5DA3">
        <w:rPr>
          <w:sz w:val="24"/>
          <w:szCs w:val="24"/>
        </w:rPr>
        <w:t>Nimmer</w:t>
      </w:r>
      <w:proofErr w:type="spellEnd"/>
      <w:r w:rsidRPr="008B5DA3">
        <w:rPr>
          <w:sz w:val="24"/>
          <w:szCs w:val="24"/>
        </w:rPr>
        <w:t xml:space="preserve"> M, Adams J, Brousseau DC. Parent-reported penicillin allergy symptoms in the Pediatric</w:t>
      </w:r>
      <w:r>
        <w:rPr>
          <w:sz w:val="24"/>
          <w:szCs w:val="24"/>
        </w:rPr>
        <w:t xml:space="preserve"> </w:t>
      </w:r>
      <w:r w:rsidRPr="008B5DA3">
        <w:rPr>
          <w:sz w:val="24"/>
          <w:szCs w:val="24"/>
        </w:rPr>
        <w:t xml:space="preserve">Emergency Department. Acad. </w:t>
      </w:r>
      <w:proofErr w:type="spellStart"/>
      <w:r w:rsidRPr="008B5DA3">
        <w:rPr>
          <w:sz w:val="24"/>
          <w:szCs w:val="24"/>
        </w:rPr>
        <w:t>Pediatr</w:t>
      </w:r>
      <w:proofErr w:type="spellEnd"/>
      <w:r w:rsidRPr="008B5DA3">
        <w:rPr>
          <w:sz w:val="24"/>
          <w:szCs w:val="24"/>
        </w:rPr>
        <w:t>. 17(3), 251–255 (2017).</w:t>
      </w:r>
    </w:p>
    <w:p w14:paraId="4FA93621" w14:textId="77777777" w:rsidR="00F0224C" w:rsidRDefault="00F0224C" w:rsidP="00F0224C">
      <w:pPr>
        <w:rPr>
          <w:sz w:val="24"/>
          <w:szCs w:val="24"/>
        </w:rPr>
      </w:pPr>
      <w:r>
        <w:rPr>
          <w:sz w:val="24"/>
          <w:szCs w:val="24"/>
        </w:rPr>
        <w:t>8</w:t>
      </w:r>
      <w:r w:rsidRPr="008B5DA3">
        <w:rPr>
          <w:sz w:val="24"/>
          <w:szCs w:val="24"/>
        </w:rPr>
        <w:t xml:space="preserve">. Kerr J. Penicillin allergy: a study of incidence as reported by patients. Br. J. Clin. </w:t>
      </w:r>
      <w:proofErr w:type="spellStart"/>
      <w:r w:rsidRPr="008B5DA3">
        <w:rPr>
          <w:sz w:val="24"/>
          <w:szCs w:val="24"/>
        </w:rPr>
        <w:t>Pract</w:t>
      </w:r>
      <w:proofErr w:type="spellEnd"/>
      <w:r w:rsidRPr="008B5DA3">
        <w:rPr>
          <w:sz w:val="24"/>
          <w:szCs w:val="24"/>
        </w:rPr>
        <w:t>. 48(1), 5–7 (1994).</w:t>
      </w:r>
      <w:r>
        <w:rPr>
          <w:sz w:val="24"/>
          <w:szCs w:val="24"/>
        </w:rPr>
        <w:t xml:space="preserve"> </w:t>
      </w:r>
    </w:p>
    <w:p w14:paraId="298E676E" w14:textId="77777777" w:rsidR="00F0224C" w:rsidRDefault="00F0224C" w:rsidP="00F0224C">
      <w:pPr>
        <w:rPr>
          <w:sz w:val="24"/>
          <w:szCs w:val="24"/>
        </w:rPr>
      </w:pPr>
      <w:r>
        <w:rPr>
          <w:sz w:val="24"/>
          <w:szCs w:val="24"/>
        </w:rPr>
        <w:t>9</w:t>
      </w:r>
      <w:r w:rsidRPr="008B5DA3">
        <w:rPr>
          <w:sz w:val="24"/>
          <w:szCs w:val="24"/>
        </w:rPr>
        <w:t xml:space="preserve">. Lee CE, </w:t>
      </w:r>
      <w:proofErr w:type="spellStart"/>
      <w:r w:rsidRPr="008B5DA3">
        <w:rPr>
          <w:sz w:val="24"/>
          <w:szCs w:val="24"/>
        </w:rPr>
        <w:t>Zembower</w:t>
      </w:r>
      <w:proofErr w:type="spellEnd"/>
      <w:r w:rsidRPr="008B5DA3">
        <w:rPr>
          <w:sz w:val="24"/>
          <w:szCs w:val="24"/>
        </w:rPr>
        <w:t xml:space="preserve"> TR, </w:t>
      </w:r>
      <w:proofErr w:type="spellStart"/>
      <w:r w:rsidRPr="008B5DA3">
        <w:rPr>
          <w:sz w:val="24"/>
          <w:szCs w:val="24"/>
        </w:rPr>
        <w:t>Fotis</w:t>
      </w:r>
      <w:proofErr w:type="spellEnd"/>
      <w:r w:rsidRPr="008B5DA3">
        <w:rPr>
          <w:sz w:val="24"/>
          <w:szCs w:val="24"/>
        </w:rPr>
        <w:t xml:space="preserve"> MA et al. The incidence of antimicrobial allergies in hospitalized patients: implications regarding</w:t>
      </w:r>
      <w:r>
        <w:rPr>
          <w:sz w:val="24"/>
          <w:szCs w:val="24"/>
        </w:rPr>
        <w:t xml:space="preserve"> </w:t>
      </w:r>
      <w:r w:rsidRPr="008B5DA3">
        <w:rPr>
          <w:sz w:val="24"/>
          <w:szCs w:val="24"/>
        </w:rPr>
        <w:t>prescribing patterns and emerging bacterial resistance. Arch. Intern. Med. 160(18), 2819–2822 (2000).</w:t>
      </w:r>
      <w:r>
        <w:rPr>
          <w:sz w:val="24"/>
          <w:szCs w:val="24"/>
        </w:rPr>
        <w:t xml:space="preserve"> </w:t>
      </w:r>
    </w:p>
    <w:p w14:paraId="5722BFD3" w14:textId="77777777" w:rsidR="00F0224C" w:rsidRDefault="00F0224C" w:rsidP="00F0224C">
      <w:pPr>
        <w:rPr>
          <w:sz w:val="24"/>
          <w:szCs w:val="24"/>
        </w:rPr>
      </w:pPr>
      <w:r>
        <w:rPr>
          <w:sz w:val="24"/>
          <w:szCs w:val="24"/>
        </w:rPr>
        <w:t>10</w:t>
      </w:r>
      <w:r w:rsidRPr="008B5DA3">
        <w:rPr>
          <w:sz w:val="24"/>
          <w:szCs w:val="24"/>
        </w:rPr>
        <w:t xml:space="preserve">. Nicklas R, Bernstein I, Li J. </w:t>
      </w:r>
      <w:r w:rsidRPr="008B5DA3">
        <w:rPr>
          <w:rFonts w:ascii="Courier New" w:hAnsi="Courier New" w:cs="Courier New"/>
          <w:sz w:val="24"/>
          <w:szCs w:val="24"/>
        </w:rPr>
        <w:t>β</w:t>
      </w:r>
      <w:r w:rsidRPr="008B5DA3">
        <w:rPr>
          <w:sz w:val="24"/>
          <w:szCs w:val="24"/>
        </w:rPr>
        <w:t>-Lactam antibiotics: the diagnosis and management of anaphylaxis. J. Allergy Clin. Immunol. 101(Suppl.),</w:t>
      </w:r>
      <w:r>
        <w:rPr>
          <w:sz w:val="24"/>
          <w:szCs w:val="24"/>
        </w:rPr>
        <w:t xml:space="preserve"> </w:t>
      </w:r>
      <w:r w:rsidRPr="008B5DA3">
        <w:rPr>
          <w:sz w:val="24"/>
          <w:szCs w:val="24"/>
        </w:rPr>
        <w:t>S498–S501 (1999).</w:t>
      </w:r>
      <w:r>
        <w:rPr>
          <w:sz w:val="24"/>
          <w:szCs w:val="24"/>
        </w:rPr>
        <w:t xml:space="preserve"> </w:t>
      </w:r>
    </w:p>
    <w:p w14:paraId="6B25EBD3" w14:textId="77777777" w:rsidR="00F0224C" w:rsidRDefault="00F0224C" w:rsidP="00F0224C">
      <w:pPr>
        <w:rPr>
          <w:sz w:val="24"/>
          <w:szCs w:val="24"/>
        </w:rPr>
      </w:pPr>
      <w:r>
        <w:rPr>
          <w:sz w:val="24"/>
          <w:szCs w:val="24"/>
        </w:rPr>
        <w:lastRenderedPageBreak/>
        <w:t>11</w:t>
      </w:r>
      <w:r w:rsidRPr="008B5DA3">
        <w:rPr>
          <w:sz w:val="24"/>
          <w:szCs w:val="24"/>
        </w:rPr>
        <w:t>. Gerber JS, Ross RK, Bryan M et al. Association of broad- vs narrow-spectrum antibiotics with treatment failure, adverse events, and</w:t>
      </w:r>
      <w:r>
        <w:rPr>
          <w:sz w:val="24"/>
          <w:szCs w:val="24"/>
        </w:rPr>
        <w:t xml:space="preserve"> </w:t>
      </w:r>
      <w:r w:rsidRPr="008B5DA3">
        <w:rPr>
          <w:sz w:val="24"/>
          <w:szCs w:val="24"/>
        </w:rPr>
        <w:t>quality of life in children with acute respiratory tract infections. J. Am. Med. Assoc. 318(23), 2325–2336 (2017).</w:t>
      </w:r>
    </w:p>
    <w:p w14:paraId="28D4E641" w14:textId="77777777" w:rsidR="00F0224C" w:rsidRDefault="00F0224C" w:rsidP="00F0224C">
      <w:pPr>
        <w:rPr>
          <w:sz w:val="24"/>
          <w:szCs w:val="24"/>
        </w:rPr>
      </w:pPr>
      <w:r>
        <w:rPr>
          <w:sz w:val="24"/>
          <w:szCs w:val="24"/>
        </w:rPr>
        <w:t>12</w:t>
      </w:r>
      <w:r w:rsidRPr="008B5DA3">
        <w:rPr>
          <w:sz w:val="24"/>
          <w:szCs w:val="24"/>
        </w:rPr>
        <w:t xml:space="preserve">. Adams PF, Hendershot GE, </w:t>
      </w:r>
      <w:proofErr w:type="spellStart"/>
      <w:r w:rsidRPr="008B5DA3">
        <w:rPr>
          <w:sz w:val="24"/>
          <w:szCs w:val="24"/>
        </w:rPr>
        <w:t>Marano</w:t>
      </w:r>
      <w:proofErr w:type="spellEnd"/>
      <w:r w:rsidRPr="008B5DA3">
        <w:rPr>
          <w:sz w:val="24"/>
          <w:szCs w:val="24"/>
        </w:rPr>
        <w:t xml:space="preserve"> MA. Centers for Disease Control and Prevention</w:t>
      </w:r>
      <w:r w:rsidRPr="008B5DA3">
        <w:rPr>
          <w:rFonts w:ascii="Arial" w:hAnsi="Arial" w:cs="Arial"/>
          <w:sz w:val="24"/>
          <w:szCs w:val="24"/>
        </w:rPr>
        <w:t>/</w:t>
      </w:r>
      <w:r w:rsidRPr="008B5DA3">
        <w:rPr>
          <w:sz w:val="24"/>
          <w:szCs w:val="24"/>
        </w:rPr>
        <w:t>National Center for Health Statistics. Current</w:t>
      </w:r>
      <w:r>
        <w:rPr>
          <w:sz w:val="24"/>
          <w:szCs w:val="24"/>
        </w:rPr>
        <w:t xml:space="preserve"> </w:t>
      </w:r>
      <w:r w:rsidRPr="008B5DA3">
        <w:rPr>
          <w:sz w:val="24"/>
          <w:szCs w:val="24"/>
        </w:rPr>
        <w:t>estimates from the National Health Interview Survey, 1996. Vital Health Stat 10. 1999 Oct;(200):1-203.</w:t>
      </w:r>
    </w:p>
    <w:p w14:paraId="0A9214F9" w14:textId="77777777" w:rsidR="00F0224C" w:rsidRPr="008B5DA3" w:rsidRDefault="00F0224C" w:rsidP="00F0224C">
      <w:pPr>
        <w:rPr>
          <w:sz w:val="24"/>
          <w:szCs w:val="24"/>
        </w:rPr>
      </w:pPr>
      <w:r>
        <w:rPr>
          <w:sz w:val="24"/>
          <w:szCs w:val="24"/>
        </w:rPr>
        <w:t>13</w:t>
      </w:r>
      <w:r w:rsidRPr="008B5DA3">
        <w:rPr>
          <w:sz w:val="24"/>
          <w:szCs w:val="24"/>
        </w:rPr>
        <w:t xml:space="preserve">. AHRQ (Agency for Healthcare </w:t>
      </w:r>
      <w:proofErr w:type="spellStart"/>
      <w:r w:rsidRPr="008B5DA3">
        <w:rPr>
          <w:sz w:val="24"/>
          <w:szCs w:val="24"/>
        </w:rPr>
        <w:t>Hesearch</w:t>
      </w:r>
      <w:proofErr w:type="spellEnd"/>
      <w:r w:rsidRPr="008B5DA3">
        <w:rPr>
          <w:sz w:val="24"/>
          <w:szCs w:val="24"/>
        </w:rPr>
        <w:t xml:space="preserve"> and Quality). MEPS: Medical Expenditure Panel Survey 2006–2015</w:t>
      </w:r>
      <w:r>
        <w:rPr>
          <w:sz w:val="24"/>
          <w:szCs w:val="24"/>
        </w:rPr>
        <w:t xml:space="preserve"> </w:t>
      </w:r>
      <w:r w:rsidRPr="008B5DA3">
        <w:rPr>
          <w:sz w:val="24"/>
          <w:szCs w:val="24"/>
        </w:rPr>
        <w:t xml:space="preserve">data (2019) </w:t>
      </w:r>
      <w:hyperlink r:id="rId9" w:history="1">
        <w:r w:rsidRPr="00B15897">
          <w:rPr>
            <w:rStyle w:val="Hyperlink"/>
            <w:sz w:val="24"/>
            <w:szCs w:val="24"/>
          </w:rPr>
          <w:t xml:space="preserve">https://meps.ahrq.gov/data stats/download data </w:t>
        </w:r>
        <w:proofErr w:type="spellStart"/>
        <w:r w:rsidRPr="00B15897">
          <w:rPr>
            <w:rStyle w:val="Hyperlink"/>
            <w:sz w:val="24"/>
            <w:szCs w:val="24"/>
          </w:rPr>
          <w:t>files.jsp</w:t>
        </w:r>
        <w:proofErr w:type="spellEnd"/>
      </w:hyperlink>
    </w:p>
    <w:p w14:paraId="213B4144" w14:textId="77777777" w:rsidR="00F0224C" w:rsidRDefault="00F0224C" w:rsidP="00F0224C">
      <w:pPr>
        <w:rPr>
          <w:sz w:val="24"/>
          <w:szCs w:val="24"/>
        </w:rPr>
      </w:pPr>
      <w:r>
        <w:rPr>
          <w:sz w:val="24"/>
          <w:szCs w:val="24"/>
        </w:rPr>
        <w:t>14</w:t>
      </w:r>
      <w:r w:rsidRPr="008B5DA3">
        <w:rPr>
          <w:sz w:val="24"/>
          <w:szCs w:val="24"/>
        </w:rPr>
        <w:t xml:space="preserve">. </w:t>
      </w:r>
      <w:proofErr w:type="spellStart"/>
      <w:r w:rsidRPr="008B5DA3">
        <w:rPr>
          <w:sz w:val="24"/>
          <w:szCs w:val="24"/>
        </w:rPr>
        <w:t>GoodRx</w:t>
      </w:r>
      <w:proofErr w:type="spellEnd"/>
      <w:r w:rsidRPr="008B5DA3">
        <w:rPr>
          <w:sz w:val="24"/>
          <w:szCs w:val="24"/>
        </w:rPr>
        <w:t xml:space="preserve">. (2019) </w:t>
      </w:r>
      <w:hyperlink r:id="rId10" w:history="1">
        <w:r w:rsidRPr="008B5DA3">
          <w:rPr>
            <w:rStyle w:val="Hyperlink"/>
            <w:sz w:val="24"/>
            <w:szCs w:val="24"/>
          </w:rPr>
          <w:t>https://www.goodrx.com</w:t>
        </w:r>
      </w:hyperlink>
    </w:p>
    <w:p w14:paraId="79439901" w14:textId="77777777" w:rsidR="00F0224C" w:rsidRDefault="00F0224C" w:rsidP="00F0224C">
      <w:pPr>
        <w:rPr>
          <w:sz w:val="24"/>
          <w:szCs w:val="24"/>
        </w:rPr>
      </w:pPr>
      <w:r>
        <w:rPr>
          <w:sz w:val="24"/>
          <w:szCs w:val="24"/>
        </w:rPr>
        <w:t>15</w:t>
      </w:r>
      <w:r w:rsidRPr="008B5DA3">
        <w:rPr>
          <w:sz w:val="24"/>
          <w:szCs w:val="24"/>
        </w:rPr>
        <w:t>. Chahine EB, Johnson AN, Costanzo A. Update on the management of pediatric acute otitis media. US Pharm. 39(7), 27–30 (2014).</w:t>
      </w:r>
    </w:p>
    <w:p w14:paraId="3151AA42" w14:textId="77777777" w:rsidR="00F0224C" w:rsidRDefault="00F0224C" w:rsidP="00F0224C">
      <w:pPr>
        <w:rPr>
          <w:sz w:val="24"/>
          <w:szCs w:val="24"/>
        </w:rPr>
      </w:pPr>
      <w:r w:rsidRPr="008B5DA3">
        <w:rPr>
          <w:sz w:val="24"/>
          <w:szCs w:val="24"/>
        </w:rPr>
        <w:t>1</w:t>
      </w:r>
      <w:r>
        <w:rPr>
          <w:sz w:val="24"/>
          <w:szCs w:val="24"/>
        </w:rPr>
        <w:t>6</w:t>
      </w:r>
      <w:r w:rsidRPr="008B5DA3">
        <w:rPr>
          <w:sz w:val="24"/>
          <w:szCs w:val="24"/>
        </w:rPr>
        <w:t xml:space="preserve">. McMahon Wicker A, </w:t>
      </w:r>
      <w:proofErr w:type="spellStart"/>
      <w:r w:rsidRPr="008B5DA3">
        <w:rPr>
          <w:sz w:val="24"/>
          <w:szCs w:val="24"/>
        </w:rPr>
        <w:t>Labruzzo</w:t>
      </w:r>
      <w:proofErr w:type="spellEnd"/>
      <w:r w:rsidRPr="008B5DA3">
        <w:rPr>
          <w:sz w:val="24"/>
          <w:szCs w:val="24"/>
        </w:rPr>
        <w:t xml:space="preserve"> </w:t>
      </w:r>
      <w:proofErr w:type="spellStart"/>
      <w:r w:rsidRPr="008B5DA3">
        <w:rPr>
          <w:sz w:val="24"/>
          <w:szCs w:val="24"/>
        </w:rPr>
        <w:t>Mohundro</w:t>
      </w:r>
      <w:proofErr w:type="spellEnd"/>
      <w:r w:rsidRPr="008B5DA3">
        <w:rPr>
          <w:sz w:val="24"/>
          <w:szCs w:val="24"/>
        </w:rPr>
        <w:t xml:space="preserve"> B. Management of pediatric otitis media. US Pharm. 35(3), 44–49 (2010).</w:t>
      </w:r>
      <w:r>
        <w:rPr>
          <w:sz w:val="24"/>
          <w:szCs w:val="24"/>
        </w:rPr>
        <w:t xml:space="preserve"> </w:t>
      </w:r>
    </w:p>
    <w:p w14:paraId="24FD7939" w14:textId="77777777" w:rsidR="00F0224C" w:rsidRDefault="00F0224C" w:rsidP="00F0224C">
      <w:pPr>
        <w:rPr>
          <w:sz w:val="24"/>
          <w:szCs w:val="24"/>
        </w:rPr>
      </w:pPr>
      <w:r>
        <w:rPr>
          <w:sz w:val="24"/>
          <w:szCs w:val="24"/>
        </w:rPr>
        <w:t>17</w:t>
      </w:r>
      <w:r w:rsidRPr="008B5DA3">
        <w:rPr>
          <w:sz w:val="24"/>
          <w:szCs w:val="24"/>
        </w:rPr>
        <w:t>. TOP (Toward Optimized Practice). Diagnosis and treatment of AOM in children: summary of the Alberta clinical practice guideline for</w:t>
      </w:r>
      <w:r>
        <w:rPr>
          <w:sz w:val="24"/>
          <w:szCs w:val="24"/>
        </w:rPr>
        <w:t xml:space="preserve"> </w:t>
      </w:r>
      <w:r w:rsidRPr="008B5DA3">
        <w:rPr>
          <w:sz w:val="24"/>
          <w:szCs w:val="24"/>
        </w:rPr>
        <w:t>acute otitis media (2008 Update).</w:t>
      </w:r>
    </w:p>
    <w:p w14:paraId="2B2051FB" w14:textId="77777777" w:rsidR="00F0224C" w:rsidRDefault="00F0224C" w:rsidP="00F0224C">
      <w:pPr>
        <w:rPr>
          <w:sz w:val="24"/>
          <w:szCs w:val="24"/>
        </w:rPr>
      </w:pPr>
      <w:r>
        <w:rPr>
          <w:sz w:val="24"/>
          <w:szCs w:val="24"/>
        </w:rPr>
        <w:t>18</w:t>
      </w:r>
      <w:r w:rsidRPr="008B5DA3">
        <w:rPr>
          <w:sz w:val="24"/>
          <w:szCs w:val="24"/>
        </w:rPr>
        <w:t xml:space="preserve">. </w:t>
      </w:r>
      <w:proofErr w:type="spellStart"/>
      <w:r w:rsidRPr="008B5DA3">
        <w:rPr>
          <w:sz w:val="24"/>
          <w:szCs w:val="24"/>
        </w:rPr>
        <w:t>DeMuri</w:t>
      </w:r>
      <w:proofErr w:type="spellEnd"/>
      <w:r w:rsidRPr="008B5DA3">
        <w:rPr>
          <w:sz w:val="24"/>
          <w:szCs w:val="24"/>
        </w:rPr>
        <w:t xml:space="preserve"> GP, Wald ER. Acute bacterial sinusitis in children. N. Engl. J. Med. 367(12), 1128–1134 (2012).</w:t>
      </w:r>
      <w:r>
        <w:rPr>
          <w:sz w:val="24"/>
          <w:szCs w:val="24"/>
        </w:rPr>
        <w:t xml:space="preserve"> </w:t>
      </w:r>
    </w:p>
    <w:p w14:paraId="11F5CE99" w14:textId="77777777" w:rsidR="00F0224C" w:rsidRDefault="00F0224C" w:rsidP="00F0224C">
      <w:pPr>
        <w:rPr>
          <w:sz w:val="24"/>
          <w:szCs w:val="24"/>
        </w:rPr>
      </w:pPr>
      <w:r>
        <w:rPr>
          <w:sz w:val="24"/>
          <w:szCs w:val="24"/>
        </w:rPr>
        <w:t>19</w:t>
      </w:r>
      <w:r w:rsidRPr="008B5DA3">
        <w:rPr>
          <w:sz w:val="24"/>
          <w:szCs w:val="24"/>
        </w:rPr>
        <w:t xml:space="preserve">. </w:t>
      </w:r>
      <w:proofErr w:type="spellStart"/>
      <w:r w:rsidRPr="008B5DA3">
        <w:rPr>
          <w:sz w:val="24"/>
          <w:szCs w:val="24"/>
        </w:rPr>
        <w:t>Contopoulos</w:t>
      </w:r>
      <w:proofErr w:type="spellEnd"/>
      <w:r w:rsidRPr="008B5DA3">
        <w:rPr>
          <w:sz w:val="24"/>
          <w:szCs w:val="24"/>
        </w:rPr>
        <w:t xml:space="preserve">-Ioannidis DG, Ioannidis JPA, Lau J. Acute sinusitis in children: current treatment strategies. </w:t>
      </w:r>
      <w:proofErr w:type="spellStart"/>
      <w:r w:rsidRPr="008B5DA3">
        <w:rPr>
          <w:sz w:val="24"/>
          <w:szCs w:val="24"/>
        </w:rPr>
        <w:t>Pediatr</w:t>
      </w:r>
      <w:proofErr w:type="spellEnd"/>
      <w:r w:rsidRPr="008B5DA3">
        <w:rPr>
          <w:sz w:val="24"/>
          <w:szCs w:val="24"/>
        </w:rPr>
        <w:t>. Drugs 5(2), 71–80</w:t>
      </w:r>
      <w:r>
        <w:rPr>
          <w:sz w:val="24"/>
          <w:szCs w:val="24"/>
        </w:rPr>
        <w:t xml:space="preserve"> </w:t>
      </w:r>
      <w:r w:rsidRPr="008B5DA3">
        <w:rPr>
          <w:sz w:val="24"/>
          <w:szCs w:val="24"/>
        </w:rPr>
        <w:t>(2003).</w:t>
      </w:r>
      <w:r>
        <w:rPr>
          <w:sz w:val="24"/>
          <w:szCs w:val="24"/>
        </w:rPr>
        <w:t xml:space="preserve"> </w:t>
      </w:r>
    </w:p>
    <w:p w14:paraId="1E0370D7" w14:textId="77777777" w:rsidR="00F0224C" w:rsidRDefault="00F0224C" w:rsidP="00F0224C">
      <w:pPr>
        <w:rPr>
          <w:sz w:val="24"/>
          <w:szCs w:val="24"/>
        </w:rPr>
      </w:pPr>
      <w:r>
        <w:rPr>
          <w:sz w:val="24"/>
          <w:szCs w:val="24"/>
        </w:rPr>
        <w:t>20</w:t>
      </w:r>
      <w:r w:rsidRPr="008B5DA3">
        <w:rPr>
          <w:sz w:val="24"/>
          <w:szCs w:val="24"/>
        </w:rPr>
        <w:t xml:space="preserve">. Leung AKC, Kellner JD. Acute sinusitis in children: diagnosis and management. J. </w:t>
      </w:r>
      <w:proofErr w:type="spellStart"/>
      <w:r w:rsidRPr="008B5DA3">
        <w:rPr>
          <w:sz w:val="24"/>
          <w:szCs w:val="24"/>
        </w:rPr>
        <w:t>Pediatr</w:t>
      </w:r>
      <w:proofErr w:type="spellEnd"/>
      <w:r w:rsidRPr="008B5DA3">
        <w:rPr>
          <w:sz w:val="24"/>
          <w:szCs w:val="24"/>
        </w:rPr>
        <w:t>. Heal. Care 18(2), 72–76 (2004).</w:t>
      </w:r>
    </w:p>
    <w:p w14:paraId="050CB6DC" w14:textId="77777777" w:rsidR="00F0224C" w:rsidRDefault="00F0224C" w:rsidP="00F0224C">
      <w:pPr>
        <w:rPr>
          <w:sz w:val="24"/>
          <w:szCs w:val="24"/>
        </w:rPr>
      </w:pPr>
      <w:r>
        <w:rPr>
          <w:sz w:val="24"/>
          <w:szCs w:val="24"/>
        </w:rPr>
        <w:t>21</w:t>
      </w:r>
      <w:r w:rsidRPr="008B5DA3">
        <w:rPr>
          <w:sz w:val="24"/>
          <w:szCs w:val="24"/>
        </w:rPr>
        <w:t xml:space="preserve">. </w:t>
      </w:r>
      <w:proofErr w:type="spellStart"/>
      <w:r w:rsidRPr="008B5DA3">
        <w:rPr>
          <w:sz w:val="24"/>
          <w:szCs w:val="24"/>
        </w:rPr>
        <w:t>Milatovic</w:t>
      </w:r>
      <w:proofErr w:type="spellEnd"/>
      <w:r w:rsidRPr="008B5DA3">
        <w:rPr>
          <w:sz w:val="24"/>
          <w:szCs w:val="24"/>
        </w:rPr>
        <w:t xml:space="preserve"> D, Adam D, Hamilton H, </w:t>
      </w:r>
      <w:proofErr w:type="spellStart"/>
      <w:r w:rsidRPr="008B5DA3">
        <w:rPr>
          <w:sz w:val="24"/>
          <w:szCs w:val="24"/>
        </w:rPr>
        <w:t>Materman</w:t>
      </w:r>
      <w:proofErr w:type="spellEnd"/>
      <w:r w:rsidRPr="008B5DA3">
        <w:rPr>
          <w:sz w:val="24"/>
          <w:szCs w:val="24"/>
        </w:rPr>
        <w:t xml:space="preserve"> E. </w:t>
      </w:r>
      <w:proofErr w:type="spellStart"/>
      <w:r w:rsidRPr="008B5DA3">
        <w:rPr>
          <w:sz w:val="24"/>
          <w:szCs w:val="24"/>
        </w:rPr>
        <w:t>Cefprozil</w:t>
      </w:r>
      <w:proofErr w:type="spellEnd"/>
      <w:r w:rsidRPr="008B5DA3">
        <w:rPr>
          <w:sz w:val="24"/>
          <w:szCs w:val="24"/>
        </w:rPr>
        <w:t xml:space="preserve"> versus penicillin V in treatment of streptococcal tonsillopharyngitis.</w:t>
      </w:r>
      <w:r>
        <w:rPr>
          <w:sz w:val="24"/>
          <w:szCs w:val="24"/>
        </w:rPr>
        <w:t xml:space="preserve"> </w:t>
      </w:r>
      <w:proofErr w:type="spellStart"/>
      <w:r w:rsidRPr="008B5DA3">
        <w:rPr>
          <w:sz w:val="24"/>
          <w:szCs w:val="24"/>
        </w:rPr>
        <w:t>Antimicrob</w:t>
      </w:r>
      <w:proofErr w:type="spellEnd"/>
      <w:r w:rsidRPr="008B5DA3">
        <w:rPr>
          <w:sz w:val="24"/>
          <w:szCs w:val="24"/>
        </w:rPr>
        <w:t>. Agents Chemother. 37(8), 1620–1623 (1993).</w:t>
      </w:r>
      <w:r>
        <w:rPr>
          <w:sz w:val="24"/>
          <w:szCs w:val="24"/>
        </w:rPr>
        <w:t xml:space="preserve"> </w:t>
      </w:r>
    </w:p>
    <w:p w14:paraId="53CFC5BA" w14:textId="77777777" w:rsidR="00F0224C" w:rsidRDefault="00F0224C" w:rsidP="00F0224C">
      <w:pPr>
        <w:rPr>
          <w:sz w:val="24"/>
          <w:szCs w:val="24"/>
        </w:rPr>
      </w:pPr>
      <w:r>
        <w:rPr>
          <w:sz w:val="24"/>
          <w:szCs w:val="24"/>
        </w:rPr>
        <w:t>22</w:t>
      </w:r>
      <w:r w:rsidRPr="008B5DA3">
        <w:rPr>
          <w:sz w:val="24"/>
          <w:szCs w:val="24"/>
        </w:rPr>
        <w:t xml:space="preserve">. </w:t>
      </w:r>
      <w:proofErr w:type="spellStart"/>
      <w:r w:rsidRPr="008B5DA3">
        <w:rPr>
          <w:sz w:val="24"/>
          <w:szCs w:val="24"/>
        </w:rPr>
        <w:t>Syrogiannopoulos</w:t>
      </w:r>
      <w:proofErr w:type="spellEnd"/>
      <w:r w:rsidRPr="008B5DA3">
        <w:rPr>
          <w:sz w:val="24"/>
          <w:szCs w:val="24"/>
        </w:rPr>
        <w:t xml:space="preserve"> GA, </w:t>
      </w:r>
      <w:proofErr w:type="spellStart"/>
      <w:r w:rsidRPr="008B5DA3">
        <w:rPr>
          <w:sz w:val="24"/>
          <w:szCs w:val="24"/>
        </w:rPr>
        <w:t>Bozdogan</w:t>
      </w:r>
      <w:proofErr w:type="spellEnd"/>
      <w:r w:rsidRPr="008B5DA3">
        <w:rPr>
          <w:sz w:val="24"/>
          <w:szCs w:val="24"/>
        </w:rPr>
        <w:t xml:space="preserve"> B, </w:t>
      </w:r>
      <w:proofErr w:type="spellStart"/>
      <w:r w:rsidRPr="008B5DA3">
        <w:rPr>
          <w:sz w:val="24"/>
          <w:szCs w:val="24"/>
        </w:rPr>
        <w:t>Grivea</w:t>
      </w:r>
      <w:proofErr w:type="spellEnd"/>
      <w:r w:rsidRPr="008B5DA3">
        <w:rPr>
          <w:sz w:val="24"/>
          <w:szCs w:val="24"/>
        </w:rPr>
        <w:t xml:space="preserve"> IN et al. Two dosages of clarithromycin for five days, amoxicillin</w:t>
      </w:r>
      <w:r w:rsidRPr="008B5DA3">
        <w:rPr>
          <w:rFonts w:ascii="Arial" w:hAnsi="Arial" w:cs="Arial"/>
          <w:sz w:val="24"/>
          <w:szCs w:val="24"/>
        </w:rPr>
        <w:t>/</w:t>
      </w:r>
      <w:r w:rsidRPr="008B5DA3">
        <w:rPr>
          <w:sz w:val="24"/>
          <w:szCs w:val="24"/>
        </w:rPr>
        <w:t>clavulanate for five days or</w:t>
      </w:r>
      <w:r>
        <w:rPr>
          <w:sz w:val="24"/>
          <w:szCs w:val="24"/>
        </w:rPr>
        <w:t xml:space="preserve"> </w:t>
      </w:r>
      <w:r w:rsidRPr="008B5DA3">
        <w:rPr>
          <w:sz w:val="24"/>
          <w:szCs w:val="24"/>
        </w:rPr>
        <w:t xml:space="preserve">penicillin V for ten days in acute group A streptococcal tonsillopharyngitis. </w:t>
      </w:r>
      <w:proofErr w:type="spellStart"/>
      <w:r w:rsidRPr="008B5DA3">
        <w:rPr>
          <w:sz w:val="24"/>
          <w:szCs w:val="24"/>
        </w:rPr>
        <w:t>Pediatr</w:t>
      </w:r>
      <w:proofErr w:type="spellEnd"/>
      <w:r w:rsidRPr="008B5DA3">
        <w:rPr>
          <w:sz w:val="24"/>
          <w:szCs w:val="24"/>
        </w:rPr>
        <w:t>. Infect. Dis. J. 23(9), 857–865 (2004).</w:t>
      </w:r>
    </w:p>
    <w:p w14:paraId="64E14610" w14:textId="77777777" w:rsidR="00F0224C" w:rsidRDefault="00F0224C" w:rsidP="00F0224C">
      <w:pPr>
        <w:rPr>
          <w:sz w:val="24"/>
          <w:szCs w:val="24"/>
        </w:rPr>
      </w:pPr>
      <w:r>
        <w:rPr>
          <w:sz w:val="24"/>
          <w:szCs w:val="24"/>
        </w:rPr>
        <w:lastRenderedPageBreak/>
        <w:t>23</w:t>
      </w:r>
      <w:r w:rsidRPr="008B5DA3">
        <w:rPr>
          <w:sz w:val="24"/>
          <w:szCs w:val="24"/>
        </w:rPr>
        <w:t xml:space="preserve">. Tack KJ, Henry DC, </w:t>
      </w:r>
      <w:proofErr w:type="spellStart"/>
      <w:r w:rsidRPr="008B5DA3">
        <w:rPr>
          <w:sz w:val="24"/>
          <w:szCs w:val="24"/>
        </w:rPr>
        <w:t>Manford</w:t>
      </w:r>
      <w:proofErr w:type="spellEnd"/>
      <w:r w:rsidRPr="008B5DA3">
        <w:rPr>
          <w:sz w:val="24"/>
          <w:szCs w:val="24"/>
        </w:rPr>
        <w:t xml:space="preserve"> Gooch W et al. Five-day cefdinir treatment for streptococcal pharyngitis. </w:t>
      </w:r>
      <w:proofErr w:type="spellStart"/>
      <w:r w:rsidRPr="008B5DA3">
        <w:rPr>
          <w:sz w:val="24"/>
          <w:szCs w:val="24"/>
        </w:rPr>
        <w:t>Antimicrob</w:t>
      </w:r>
      <w:proofErr w:type="spellEnd"/>
      <w:r w:rsidRPr="008B5DA3">
        <w:rPr>
          <w:sz w:val="24"/>
          <w:szCs w:val="24"/>
        </w:rPr>
        <w:t>. Agents Chemother.</w:t>
      </w:r>
      <w:r>
        <w:rPr>
          <w:sz w:val="24"/>
          <w:szCs w:val="24"/>
        </w:rPr>
        <w:t xml:space="preserve"> </w:t>
      </w:r>
      <w:r w:rsidRPr="008B5DA3">
        <w:rPr>
          <w:sz w:val="24"/>
          <w:szCs w:val="24"/>
        </w:rPr>
        <w:t>42(5), 1073–1075 (1998).</w:t>
      </w:r>
    </w:p>
    <w:p w14:paraId="3149B752" w14:textId="77777777" w:rsidR="00F0224C" w:rsidRDefault="00F0224C" w:rsidP="00F0224C">
      <w:pPr>
        <w:rPr>
          <w:sz w:val="24"/>
          <w:szCs w:val="24"/>
        </w:rPr>
      </w:pPr>
      <w:r>
        <w:rPr>
          <w:sz w:val="24"/>
          <w:szCs w:val="24"/>
        </w:rPr>
        <w:t>24</w:t>
      </w:r>
      <w:r w:rsidRPr="008B5DA3">
        <w:rPr>
          <w:sz w:val="24"/>
          <w:szCs w:val="24"/>
        </w:rPr>
        <w:t>. Chahine EB, Chamoun J, Sucher AJ. Management of streptococcal pharyngitis. US Pharm. 38(7), 51–56 (2013).</w:t>
      </w:r>
      <w:r>
        <w:rPr>
          <w:sz w:val="24"/>
          <w:szCs w:val="24"/>
        </w:rPr>
        <w:t xml:space="preserve"> </w:t>
      </w:r>
    </w:p>
    <w:p w14:paraId="740A80A7" w14:textId="77777777" w:rsidR="00F0224C" w:rsidRDefault="00F0224C" w:rsidP="00F0224C">
      <w:pPr>
        <w:rPr>
          <w:sz w:val="24"/>
          <w:szCs w:val="24"/>
        </w:rPr>
      </w:pPr>
      <w:r>
        <w:rPr>
          <w:sz w:val="24"/>
          <w:szCs w:val="24"/>
        </w:rPr>
        <w:t>25</w:t>
      </w:r>
      <w:r w:rsidRPr="008B5DA3">
        <w:rPr>
          <w:sz w:val="24"/>
          <w:szCs w:val="24"/>
        </w:rPr>
        <w:t xml:space="preserve">. </w:t>
      </w:r>
      <w:proofErr w:type="spellStart"/>
      <w:r w:rsidRPr="008B5DA3">
        <w:rPr>
          <w:sz w:val="24"/>
          <w:szCs w:val="24"/>
        </w:rPr>
        <w:t>Choby</w:t>
      </w:r>
      <w:proofErr w:type="spellEnd"/>
      <w:r w:rsidRPr="008B5DA3">
        <w:rPr>
          <w:sz w:val="24"/>
          <w:szCs w:val="24"/>
        </w:rPr>
        <w:t xml:space="preserve"> BA. Diagnosis and treatment of streptococcal pharyngitis. Am. Fam. Physician 79(5), 383–390 (2009).</w:t>
      </w:r>
      <w:r>
        <w:rPr>
          <w:sz w:val="24"/>
          <w:szCs w:val="24"/>
        </w:rPr>
        <w:t xml:space="preserve"> </w:t>
      </w:r>
    </w:p>
    <w:p w14:paraId="51F68BE4" w14:textId="77777777" w:rsidR="00F0224C" w:rsidRDefault="00F0224C" w:rsidP="00F0224C">
      <w:pPr>
        <w:rPr>
          <w:sz w:val="24"/>
          <w:szCs w:val="24"/>
        </w:rPr>
      </w:pPr>
      <w:r w:rsidRPr="008B5DA3">
        <w:rPr>
          <w:sz w:val="24"/>
          <w:szCs w:val="24"/>
        </w:rPr>
        <w:t>2</w:t>
      </w:r>
      <w:r>
        <w:rPr>
          <w:sz w:val="24"/>
          <w:szCs w:val="24"/>
        </w:rPr>
        <w:t>6</w:t>
      </w:r>
      <w:r w:rsidRPr="008B5DA3">
        <w:rPr>
          <w:sz w:val="24"/>
          <w:szCs w:val="24"/>
        </w:rPr>
        <w:t xml:space="preserve">. Ray KN, Chari AV, Engberg J, </w:t>
      </w:r>
      <w:proofErr w:type="spellStart"/>
      <w:r w:rsidRPr="008B5DA3">
        <w:rPr>
          <w:sz w:val="24"/>
          <w:szCs w:val="24"/>
        </w:rPr>
        <w:t>Bertolet</w:t>
      </w:r>
      <w:proofErr w:type="spellEnd"/>
      <w:r w:rsidRPr="008B5DA3">
        <w:rPr>
          <w:sz w:val="24"/>
          <w:szCs w:val="24"/>
        </w:rPr>
        <w:t xml:space="preserve"> M, Mehrotra A. Opportunity costs of ambulatory medical care in the United States. Am. J.</w:t>
      </w:r>
      <w:r>
        <w:rPr>
          <w:sz w:val="24"/>
          <w:szCs w:val="24"/>
        </w:rPr>
        <w:t xml:space="preserve"> </w:t>
      </w:r>
      <w:proofErr w:type="spellStart"/>
      <w:r w:rsidRPr="008B5DA3">
        <w:rPr>
          <w:sz w:val="24"/>
          <w:szCs w:val="24"/>
        </w:rPr>
        <w:t>Manag</w:t>
      </w:r>
      <w:proofErr w:type="spellEnd"/>
      <w:r w:rsidRPr="008B5DA3">
        <w:rPr>
          <w:sz w:val="24"/>
          <w:szCs w:val="24"/>
        </w:rPr>
        <w:t>. Care 21(8), 567–574 (2015).</w:t>
      </w:r>
    </w:p>
    <w:p w14:paraId="7A61822A" w14:textId="77777777" w:rsidR="00F0224C" w:rsidRDefault="00F0224C" w:rsidP="00F0224C">
      <w:pPr>
        <w:rPr>
          <w:sz w:val="24"/>
          <w:szCs w:val="24"/>
        </w:rPr>
      </w:pPr>
      <w:r w:rsidRPr="008B5DA3">
        <w:rPr>
          <w:sz w:val="24"/>
          <w:szCs w:val="24"/>
        </w:rPr>
        <w:t>2</w:t>
      </w:r>
      <w:r>
        <w:rPr>
          <w:sz w:val="24"/>
          <w:szCs w:val="24"/>
        </w:rPr>
        <w:t>7</w:t>
      </w:r>
      <w:r w:rsidRPr="008B5DA3">
        <w:rPr>
          <w:sz w:val="24"/>
          <w:szCs w:val="24"/>
        </w:rPr>
        <w:t xml:space="preserve">. </w:t>
      </w:r>
      <w:proofErr w:type="spellStart"/>
      <w:r w:rsidRPr="008B5DA3">
        <w:rPr>
          <w:sz w:val="24"/>
          <w:szCs w:val="24"/>
        </w:rPr>
        <w:t>Schmier</w:t>
      </w:r>
      <w:proofErr w:type="spellEnd"/>
      <w:r w:rsidRPr="008B5DA3">
        <w:rPr>
          <w:sz w:val="24"/>
          <w:szCs w:val="24"/>
        </w:rPr>
        <w:t xml:space="preserve"> J, Ogden K, </w:t>
      </w:r>
      <w:proofErr w:type="spellStart"/>
      <w:r w:rsidRPr="008B5DA3">
        <w:rPr>
          <w:sz w:val="24"/>
          <w:szCs w:val="24"/>
        </w:rPr>
        <w:t>Nickman</w:t>
      </w:r>
      <w:proofErr w:type="spellEnd"/>
      <w:r w:rsidRPr="008B5DA3">
        <w:rPr>
          <w:sz w:val="24"/>
          <w:szCs w:val="24"/>
        </w:rPr>
        <w:t xml:space="preserve"> N et al. Costs of providing infusion therapy for rheumatoid arthritis in a hospital-based infusion center</w:t>
      </w:r>
      <w:r>
        <w:rPr>
          <w:sz w:val="24"/>
          <w:szCs w:val="24"/>
        </w:rPr>
        <w:t xml:space="preserve"> </w:t>
      </w:r>
      <w:r w:rsidRPr="008B5DA3">
        <w:rPr>
          <w:sz w:val="24"/>
          <w:szCs w:val="24"/>
        </w:rPr>
        <w:t xml:space="preserve">setting. Clin. </w:t>
      </w:r>
      <w:proofErr w:type="spellStart"/>
      <w:r w:rsidRPr="008B5DA3">
        <w:rPr>
          <w:sz w:val="24"/>
          <w:szCs w:val="24"/>
        </w:rPr>
        <w:t>Ther</w:t>
      </w:r>
      <w:proofErr w:type="spellEnd"/>
      <w:r w:rsidRPr="008B5DA3">
        <w:rPr>
          <w:sz w:val="24"/>
          <w:szCs w:val="24"/>
        </w:rPr>
        <w:t>. 39(8), 1600–1617 (2017).</w:t>
      </w:r>
      <w:r>
        <w:rPr>
          <w:sz w:val="24"/>
          <w:szCs w:val="24"/>
        </w:rPr>
        <w:t xml:space="preserve"> </w:t>
      </w:r>
    </w:p>
    <w:p w14:paraId="09CB8B62" w14:textId="77777777" w:rsidR="00F0224C" w:rsidRDefault="00F0224C" w:rsidP="00F0224C">
      <w:pPr>
        <w:rPr>
          <w:sz w:val="24"/>
          <w:szCs w:val="24"/>
        </w:rPr>
      </w:pPr>
      <w:r>
        <w:rPr>
          <w:sz w:val="24"/>
          <w:szCs w:val="24"/>
        </w:rPr>
        <w:t>28</w:t>
      </w:r>
      <w:r w:rsidRPr="008B5DA3">
        <w:rPr>
          <w:sz w:val="24"/>
          <w:szCs w:val="24"/>
        </w:rPr>
        <w:t>. U.S. Department of Labor Bureau of Labor Statistics. Civilian labor force participation rate, seasonally adjusted total for all months in</w:t>
      </w:r>
      <w:r>
        <w:rPr>
          <w:sz w:val="24"/>
          <w:szCs w:val="24"/>
        </w:rPr>
        <w:t xml:space="preserve"> </w:t>
      </w:r>
      <w:r w:rsidRPr="008B5DA3">
        <w:rPr>
          <w:sz w:val="24"/>
          <w:szCs w:val="24"/>
        </w:rPr>
        <w:t>2018. News release chart (2018</w:t>
      </w:r>
      <w:r>
        <w:rPr>
          <w:sz w:val="24"/>
          <w:szCs w:val="24"/>
        </w:rPr>
        <w:t>a</w:t>
      </w:r>
      <w:r w:rsidRPr="008B5DA3">
        <w:rPr>
          <w:sz w:val="24"/>
          <w:szCs w:val="24"/>
        </w:rPr>
        <w:t>).</w:t>
      </w:r>
    </w:p>
    <w:p w14:paraId="60AEE778" w14:textId="77777777" w:rsidR="00F0224C" w:rsidRDefault="00F0224C" w:rsidP="00F0224C">
      <w:pPr>
        <w:rPr>
          <w:sz w:val="24"/>
          <w:szCs w:val="24"/>
        </w:rPr>
      </w:pPr>
      <w:r w:rsidRPr="008B5DA3">
        <w:rPr>
          <w:sz w:val="24"/>
          <w:szCs w:val="24"/>
        </w:rPr>
        <w:t>2</w:t>
      </w:r>
      <w:r>
        <w:rPr>
          <w:sz w:val="24"/>
          <w:szCs w:val="24"/>
        </w:rPr>
        <w:t>9</w:t>
      </w:r>
      <w:r w:rsidRPr="008B5DA3">
        <w:rPr>
          <w:sz w:val="24"/>
          <w:szCs w:val="24"/>
        </w:rPr>
        <w:t xml:space="preserve">. US Department of Labor Bureau of Labor Statistics. Current Population Survey: Unadjusted median usual weekly earnings, </w:t>
      </w:r>
      <w:proofErr w:type="gramStart"/>
      <w:r w:rsidRPr="008B5DA3">
        <w:rPr>
          <w:sz w:val="24"/>
          <w:szCs w:val="24"/>
        </w:rPr>
        <w:t>Employed</w:t>
      </w:r>
      <w:proofErr w:type="gramEnd"/>
      <w:r>
        <w:rPr>
          <w:sz w:val="24"/>
          <w:szCs w:val="24"/>
        </w:rPr>
        <w:t xml:space="preserve"> </w:t>
      </w:r>
      <w:r w:rsidRPr="008B5DA3">
        <w:rPr>
          <w:sz w:val="24"/>
          <w:szCs w:val="24"/>
        </w:rPr>
        <w:t>full time, Wage and salary workers. BLS Data Viewer</w:t>
      </w:r>
      <w:r>
        <w:rPr>
          <w:sz w:val="24"/>
          <w:szCs w:val="24"/>
        </w:rPr>
        <w:t xml:space="preserve"> </w:t>
      </w:r>
      <w:r w:rsidRPr="008B5DA3">
        <w:rPr>
          <w:sz w:val="24"/>
          <w:szCs w:val="24"/>
        </w:rPr>
        <w:t>Series LEU0252881500 (2018</w:t>
      </w:r>
      <w:r>
        <w:rPr>
          <w:sz w:val="24"/>
          <w:szCs w:val="24"/>
        </w:rPr>
        <w:t>b</w:t>
      </w:r>
      <w:r w:rsidRPr="008B5DA3">
        <w:rPr>
          <w:sz w:val="24"/>
          <w:szCs w:val="24"/>
        </w:rPr>
        <w:t>).</w:t>
      </w:r>
    </w:p>
    <w:p w14:paraId="3B14C464" w14:textId="77777777" w:rsidR="00825B79" w:rsidRDefault="00825B79"/>
    <w:sectPr w:rsidR="00825B79" w:rsidSect="009876DB">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2FA6" w14:textId="77777777" w:rsidR="00433DF3" w:rsidRDefault="00433DF3" w:rsidP="00433DF3">
      <w:pPr>
        <w:spacing w:after="0" w:line="240" w:lineRule="auto"/>
      </w:pPr>
      <w:r>
        <w:separator/>
      </w:r>
    </w:p>
  </w:endnote>
  <w:endnote w:type="continuationSeparator" w:id="0">
    <w:p w14:paraId="56517573" w14:textId="77777777" w:rsidR="00433DF3" w:rsidRDefault="00433DF3" w:rsidP="00433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szCs w:val="20"/>
        <w:lang w:val="en-CA"/>
      </w:rPr>
      <w:id w:val="-1735914736"/>
      <w:docPartObj>
        <w:docPartGallery w:val="Page Numbers (Bottom of Page)"/>
        <w:docPartUnique/>
      </w:docPartObj>
    </w:sdtPr>
    <w:sdtEndPr/>
    <w:sdtContent>
      <w:p w14:paraId="265394C1" w14:textId="0BD4C3C5" w:rsidR="00E91639" w:rsidRPr="00D12DC5" w:rsidRDefault="00A97987" w:rsidP="00F0224C">
        <w:pPr>
          <w:pStyle w:val="Footer"/>
          <w:rPr>
            <w:i/>
            <w:sz w:val="20"/>
            <w:szCs w:val="20"/>
            <w:lang w:val="en-CA"/>
          </w:rPr>
        </w:pPr>
        <w:sdt>
          <w:sdtPr>
            <w:rPr>
              <w:i/>
              <w:sz w:val="20"/>
              <w:szCs w:val="20"/>
              <w:lang w:val="en-CA"/>
            </w:rPr>
            <w:id w:val="-1154839262"/>
            <w:docPartObj>
              <w:docPartGallery w:val="Page Numbers (Bottom of Page)"/>
              <w:docPartUnique/>
            </w:docPartObj>
          </w:sdtPr>
          <w:sdtEndPr/>
          <w:sdtContent>
            <w:r w:rsidR="00F0224C" w:rsidRPr="00F0224C">
              <w:rPr>
                <w:rFonts w:cstheme="minorHAnsi"/>
                <w:sz w:val="20"/>
                <w:szCs w:val="20"/>
              </w:rPr>
              <w:t>10.2217/cer-2021-0064</w:t>
            </w:r>
            <w:r w:rsidR="00F0224C" w:rsidRPr="00F0224C">
              <w:rPr>
                <w:rFonts w:cstheme="minorHAnsi"/>
                <w:sz w:val="20"/>
                <w:szCs w:val="20"/>
              </w:rPr>
              <w:t xml:space="preserve"> </w:t>
            </w:r>
            <w:r w:rsidR="00F0224C" w:rsidRPr="00F0224C">
              <w:rPr>
                <w:rFonts w:cstheme="minorHAnsi"/>
                <w:sz w:val="20"/>
                <w:szCs w:val="20"/>
              </w:rPr>
              <w:tab/>
            </w:r>
            <w:r w:rsidR="00F0224C">
              <w:rPr>
                <w:i/>
                <w:sz w:val="20"/>
                <w:szCs w:val="20"/>
                <w:lang w:val="en-CA"/>
              </w:rPr>
              <w:t xml:space="preserve">                      </w:t>
            </w:r>
            <w:r w:rsidR="00F0224C" w:rsidRPr="00F0224C">
              <w:rPr>
                <w:bCs/>
                <w:i/>
                <w:iCs/>
                <w:sz w:val="20"/>
                <w:szCs w:val="20"/>
              </w:rPr>
              <w:t>Analysis</w:t>
            </w:r>
            <w:r w:rsidR="00F0224C" w:rsidRPr="00F0224C">
              <w:rPr>
                <w:rFonts w:cstheme="minorHAnsi"/>
                <w:bCs/>
                <w:i/>
                <w:iCs/>
                <w:sz w:val="20"/>
                <w:szCs w:val="20"/>
              </w:rPr>
              <w:t xml:space="preserve"> of ARTI Antibiotic Treatment in Children</w:t>
            </w:r>
            <w:r w:rsidR="00F0224C">
              <w:rPr>
                <w:i/>
                <w:sz w:val="20"/>
                <w:szCs w:val="20"/>
                <w:lang w:val="en-CA"/>
              </w:rPr>
              <w:t xml:space="preserve"> Supplementary Material | </w:t>
            </w:r>
            <w:r w:rsidR="00377D8B">
              <w:rPr>
                <w:i/>
                <w:sz w:val="20"/>
                <w:szCs w:val="20"/>
                <w:lang w:val="en-CA"/>
              </w:rPr>
              <w:t>A-</w:t>
            </w:r>
            <w:r w:rsidR="00377D8B" w:rsidRPr="009307C6">
              <w:rPr>
                <w:i/>
                <w:sz w:val="20"/>
                <w:szCs w:val="20"/>
                <w:lang w:val="en-CA"/>
              </w:rPr>
              <w:fldChar w:fldCharType="begin"/>
            </w:r>
            <w:r w:rsidR="00377D8B" w:rsidRPr="009307C6">
              <w:rPr>
                <w:i/>
                <w:sz w:val="20"/>
                <w:szCs w:val="20"/>
                <w:lang w:val="en-CA"/>
              </w:rPr>
              <w:instrText xml:space="preserve"> PAGE   \* MERGEFORMAT </w:instrText>
            </w:r>
            <w:r w:rsidR="00377D8B" w:rsidRPr="009307C6">
              <w:rPr>
                <w:i/>
                <w:sz w:val="20"/>
                <w:szCs w:val="20"/>
                <w:lang w:val="en-CA"/>
              </w:rPr>
              <w:fldChar w:fldCharType="separate"/>
            </w:r>
            <w:r w:rsidR="00377D8B">
              <w:rPr>
                <w:i/>
                <w:sz w:val="20"/>
                <w:szCs w:val="20"/>
                <w:lang w:val="en-CA"/>
              </w:rPr>
              <w:t>4</w:t>
            </w:r>
            <w:r w:rsidR="00377D8B" w:rsidRPr="009307C6">
              <w:rPr>
                <w:i/>
                <w:sz w:val="20"/>
                <w:szCs w:val="20"/>
                <w:lang w:val="en-CA"/>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E47A" w14:textId="77777777" w:rsidR="00433DF3" w:rsidRDefault="00433DF3" w:rsidP="00433DF3">
      <w:pPr>
        <w:spacing w:after="0" w:line="240" w:lineRule="auto"/>
      </w:pPr>
      <w:r>
        <w:separator/>
      </w:r>
    </w:p>
  </w:footnote>
  <w:footnote w:type="continuationSeparator" w:id="0">
    <w:p w14:paraId="6DF328F6" w14:textId="77777777" w:rsidR="00433DF3" w:rsidRDefault="00433DF3" w:rsidP="00433D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D2B"/>
    <w:multiLevelType w:val="multilevel"/>
    <w:tmpl w:val="94F2A9BA"/>
    <w:styleLink w:val="BulletListStyleRed-IPR"/>
    <w:lvl w:ilvl="0">
      <w:start w:val="1"/>
      <w:numFmt w:val="bullet"/>
      <w:pStyle w:val="BulletsRed-IPR"/>
      <w:lvlText w:val=""/>
      <w:lvlJc w:val="left"/>
      <w:pPr>
        <w:ind w:left="720" w:hanging="360"/>
      </w:pPr>
      <w:rPr>
        <w:rFonts w:ascii="Wingdings 3" w:hAnsi="Wingdings 3" w:hint="default"/>
        <w:color w:val="DD2230"/>
      </w:rPr>
    </w:lvl>
    <w:lvl w:ilvl="1">
      <w:start w:val="1"/>
      <w:numFmt w:val="bullet"/>
      <w:pStyle w:val="SubbulletRedLevelTwo"/>
      <w:lvlText w:val="▪"/>
      <w:lvlJc w:val="left"/>
      <w:pPr>
        <w:ind w:left="1080" w:hanging="360"/>
      </w:pPr>
      <w:rPr>
        <w:rFonts w:ascii="Courier New" w:hAnsi="Courier New" w:hint="default"/>
        <w:color w:val="DD2230"/>
      </w:rPr>
    </w:lvl>
    <w:lvl w:ilvl="2">
      <w:start w:val="1"/>
      <w:numFmt w:val="bullet"/>
      <w:pStyle w:val="SubbulletRedLevelThree"/>
      <w:lvlText w:val=""/>
      <w:lvlJc w:val="left"/>
      <w:pPr>
        <w:ind w:left="1440" w:hanging="360"/>
      </w:pPr>
      <w:rPr>
        <w:rFonts w:ascii="Symbol" w:hAnsi="Symbol" w:hint="default"/>
        <w:color w:val="DD223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F916B6B"/>
    <w:multiLevelType w:val="hybridMultilevel"/>
    <w:tmpl w:val="A7F04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81956"/>
    <w:multiLevelType w:val="hybridMultilevel"/>
    <w:tmpl w:val="57107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56CF0"/>
    <w:multiLevelType w:val="hybridMultilevel"/>
    <w:tmpl w:val="3028F6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34D58"/>
    <w:multiLevelType w:val="multilevel"/>
    <w:tmpl w:val="94F2A9BA"/>
    <w:numStyleLink w:val="BulletListStyleRed-IPR"/>
  </w:abstractNum>
  <w:abstractNum w:abstractNumId="5" w15:restartNumberingAfterBreak="0">
    <w:nsid w:val="2D9278A6"/>
    <w:multiLevelType w:val="hybridMultilevel"/>
    <w:tmpl w:val="B1DCE4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AB6C94"/>
    <w:multiLevelType w:val="hybridMultilevel"/>
    <w:tmpl w:val="91284DB8"/>
    <w:lvl w:ilvl="0" w:tplc="714E2042">
      <w:start w:val="1"/>
      <w:numFmt w:val="bullet"/>
      <w:lvlText w:val=""/>
      <w:lvlJc w:val="left"/>
      <w:pPr>
        <w:ind w:left="720" w:hanging="360"/>
      </w:pPr>
      <w:rPr>
        <w:rFonts w:ascii="Wingdings" w:hAnsi="Wingdings" w:hint="default"/>
        <w:color w:val="B127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871C0"/>
    <w:multiLevelType w:val="hybridMultilevel"/>
    <w:tmpl w:val="2440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0626D"/>
    <w:multiLevelType w:val="hybridMultilevel"/>
    <w:tmpl w:val="183E644E"/>
    <w:lvl w:ilvl="0" w:tplc="9F8AE0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646AE"/>
    <w:multiLevelType w:val="hybridMultilevel"/>
    <w:tmpl w:val="7E6E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E74C7"/>
    <w:multiLevelType w:val="hybridMultilevel"/>
    <w:tmpl w:val="A570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F7367"/>
    <w:multiLevelType w:val="hybridMultilevel"/>
    <w:tmpl w:val="F2B84728"/>
    <w:lvl w:ilvl="0" w:tplc="714E2042">
      <w:start w:val="1"/>
      <w:numFmt w:val="bullet"/>
      <w:lvlText w:val=""/>
      <w:lvlJc w:val="left"/>
      <w:pPr>
        <w:ind w:left="720" w:hanging="360"/>
      </w:pPr>
      <w:rPr>
        <w:rFonts w:ascii="Wingdings" w:hAnsi="Wingdings" w:hint="default"/>
        <w:color w:val="B127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64FC8"/>
    <w:multiLevelType w:val="hybridMultilevel"/>
    <w:tmpl w:val="BEDC9BF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CA47D0"/>
    <w:multiLevelType w:val="hybridMultilevel"/>
    <w:tmpl w:val="2F2863CE"/>
    <w:lvl w:ilvl="0" w:tplc="C534FF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BA69DB"/>
    <w:multiLevelType w:val="hybridMultilevel"/>
    <w:tmpl w:val="A51C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EF42E0"/>
    <w:multiLevelType w:val="hybridMultilevel"/>
    <w:tmpl w:val="A57C19AC"/>
    <w:lvl w:ilvl="0" w:tplc="CCE400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12712"/>
    <w:multiLevelType w:val="hybridMultilevel"/>
    <w:tmpl w:val="1FC64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420B0D"/>
    <w:multiLevelType w:val="hybridMultilevel"/>
    <w:tmpl w:val="C31E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A3092"/>
    <w:multiLevelType w:val="hybridMultilevel"/>
    <w:tmpl w:val="3B7C8638"/>
    <w:lvl w:ilvl="0" w:tplc="714E2042">
      <w:start w:val="1"/>
      <w:numFmt w:val="bullet"/>
      <w:lvlText w:val=""/>
      <w:lvlJc w:val="left"/>
      <w:pPr>
        <w:ind w:left="720" w:hanging="360"/>
      </w:pPr>
      <w:rPr>
        <w:rFonts w:ascii="Wingdings" w:hAnsi="Wingdings" w:hint="default"/>
        <w:color w:val="B127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454344"/>
    <w:multiLevelType w:val="hybridMultilevel"/>
    <w:tmpl w:val="D7DA7EDE"/>
    <w:lvl w:ilvl="0" w:tplc="F4BEA1B2">
      <w:start w:val="7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41CC7"/>
    <w:multiLevelType w:val="hybridMultilevel"/>
    <w:tmpl w:val="5F907C5E"/>
    <w:lvl w:ilvl="0" w:tplc="A8B23CF4">
      <w:start w:val="1"/>
      <w:numFmt w:val="decimal"/>
      <w:pStyle w:val="Heading3-IPR"/>
      <w:lvlText w:val="%1."/>
      <w:lvlJc w:val="left"/>
      <w:pPr>
        <w:ind w:left="360" w:hanging="360"/>
      </w:pPr>
      <w:rPr>
        <w:rFonts w:ascii="Candara" w:hAnsi="Candara" w:hint="default"/>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22237F"/>
    <w:multiLevelType w:val="hybridMultilevel"/>
    <w:tmpl w:val="DC705C0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730479"/>
    <w:multiLevelType w:val="hybridMultilevel"/>
    <w:tmpl w:val="96EED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9"/>
  </w:num>
  <w:num w:numId="4">
    <w:abstractNumId w:val="10"/>
  </w:num>
  <w:num w:numId="5">
    <w:abstractNumId w:val="22"/>
  </w:num>
  <w:num w:numId="6">
    <w:abstractNumId w:val="17"/>
  </w:num>
  <w:num w:numId="7">
    <w:abstractNumId w:val="9"/>
  </w:num>
  <w:num w:numId="8">
    <w:abstractNumId w:val="18"/>
  </w:num>
  <w:num w:numId="9">
    <w:abstractNumId w:val="11"/>
  </w:num>
  <w:num w:numId="10">
    <w:abstractNumId w:val="6"/>
  </w:num>
  <w:num w:numId="11">
    <w:abstractNumId w:val="14"/>
  </w:num>
  <w:num w:numId="12">
    <w:abstractNumId w:val="16"/>
  </w:num>
  <w:num w:numId="13">
    <w:abstractNumId w:val="2"/>
  </w:num>
  <w:num w:numId="14">
    <w:abstractNumId w:val="0"/>
  </w:num>
  <w:num w:numId="15">
    <w:abstractNumId w:val="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6">
    <w:abstractNumId w:val="4"/>
    <w:lvlOverride w:ilvl="0">
      <w:lvl w:ilvl="0">
        <w:start w:val="1"/>
        <w:numFmt w:val="bullet"/>
        <w:pStyle w:val="BulletsRed-IPR"/>
        <w:lvlText w:val=""/>
        <w:lvlJc w:val="left"/>
        <w:pPr>
          <w:ind w:left="720" w:hanging="360"/>
        </w:pPr>
        <w:rPr>
          <w:rFonts w:ascii="Wingdings 3" w:hAnsi="Wingdings 3" w:hint="default"/>
          <w:color w:val="B12732"/>
        </w:rPr>
      </w:lvl>
    </w:lvlOverride>
    <w:lvlOverride w:ilvl="1">
      <w:lvl w:ilvl="1">
        <w:start w:val="1"/>
        <w:numFmt w:val="bullet"/>
        <w:pStyle w:val="SubbulletRedLevelTwo"/>
        <w:lvlText w:val="▪"/>
        <w:lvlJc w:val="left"/>
        <w:pPr>
          <w:ind w:left="1080" w:hanging="360"/>
        </w:pPr>
        <w:rPr>
          <w:rFonts w:ascii="Courier New" w:hAnsi="Courier New" w:hint="default"/>
          <w:color w:val="B12732"/>
        </w:rPr>
      </w:lvl>
    </w:lvlOverride>
    <w:lvlOverride w:ilvl="2">
      <w:lvl w:ilvl="2">
        <w:start w:val="1"/>
        <w:numFmt w:val="bullet"/>
        <w:pStyle w:val="SubbulletRedLevelThree"/>
        <w:lvlText w:val=""/>
        <w:lvlJc w:val="left"/>
        <w:pPr>
          <w:ind w:left="1440" w:hanging="360"/>
        </w:pPr>
        <w:rPr>
          <w:rFonts w:ascii="Symbol" w:hAnsi="Symbol" w:hint="default"/>
          <w:color w:val="B12732"/>
        </w:rPr>
      </w:lvl>
    </w:lvlOverride>
  </w:num>
  <w:num w:numId="17">
    <w:abstractNumId w:val="4"/>
  </w:num>
  <w:num w:numId="18">
    <w:abstractNumId w:val="20"/>
  </w:num>
  <w:num w:numId="19">
    <w:abstractNumId w:val="3"/>
  </w:num>
  <w:num w:numId="20">
    <w:abstractNumId w:val="12"/>
  </w:num>
  <w:num w:numId="21">
    <w:abstractNumId w:val="21"/>
  </w:num>
  <w:num w:numId="22">
    <w:abstractNumId w:val="5"/>
  </w:num>
  <w:num w:numId="23">
    <w:abstractNumId w:val="15"/>
  </w:num>
  <w:num w:numId="24">
    <w:abstractNumId w:val="1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F3"/>
    <w:rsid w:val="000679F5"/>
    <w:rsid w:val="0012304F"/>
    <w:rsid w:val="00162BE6"/>
    <w:rsid w:val="00323560"/>
    <w:rsid w:val="0033159A"/>
    <w:rsid w:val="00377D8B"/>
    <w:rsid w:val="00425455"/>
    <w:rsid w:val="00433DF3"/>
    <w:rsid w:val="005227D8"/>
    <w:rsid w:val="007144C8"/>
    <w:rsid w:val="00754085"/>
    <w:rsid w:val="00772EF7"/>
    <w:rsid w:val="00825B79"/>
    <w:rsid w:val="008A252E"/>
    <w:rsid w:val="00A97987"/>
    <w:rsid w:val="00B05C2F"/>
    <w:rsid w:val="00B74851"/>
    <w:rsid w:val="00BC4FB1"/>
    <w:rsid w:val="00C071C3"/>
    <w:rsid w:val="00D036E6"/>
    <w:rsid w:val="00D77411"/>
    <w:rsid w:val="00F0224C"/>
    <w:rsid w:val="00F9740C"/>
    <w:rsid w:val="00FE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12A27"/>
  <w15:chartTrackingRefBased/>
  <w15:docId w15:val="{BC1D5140-53E9-4DF0-BA6C-56427DE8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DF3"/>
    <w:pPr>
      <w:spacing w:after="200" w:line="276" w:lineRule="auto"/>
    </w:pPr>
  </w:style>
  <w:style w:type="paragraph" w:styleId="Heading1">
    <w:name w:val="heading 1"/>
    <w:basedOn w:val="Normal"/>
    <w:next w:val="Normal"/>
    <w:link w:val="Heading1Char"/>
    <w:uiPriority w:val="9"/>
    <w:qFormat/>
    <w:rsid w:val="00433DF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433DF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33D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DF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433DF3"/>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33DF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33D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DF3"/>
    <w:rPr>
      <w:rFonts w:ascii="Tahoma" w:hAnsi="Tahoma" w:cs="Tahoma"/>
      <w:sz w:val="16"/>
      <w:szCs w:val="16"/>
    </w:rPr>
  </w:style>
  <w:style w:type="character" w:styleId="CommentReference">
    <w:name w:val="annotation reference"/>
    <w:basedOn w:val="DefaultParagraphFont"/>
    <w:uiPriority w:val="99"/>
    <w:semiHidden/>
    <w:unhideWhenUsed/>
    <w:rsid w:val="00433DF3"/>
    <w:rPr>
      <w:sz w:val="16"/>
      <w:szCs w:val="16"/>
    </w:rPr>
  </w:style>
  <w:style w:type="paragraph" w:styleId="CommentText">
    <w:name w:val="annotation text"/>
    <w:basedOn w:val="Normal"/>
    <w:link w:val="CommentTextChar"/>
    <w:uiPriority w:val="99"/>
    <w:unhideWhenUsed/>
    <w:rsid w:val="00433DF3"/>
    <w:pPr>
      <w:spacing w:line="240" w:lineRule="auto"/>
    </w:pPr>
    <w:rPr>
      <w:sz w:val="20"/>
      <w:szCs w:val="20"/>
    </w:rPr>
  </w:style>
  <w:style w:type="character" w:customStyle="1" w:styleId="CommentTextChar">
    <w:name w:val="Comment Text Char"/>
    <w:basedOn w:val="DefaultParagraphFont"/>
    <w:link w:val="CommentText"/>
    <w:uiPriority w:val="99"/>
    <w:rsid w:val="00433DF3"/>
    <w:rPr>
      <w:sz w:val="20"/>
      <w:szCs w:val="20"/>
    </w:rPr>
  </w:style>
  <w:style w:type="paragraph" w:styleId="CommentSubject">
    <w:name w:val="annotation subject"/>
    <w:basedOn w:val="CommentText"/>
    <w:next w:val="CommentText"/>
    <w:link w:val="CommentSubjectChar"/>
    <w:uiPriority w:val="99"/>
    <w:semiHidden/>
    <w:unhideWhenUsed/>
    <w:rsid w:val="00433DF3"/>
    <w:rPr>
      <w:b/>
      <w:bCs/>
    </w:rPr>
  </w:style>
  <w:style w:type="character" w:customStyle="1" w:styleId="CommentSubjectChar">
    <w:name w:val="Comment Subject Char"/>
    <w:basedOn w:val="CommentTextChar"/>
    <w:link w:val="CommentSubject"/>
    <w:uiPriority w:val="99"/>
    <w:semiHidden/>
    <w:rsid w:val="00433DF3"/>
    <w:rPr>
      <w:b/>
      <w:bCs/>
      <w:sz w:val="20"/>
      <w:szCs w:val="20"/>
    </w:rPr>
  </w:style>
  <w:style w:type="paragraph" w:customStyle="1" w:styleId="Heading1-IPR">
    <w:name w:val="Heading1-IPR"/>
    <w:link w:val="Heading1-IPRChar"/>
    <w:qFormat/>
    <w:rsid w:val="00433DF3"/>
    <w:pPr>
      <w:keepNext/>
      <w:pageBreakBefore/>
      <w:pBdr>
        <w:bottom w:val="single" w:sz="12" w:space="1" w:color="6C7066"/>
      </w:pBdr>
      <w:spacing w:after="240" w:line="240" w:lineRule="auto"/>
      <w:jc w:val="center"/>
      <w:outlineLvl w:val="0"/>
    </w:pPr>
    <w:rPr>
      <w:rFonts w:ascii="Candara" w:eastAsiaTheme="majorEastAsia" w:hAnsi="Candara" w:cstheme="majorBidi"/>
      <w:b/>
      <w:bCs/>
      <w:color w:val="B12732"/>
      <w:sz w:val="36"/>
      <w:szCs w:val="36"/>
    </w:rPr>
  </w:style>
  <w:style w:type="character" w:customStyle="1" w:styleId="Heading1-IPRChar">
    <w:name w:val="Heading1-IPR Char"/>
    <w:basedOn w:val="Heading1Char"/>
    <w:link w:val="Heading1-IPR"/>
    <w:rsid w:val="00433DF3"/>
    <w:rPr>
      <w:rFonts w:ascii="Candara" w:eastAsiaTheme="majorEastAsia" w:hAnsi="Candara" w:cstheme="majorBidi"/>
      <w:b/>
      <w:bCs/>
      <w:color w:val="B12732"/>
      <w:sz w:val="36"/>
      <w:szCs w:val="36"/>
    </w:rPr>
  </w:style>
  <w:style w:type="paragraph" w:customStyle="1" w:styleId="TableText-IPR">
    <w:name w:val="TableText-IPR"/>
    <w:link w:val="TableText-IPRChar"/>
    <w:qFormat/>
    <w:rsid w:val="00433DF3"/>
    <w:pPr>
      <w:spacing w:after="0" w:line="240" w:lineRule="auto"/>
    </w:pPr>
    <w:rPr>
      <w:rFonts w:ascii="Calibri" w:eastAsiaTheme="minorEastAsia" w:hAnsi="Calibri" w:cs="Times New Roman"/>
      <w:sz w:val="20"/>
      <w:szCs w:val="20"/>
    </w:rPr>
  </w:style>
  <w:style w:type="character" w:customStyle="1" w:styleId="TableText-IPRChar">
    <w:name w:val="TableText-IPR Char"/>
    <w:basedOn w:val="DefaultParagraphFont"/>
    <w:link w:val="TableText-IPR"/>
    <w:rsid w:val="00433DF3"/>
    <w:rPr>
      <w:rFonts w:ascii="Calibri" w:eastAsiaTheme="minorEastAsia" w:hAnsi="Calibri" w:cs="Times New Roman"/>
      <w:sz w:val="20"/>
      <w:szCs w:val="20"/>
    </w:rPr>
  </w:style>
  <w:style w:type="table" w:customStyle="1" w:styleId="InsightTable">
    <w:name w:val="Insight Table"/>
    <w:basedOn w:val="TableNormal"/>
    <w:uiPriority w:val="99"/>
    <w:rsid w:val="00433DF3"/>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Malgun Gothic" w:hAnsi="Malgun Gothic"/>
        <w:sz w:val="20"/>
      </w:rPr>
      <w:tblPr/>
      <w:tcPr>
        <w:tcBorders>
          <w:top w:val="single" w:sz="8" w:space="0" w:color="B12732"/>
          <w:left w:val="nil"/>
          <w:bottom w:val="single" w:sz="8" w:space="0" w:color="B12732"/>
          <w:right w:val="nil"/>
          <w:insideH w:val="nil"/>
          <w:insideV w:val="nil"/>
          <w:tl2br w:val="nil"/>
          <w:tr2bl w:val="nil"/>
        </w:tcBorders>
      </w:tcPr>
    </w:tblStylePr>
  </w:style>
  <w:style w:type="paragraph" w:customStyle="1" w:styleId="TableHeaderRow-IPR">
    <w:name w:val="TableHeaderRow-IPR"/>
    <w:link w:val="TableHeaderRow-IPRChar"/>
    <w:qFormat/>
    <w:rsid w:val="00433DF3"/>
    <w:pPr>
      <w:spacing w:after="0" w:line="240" w:lineRule="auto"/>
      <w:jc w:val="center"/>
    </w:pPr>
    <w:rPr>
      <w:rFonts w:ascii="Lucida Sans" w:eastAsia="Times New Roman" w:hAnsi="Lucida Sans" w:cs="Lucida Sans Unicode"/>
      <w:b/>
      <w:sz w:val="18"/>
      <w:szCs w:val="24"/>
    </w:rPr>
  </w:style>
  <w:style w:type="character" w:customStyle="1" w:styleId="TableHeaderRow-IPRChar">
    <w:name w:val="TableHeaderRow-IPR Char"/>
    <w:basedOn w:val="DefaultParagraphFont"/>
    <w:link w:val="TableHeaderRow-IPR"/>
    <w:rsid w:val="00433DF3"/>
    <w:rPr>
      <w:rFonts w:ascii="Lucida Sans" w:eastAsia="Times New Roman" w:hAnsi="Lucida Sans" w:cs="Lucida Sans Unicode"/>
      <w:b/>
      <w:sz w:val="18"/>
      <w:szCs w:val="24"/>
    </w:rPr>
  </w:style>
  <w:style w:type="paragraph" w:customStyle="1" w:styleId="TableTitle-IPR">
    <w:name w:val="TableTitle-IPR"/>
    <w:link w:val="TableTitle-IPRChar"/>
    <w:qFormat/>
    <w:rsid w:val="00433DF3"/>
    <w:pPr>
      <w:keepNext/>
      <w:spacing w:after="120" w:line="240" w:lineRule="auto"/>
    </w:pPr>
    <w:rPr>
      <w:rFonts w:ascii="Calibri" w:eastAsia="Times New Roman" w:hAnsi="Calibri" w:cs="Times New Roman"/>
      <w:b/>
      <w:i/>
      <w:szCs w:val="24"/>
    </w:rPr>
  </w:style>
  <w:style w:type="character" w:customStyle="1" w:styleId="TableTitle-IPRChar">
    <w:name w:val="TableTitle-IPR Char"/>
    <w:basedOn w:val="DefaultParagraphFont"/>
    <w:link w:val="TableTitle-IPR"/>
    <w:rsid w:val="00433DF3"/>
    <w:rPr>
      <w:rFonts w:ascii="Calibri" w:eastAsia="Times New Roman" w:hAnsi="Calibri" w:cs="Times New Roman"/>
      <w:b/>
      <w:i/>
      <w:szCs w:val="24"/>
    </w:rPr>
  </w:style>
  <w:style w:type="paragraph" w:customStyle="1" w:styleId="Heading4NoLetter-IPR">
    <w:name w:val="Heading4NoLetter-IPR"/>
    <w:link w:val="Heading4NoLetter-IPRChar"/>
    <w:qFormat/>
    <w:rsid w:val="00433DF3"/>
    <w:pPr>
      <w:keepNext/>
      <w:spacing w:after="240" w:line="240" w:lineRule="auto"/>
    </w:pPr>
    <w:rPr>
      <w:rFonts w:ascii="Candara" w:hAnsi="Candara"/>
      <w:b/>
      <w:i/>
      <w:color w:val="B12732"/>
    </w:rPr>
  </w:style>
  <w:style w:type="paragraph" w:customStyle="1" w:styleId="BodyText-IPR">
    <w:name w:val="BodyText-IPR"/>
    <w:link w:val="BodyText-IPRChar"/>
    <w:qFormat/>
    <w:rsid w:val="00433DF3"/>
    <w:pPr>
      <w:spacing w:after="240" w:line="240" w:lineRule="auto"/>
    </w:pPr>
    <w:rPr>
      <w:rFonts w:ascii="Calibri" w:hAnsi="Calibri"/>
    </w:rPr>
  </w:style>
  <w:style w:type="character" w:customStyle="1" w:styleId="BodyText-IPRChar">
    <w:name w:val="BodyText-IPR Char"/>
    <w:basedOn w:val="DefaultParagraphFont"/>
    <w:link w:val="BodyText-IPR"/>
    <w:rsid w:val="00433DF3"/>
    <w:rPr>
      <w:rFonts w:ascii="Calibri" w:hAnsi="Calibri"/>
    </w:rPr>
  </w:style>
  <w:style w:type="character" w:customStyle="1" w:styleId="Heading4NoLetter-IPRChar">
    <w:name w:val="Heading4NoLetter-IPR Char"/>
    <w:basedOn w:val="DefaultParagraphFont"/>
    <w:link w:val="Heading4NoLetter-IPR"/>
    <w:rsid w:val="00433DF3"/>
    <w:rPr>
      <w:rFonts w:ascii="Candara" w:hAnsi="Candara"/>
      <w:b/>
      <w:i/>
      <w:color w:val="B12732"/>
    </w:rPr>
  </w:style>
  <w:style w:type="paragraph" w:customStyle="1" w:styleId="FigureTitle-IPR">
    <w:name w:val="FigureTitle-IPR"/>
    <w:link w:val="FigureTitle-IPRChar"/>
    <w:qFormat/>
    <w:rsid w:val="00433DF3"/>
    <w:pPr>
      <w:keepNext/>
      <w:spacing w:after="120" w:line="240" w:lineRule="auto"/>
    </w:pPr>
    <w:rPr>
      <w:rFonts w:ascii="Calibri" w:eastAsia="Times New Roman" w:hAnsi="Calibri" w:cs="Times New Roman"/>
      <w:b/>
      <w:i/>
      <w:szCs w:val="24"/>
    </w:rPr>
  </w:style>
  <w:style w:type="character" w:customStyle="1" w:styleId="FigureTitle-IPRChar">
    <w:name w:val="FigureTitle-IPR Char"/>
    <w:basedOn w:val="DefaultParagraphFont"/>
    <w:link w:val="FigureTitle-IPR"/>
    <w:rsid w:val="00433DF3"/>
    <w:rPr>
      <w:rFonts w:ascii="Calibri" w:eastAsia="Times New Roman" w:hAnsi="Calibri" w:cs="Times New Roman"/>
      <w:b/>
      <w:i/>
      <w:szCs w:val="24"/>
    </w:rPr>
  </w:style>
  <w:style w:type="paragraph" w:styleId="Revision">
    <w:name w:val="Revision"/>
    <w:hidden/>
    <w:uiPriority w:val="99"/>
    <w:semiHidden/>
    <w:rsid w:val="00433DF3"/>
    <w:pPr>
      <w:spacing w:after="0" w:line="240" w:lineRule="auto"/>
    </w:pPr>
  </w:style>
  <w:style w:type="table" w:styleId="TableGrid">
    <w:name w:val="Table Grid"/>
    <w:basedOn w:val="TableNormal"/>
    <w:uiPriority w:val="39"/>
    <w:rsid w:val="0043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DF3"/>
    <w:pPr>
      <w:ind w:left="720"/>
      <w:contextualSpacing/>
    </w:pPr>
  </w:style>
  <w:style w:type="character" w:styleId="Hyperlink">
    <w:name w:val="Hyperlink"/>
    <w:basedOn w:val="DefaultParagraphFont"/>
    <w:uiPriority w:val="99"/>
    <w:unhideWhenUsed/>
    <w:rsid w:val="00433DF3"/>
    <w:rPr>
      <w:color w:val="0000FF"/>
      <w:u w:val="single"/>
    </w:rPr>
  </w:style>
  <w:style w:type="character" w:styleId="BookTitle">
    <w:name w:val="Book Title"/>
    <w:uiPriority w:val="33"/>
    <w:qFormat/>
    <w:rsid w:val="00433DF3"/>
    <w:rPr>
      <w:rFonts w:asciiTheme="minorHAnsi" w:hAnsiTheme="minorHAnsi"/>
      <w:color w:val="auto"/>
      <w:sz w:val="22"/>
      <w:szCs w:val="22"/>
    </w:rPr>
  </w:style>
  <w:style w:type="paragraph" w:styleId="FootnoteText">
    <w:name w:val="footnote text"/>
    <w:basedOn w:val="Normal"/>
    <w:link w:val="FootnoteTextChar"/>
    <w:uiPriority w:val="99"/>
    <w:unhideWhenUsed/>
    <w:rsid w:val="00433DF3"/>
    <w:pPr>
      <w:spacing w:after="0" w:line="240" w:lineRule="auto"/>
    </w:pPr>
    <w:rPr>
      <w:sz w:val="20"/>
      <w:szCs w:val="20"/>
    </w:rPr>
  </w:style>
  <w:style w:type="character" w:customStyle="1" w:styleId="FootnoteTextChar">
    <w:name w:val="Footnote Text Char"/>
    <w:basedOn w:val="DefaultParagraphFont"/>
    <w:link w:val="FootnoteText"/>
    <w:uiPriority w:val="99"/>
    <w:rsid w:val="00433DF3"/>
    <w:rPr>
      <w:sz w:val="20"/>
      <w:szCs w:val="20"/>
    </w:rPr>
  </w:style>
  <w:style w:type="character" w:styleId="FootnoteReference">
    <w:name w:val="footnote reference"/>
    <w:basedOn w:val="DefaultParagraphFont"/>
    <w:uiPriority w:val="99"/>
    <w:semiHidden/>
    <w:unhideWhenUsed/>
    <w:rsid w:val="00433DF3"/>
    <w:rPr>
      <w:vertAlign w:val="superscript"/>
    </w:rPr>
  </w:style>
  <w:style w:type="character" w:styleId="FollowedHyperlink">
    <w:name w:val="FollowedHyperlink"/>
    <w:basedOn w:val="DefaultParagraphFont"/>
    <w:uiPriority w:val="99"/>
    <w:semiHidden/>
    <w:unhideWhenUsed/>
    <w:rsid w:val="00433DF3"/>
    <w:rPr>
      <w:color w:val="954F72" w:themeColor="followedHyperlink"/>
      <w:u w:val="single"/>
    </w:rPr>
  </w:style>
  <w:style w:type="paragraph" w:customStyle="1" w:styleId="FooterRedInsight-IPR">
    <w:name w:val="FooterRedInsight-IPR"/>
    <w:basedOn w:val="Normal"/>
    <w:link w:val="FooterRedInsight-IPRChar"/>
    <w:rsid w:val="00433DF3"/>
    <w:pPr>
      <w:pBdr>
        <w:top w:val="single" w:sz="8" w:space="1" w:color="B12732"/>
      </w:pBdr>
      <w:tabs>
        <w:tab w:val="right" w:pos="9360"/>
      </w:tabs>
      <w:spacing w:after="0" w:line="240" w:lineRule="auto"/>
    </w:pPr>
    <w:rPr>
      <w:i/>
      <w:color w:val="B12732"/>
      <w:sz w:val="20"/>
    </w:rPr>
  </w:style>
  <w:style w:type="character" w:customStyle="1" w:styleId="FooterRedInsight-IPRChar">
    <w:name w:val="FooterRedInsight-IPR Char"/>
    <w:basedOn w:val="DefaultParagraphFont"/>
    <w:link w:val="FooterRedInsight-IPR"/>
    <w:rsid w:val="00433DF3"/>
    <w:rPr>
      <w:i/>
      <w:color w:val="B12732"/>
      <w:sz w:val="20"/>
    </w:rPr>
  </w:style>
  <w:style w:type="paragraph" w:customStyle="1" w:styleId="FooterTitle-IPR">
    <w:name w:val="FooterTitle-IPR"/>
    <w:basedOn w:val="Normal"/>
    <w:link w:val="FooterTitle-IPRChar"/>
    <w:rsid w:val="00433DF3"/>
    <w:pPr>
      <w:pBdr>
        <w:top w:val="single" w:sz="8" w:space="1" w:color="B12732"/>
      </w:pBdr>
      <w:tabs>
        <w:tab w:val="right" w:pos="9360"/>
      </w:tabs>
      <w:spacing w:after="0" w:line="240" w:lineRule="auto"/>
    </w:pPr>
    <w:rPr>
      <w:i/>
      <w:sz w:val="20"/>
    </w:rPr>
  </w:style>
  <w:style w:type="character" w:customStyle="1" w:styleId="FooterTitle-IPRChar">
    <w:name w:val="FooterTitle-IPR Char"/>
    <w:basedOn w:val="DefaultParagraphFont"/>
    <w:link w:val="FooterTitle-IPR"/>
    <w:rsid w:val="00433DF3"/>
    <w:rPr>
      <w:i/>
      <w:sz w:val="20"/>
    </w:rPr>
  </w:style>
  <w:style w:type="paragraph" w:styleId="TOC1">
    <w:name w:val="toc 1"/>
    <w:basedOn w:val="Normal"/>
    <w:next w:val="Normal"/>
    <w:autoRedefine/>
    <w:uiPriority w:val="39"/>
    <w:unhideWhenUsed/>
    <w:rsid w:val="00433DF3"/>
    <w:pPr>
      <w:spacing w:after="100"/>
    </w:pPr>
  </w:style>
  <w:style w:type="paragraph" w:styleId="TableofFigures">
    <w:name w:val="table of figures"/>
    <w:basedOn w:val="Normal"/>
    <w:next w:val="Normal"/>
    <w:uiPriority w:val="99"/>
    <w:unhideWhenUsed/>
    <w:rsid w:val="00433DF3"/>
    <w:pPr>
      <w:spacing w:after="0"/>
    </w:pPr>
  </w:style>
  <w:style w:type="character" w:customStyle="1" w:styleId="UnresolvedMention1">
    <w:name w:val="Unresolved Mention1"/>
    <w:basedOn w:val="DefaultParagraphFont"/>
    <w:uiPriority w:val="99"/>
    <w:semiHidden/>
    <w:unhideWhenUsed/>
    <w:rsid w:val="00433DF3"/>
    <w:rPr>
      <w:color w:val="605E5C"/>
      <w:shd w:val="clear" w:color="auto" w:fill="E1DFDD"/>
    </w:rPr>
  </w:style>
  <w:style w:type="paragraph" w:styleId="EndnoteText">
    <w:name w:val="endnote text"/>
    <w:basedOn w:val="Normal"/>
    <w:link w:val="EndnoteTextChar"/>
    <w:uiPriority w:val="99"/>
    <w:semiHidden/>
    <w:unhideWhenUsed/>
    <w:rsid w:val="00433D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3DF3"/>
    <w:rPr>
      <w:sz w:val="20"/>
      <w:szCs w:val="20"/>
    </w:rPr>
  </w:style>
  <w:style w:type="character" w:styleId="EndnoteReference">
    <w:name w:val="endnote reference"/>
    <w:basedOn w:val="DefaultParagraphFont"/>
    <w:uiPriority w:val="99"/>
    <w:semiHidden/>
    <w:unhideWhenUsed/>
    <w:rsid w:val="00433DF3"/>
    <w:rPr>
      <w:vertAlign w:val="superscript"/>
    </w:rPr>
  </w:style>
  <w:style w:type="paragraph" w:styleId="Header">
    <w:name w:val="header"/>
    <w:basedOn w:val="Normal"/>
    <w:link w:val="HeaderChar"/>
    <w:uiPriority w:val="99"/>
    <w:unhideWhenUsed/>
    <w:rsid w:val="00433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DF3"/>
  </w:style>
  <w:style w:type="paragraph" w:styleId="Footer">
    <w:name w:val="footer"/>
    <w:basedOn w:val="Normal"/>
    <w:link w:val="FooterChar"/>
    <w:uiPriority w:val="99"/>
    <w:unhideWhenUsed/>
    <w:rsid w:val="00433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DF3"/>
  </w:style>
  <w:style w:type="paragraph" w:customStyle="1" w:styleId="References-IPR">
    <w:name w:val="References-IPR"/>
    <w:link w:val="References-IPRChar"/>
    <w:qFormat/>
    <w:rsid w:val="00433DF3"/>
    <w:pPr>
      <w:spacing w:after="240" w:line="240" w:lineRule="auto"/>
      <w:ind w:left="288" w:hanging="288"/>
    </w:pPr>
    <w:rPr>
      <w:rFonts w:ascii="Calibri" w:eastAsia="Times New Roman" w:hAnsi="Calibri" w:cs="Times New Roman"/>
    </w:rPr>
  </w:style>
  <w:style w:type="character" w:customStyle="1" w:styleId="References-IPRChar">
    <w:name w:val="References-IPR Char"/>
    <w:basedOn w:val="DefaultParagraphFont"/>
    <w:link w:val="References-IPR"/>
    <w:rsid w:val="00433DF3"/>
    <w:rPr>
      <w:rFonts w:ascii="Calibri" w:eastAsia="Times New Roman" w:hAnsi="Calibri" w:cs="Times New Roman"/>
    </w:rPr>
  </w:style>
  <w:style w:type="paragraph" w:customStyle="1" w:styleId="AppTableTitle-IPR">
    <w:name w:val="AppTableTitle-IPR"/>
    <w:basedOn w:val="TableTitle-IPR"/>
    <w:link w:val="AppTableTitle-IPRChar"/>
    <w:qFormat/>
    <w:rsid w:val="00433DF3"/>
  </w:style>
  <w:style w:type="paragraph" w:customStyle="1" w:styleId="FtnteTable-IPR">
    <w:name w:val="FtnteTable-IPR"/>
    <w:link w:val="FtnteTable-IPRChar"/>
    <w:rsid w:val="00433DF3"/>
    <w:pPr>
      <w:spacing w:before="60" w:after="0" w:line="240" w:lineRule="auto"/>
      <w:contextualSpacing/>
    </w:pPr>
    <w:rPr>
      <w:rFonts w:ascii="Calibri" w:eastAsia="Calibri" w:hAnsi="Calibri" w:cs="Calibri"/>
      <w:sz w:val="18"/>
      <w:szCs w:val="20"/>
    </w:rPr>
  </w:style>
  <w:style w:type="character" w:customStyle="1" w:styleId="AppTableTitle-IPRChar">
    <w:name w:val="AppTableTitle-IPR Char"/>
    <w:basedOn w:val="TableTitle-IPRChar"/>
    <w:link w:val="AppTableTitle-IPR"/>
    <w:rsid w:val="00433DF3"/>
    <w:rPr>
      <w:rFonts w:ascii="Calibri" w:eastAsia="Times New Roman" w:hAnsi="Calibri" w:cs="Times New Roman"/>
      <w:b/>
      <w:i/>
      <w:szCs w:val="24"/>
    </w:rPr>
  </w:style>
  <w:style w:type="character" w:customStyle="1" w:styleId="FtnteTable-IPRChar">
    <w:name w:val="FtnteTable-IPR Char"/>
    <w:basedOn w:val="DefaultParagraphFont"/>
    <w:link w:val="FtnteTable-IPR"/>
    <w:rsid w:val="00433DF3"/>
    <w:rPr>
      <w:rFonts w:ascii="Calibri" w:eastAsia="Calibri" w:hAnsi="Calibri" w:cs="Calibri"/>
      <w:sz w:val="18"/>
      <w:szCs w:val="20"/>
    </w:rPr>
  </w:style>
  <w:style w:type="table" w:customStyle="1" w:styleId="InsightTable1">
    <w:name w:val="Insight Table1"/>
    <w:basedOn w:val="TableNormal"/>
    <w:uiPriority w:val="99"/>
    <w:rsid w:val="00433DF3"/>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Malgun Gothic" w:hAnsi="Malgun Gothic"/>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2">
    <w:name w:val="Insight Table2"/>
    <w:basedOn w:val="TableNormal"/>
    <w:uiPriority w:val="99"/>
    <w:rsid w:val="00433DF3"/>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Malgun Gothic" w:hAnsi="Malgun Gothic"/>
        <w:sz w:val="20"/>
      </w:rPr>
      <w:tblPr/>
      <w:tcPr>
        <w:tcBorders>
          <w:top w:val="single" w:sz="8" w:space="0" w:color="B12732"/>
          <w:left w:val="nil"/>
          <w:bottom w:val="single" w:sz="8" w:space="0" w:color="B12732"/>
          <w:right w:val="nil"/>
          <w:insideH w:val="nil"/>
          <w:insideV w:val="nil"/>
          <w:tl2br w:val="nil"/>
          <w:tr2bl w:val="nil"/>
        </w:tcBorders>
      </w:tcPr>
    </w:tblStylePr>
  </w:style>
  <w:style w:type="table" w:customStyle="1" w:styleId="InsightTable3">
    <w:name w:val="Insight Table3"/>
    <w:basedOn w:val="TableNormal"/>
    <w:uiPriority w:val="99"/>
    <w:rsid w:val="00433DF3"/>
    <w:pPr>
      <w:spacing w:after="0" w:line="240" w:lineRule="auto"/>
    </w:pPr>
    <w:rPr>
      <w:rFonts w:ascii="Calibri" w:hAnsi="Calibri" w:cs="Times New Roman"/>
      <w:sz w:val="20"/>
    </w:rPr>
    <w:tblPr>
      <w:tblInd w:w="58" w:type="dxa"/>
      <w:tblBorders>
        <w:top w:val="single" w:sz="8" w:space="0" w:color="DD2230"/>
        <w:bottom w:val="single" w:sz="18" w:space="0" w:color="6C7066"/>
        <w:insideH w:val="single" w:sz="4" w:space="0" w:color="A6A6A6" w:themeColor="background1" w:themeShade="A6"/>
        <w:insideV w:val="single" w:sz="4" w:space="0" w:color="A6A6A6" w:themeColor="background1" w:themeShade="A6"/>
      </w:tblBorders>
    </w:tblPr>
    <w:tcPr>
      <w:tcMar>
        <w:left w:w="58" w:type="dxa"/>
        <w:right w:w="58" w:type="dxa"/>
      </w:tcMar>
      <w:vAlign w:val="center"/>
    </w:tcPr>
    <w:tblStylePr w:type="firstRow">
      <w:pPr>
        <w:jc w:val="center"/>
      </w:pPr>
      <w:rPr>
        <w:rFonts w:ascii="Malgun Gothic" w:hAnsi="Malgun Gothic"/>
        <w:sz w:val="20"/>
      </w:rPr>
      <w:tblPr/>
      <w:tcPr>
        <w:tcBorders>
          <w:top w:val="single" w:sz="8" w:space="0" w:color="B12732"/>
          <w:left w:val="nil"/>
          <w:bottom w:val="single" w:sz="8" w:space="0" w:color="B12732"/>
          <w:right w:val="nil"/>
          <w:insideH w:val="nil"/>
          <w:insideV w:val="nil"/>
          <w:tl2br w:val="nil"/>
          <w:tr2bl w:val="nil"/>
        </w:tcBorders>
      </w:tcPr>
    </w:tblStylePr>
  </w:style>
  <w:style w:type="character" w:customStyle="1" w:styleId="UnresolvedMention2">
    <w:name w:val="Unresolved Mention2"/>
    <w:basedOn w:val="DefaultParagraphFont"/>
    <w:uiPriority w:val="99"/>
    <w:semiHidden/>
    <w:unhideWhenUsed/>
    <w:rsid w:val="00433DF3"/>
    <w:rPr>
      <w:color w:val="605E5C"/>
      <w:shd w:val="clear" w:color="auto" w:fill="E1DFDD"/>
    </w:rPr>
  </w:style>
  <w:style w:type="character" w:customStyle="1" w:styleId="UnresolvedMention3">
    <w:name w:val="Unresolved Mention3"/>
    <w:basedOn w:val="DefaultParagraphFont"/>
    <w:uiPriority w:val="99"/>
    <w:unhideWhenUsed/>
    <w:rsid w:val="00433DF3"/>
    <w:rPr>
      <w:color w:val="605E5C"/>
      <w:shd w:val="clear" w:color="auto" w:fill="E1DFDD"/>
    </w:rPr>
  </w:style>
  <w:style w:type="character" w:customStyle="1" w:styleId="Mention1">
    <w:name w:val="Mention1"/>
    <w:basedOn w:val="DefaultParagraphFont"/>
    <w:uiPriority w:val="99"/>
    <w:unhideWhenUsed/>
    <w:rsid w:val="00433DF3"/>
    <w:rPr>
      <w:color w:val="2B579A"/>
      <w:shd w:val="clear" w:color="auto" w:fill="E1DFDD"/>
    </w:rPr>
  </w:style>
  <w:style w:type="paragraph" w:customStyle="1" w:styleId="DocTitle-IPR">
    <w:name w:val="DocTitle-IPR"/>
    <w:link w:val="DocTitle-IPRChar"/>
    <w:rsid w:val="00433DF3"/>
    <w:pPr>
      <w:spacing w:before="1320" w:after="200" w:line="240" w:lineRule="auto"/>
      <w:jc w:val="center"/>
    </w:pPr>
    <w:rPr>
      <w:rFonts w:ascii="Candara" w:eastAsiaTheme="majorEastAsia" w:hAnsi="Candara" w:cstheme="majorBidi"/>
      <w:b/>
      <w:sz w:val="52"/>
      <w:szCs w:val="52"/>
    </w:rPr>
  </w:style>
  <w:style w:type="character" w:customStyle="1" w:styleId="DocTitle-IPRChar">
    <w:name w:val="DocTitle-IPR Char"/>
    <w:basedOn w:val="DefaultParagraphFont"/>
    <w:link w:val="DocTitle-IPR"/>
    <w:rsid w:val="00433DF3"/>
    <w:rPr>
      <w:rFonts w:ascii="Candara" w:eastAsiaTheme="majorEastAsia" w:hAnsi="Candara" w:cstheme="majorBidi"/>
      <w:b/>
      <w:sz w:val="52"/>
      <w:szCs w:val="52"/>
    </w:rPr>
  </w:style>
  <w:style w:type="paragraph" w:customStyle="1" w:styleId="BulletsRed-IPR">
    <w:name w:val="BulletsRed-IPR"/>
    <w:link w:val="BulletsRed-IPRChar"/>
    <w:qFormat/>
    <w:rsid w:val="00433DF3"/>
    <w:pPr>
      <w:numPr>
        <w:numId w:val="15"/>
      </w:numPr>
      <w:spacing w:after="120" w:line="240" w:lineRule="auto"/>
    </w:pPr>
    <w:rPr>
      <w:rFonts w:ascii="Calibri" w:hAnsi="Calibri" w:cs="Times New Roman"/>
      <w:szCs w:val="24"/>
    </w:rPr>
  </w:style>
  <w:style w:type="character" w:customStyle="1" w:styleId="BulletsRed-IPRChar">
    <w:name w:val="BulletsRed-IPR Char"/>
    <w:basedOn w:val="DefaultParagraphFont"/>
    <w:link w:val="BulletsRed-IPR"/>
    <w:rsid w:val="00433DF3"/>
    <w:rPr>
      <w:rFonts w:ascii="Calibri" w:hAnsi="Calibri" w:cs="Times New Roman"/>
      <w:szCs w:val="24"/>
    </w:rPr>
  </w:style>
  <w:style w:type="numbering" w:customStyle="1" w:styleId="BulletListStyleRed-IPR">
    <w:name w:val="BulletListStyleRed-IPR"/>
    <w:uiPriority w:val="99"/>
    <w:rsid w:val="00433DF3"/>
    <w:pPr>
      <w:numPr>
        <w:numId w:val="14"/>
      </w:numPr>
    </w:pPr>
  </w:style>
  <w:style w:type="paragraph" w:customStyle="1" w:styleId="SubbulletRedLevelTwo">
    <w:name w:val="SubbulletRedLevelTwo"/>
    <w:basedOn w:val="BulletsRed-IPR"/>
    <w:qFormat/>
    <w:rsid w:val="00433DF3"/>
    <w:pPr>
      <w:numPr>
        <w:ilvl w:val="1"/>
      </w:numPr>
      <w:tabs>
        <w:tab w:val="num" w:pos="360"/>
      </w:tabs>
    </w:pPr>
  </w:style>
  <w:style w:type="paragraph" w:customStyle="1" w:styleId="SubbulletRedLevelThree">
    <w:name w:val="SubbulletRedLevelThree"/>
    <w:basedOn w:val="SubbulletRedLevelTwo"/>
    <w:qFormat/>
    <w:rsid w:val="00433DF3"/>
    <w:pPr>
      <w:numPr>
        <w:ilvl w:val="2"/>
      </w:numPr>
      <w:tabs>
        <w:tab w:val="num" w:pos="360"/>
      </w:tabs>
    </w:pPr>
  </w:style>
  <w:style w:type="paragraph" w:customStyle="1" w:styleId="Heading3-IPR">
    <w:name w:val="Heading3-IPR"/>
    <w:link w:val="Heading3-IPRChar"/>
    <w:qFormat/>
    <w:rsid w:val="00433DF3"/>
    <w:pPr>
      <w:keepNext/>
      <w:numPr>
        <w:numId w:val="18"/>
      </w:numPr>
      <w:spacing w:after="240" w:line="240" w:lineRule="auto"/>
      <w:outlineLvl w:val="2"/>
    </w:pPr>
    <w:rPr>
      <w:rFonts w:ascii="Candara" w:eastAsia="Calibri" w:hAnsi="Candara" w:cs="Arial"/>
      <w:b/>
      <w:bCs/>
      <w:color w:val="B12732"/>
      <w:sz w:val="24"/>
      <w:szCs w:val="24"/>
    </w:rPr>
  </w:style>
  <w:style w:type="character" w:customStyle="1" w:styleId="Heading3-IPRChar">
    <w:name w:val="Heading3-IPR Char"/>
    <w:basedOn w:val="DefaultParagraphFont"/>
    <w:link w:val="Heading3-IPR"/>
    <w:rsid w:val="00433DF3"/>
    <w:rPr>
      <w:rFonts w:ascii="Candara" w:eastAsia="Calibri" w:hAnsi="Candara" w:cs="Arial"/>
      <w:b/>
      <w:bCs/>
      <w:color w:val="B12732"/>
      <w:sz w:val="24"/>
      <w:szCs w:val="24"/>
    </w:rPr>
  </w:style>
  <w:style w:type="paragraph" w:customStyle="1" w:styleId="DocAddressNameIndent-IPR">
    <w:name w:val="DocAddress/NameIndent-IPR"/>
    <w:link w:val="DocAddressNameIndent-IPRChar"/>
    <w:qFormat/>
    <w:rsid w:val="00433DF3"/>
    <w:pPr>
      <w:spacing w:after="0" w:line="240" w:lineRule="auto"/>
      <w:ind w:left="720"/>
    </w:pPr>
    <w:rPr>
      <w:rFonts w:ascii="Calibri" w:eastAsia="Times New Roman" w:hAnsi="Calibri" w:cs="Times New Roman"/>
      <w:szCs w:val="24"/>
    </w:rPr>
  </w:style>
  <w:style w:type="character" w:customStyle="1" w:styleId="DocAddressNameIndent-IPRChar">
    <w:name w:val="DocAddress/NameIndent-IPR Char"/>
    <w:basedOn w:val="DefaultParagraphFont"/>
    <w:link w:val="DocAddressNameIndent-IPR"/>
    <w:rsid w:val="00433DF3"/>
    <w:rPr>
      <w:rFonts w:ascii="Calibri" w:eastAsia="Times New Roman" w:hAnsi="Calibri" w:cs="Times New Roman"/>
      <w:szCs w:val="24"/>
    </w:rPr>
  </w:style>
  <w:style w:type="paragraph" w:styleId="NormalWeb">
    <w:name w:val="Normal (Web)"/>
    <w:basedOn w:val="Normal"/>
    <w:uiPriority w:val="99"/>
    <w:semiHidden/>
    <w:unhideWhenUsed/>
    <w:rsid w:val="00433DF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3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data/datasets/2017/demo/popproj/2017-popproj.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odrx.com" TargetMode="External"/><Relationship Id="rId4" Type="http://schemas.openxmlformats.org/officeDocument/2006/relationships/webSettings" Target="webSettings.xml"/><Relationship Id="rId9" Type="http://schemas.openxmlformats.org/officeDocument/2006/relationships/hyperlink" Target="https://meps.ahrq.gov/data%20stats/download%20data%20fil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13</Pages>
  <Words>39528</Words>
  <Characters>225315</Characters>
  <Application>Microsoft Office Word</Application>
  <DocSecurity>0</DocSecurity>
  <Lines>1877</Lines>
  <Paragraphs>528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Breck</dc:creator>
  <cp:keywords/>
  <dc:description/>
  <cp:lastModifiedBy>Andrew Breck</cp:lastModifiedBy>
  <cp:revision>10</cp:revision>
  <dcterms:created xsi:type="dcterms:W3CDTF">2021-11-12T18:48:00Z</dcterms:created>
  <dcterms:modified xsi:type="dcterms:W3CDTF">2021-11-16T18:17:00Z</dcterms:modified>
</cp:coreProperties>
</file>