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1440"/>
        <w:gridCol w:w="1260"/>
      </w:tblGrid>
      <w:tr w:rsidR="005A30F9" w:rsidRPr="00047D41" w14:paraId="14536C5F" w14:textId="77777777" w:rsidTr="00C97C18">
        <w:tc>
          <w:tcPr>
            <w:tcW w:w="79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3FED0" w14:textId="77777777" w:rsidR="005A30F9" w:rsidRPr="00047D41" w:rsidRDefault="005A30F9" w:rsidP="00C97C18">
            <w:pPr>
              <w:ind w:right="-11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Supplementary</w:t>
            </w:r>
            <w:r w:rsidRPr="00047D41">
              <w:rPr>
                <w:rFonts w:cstheme="minorHAnsi"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Table 2. </w:t>
            </w:r>
            <w:r w:rsidRPr="00047D41">
              <w:rPr>
                <w:rFonts w:cstheme="minorHAnsi"/>
                <w:sz w:val="20"/>
                <w:szCs w:val="20"/>
              </w:rPr>
              <w:t>Summary of all-causality</w:t>
            </w:r>
            <w:r w:rsidRPr="00047D41" w:rsidDel="009839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TEAEs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through week 80 (treatment + follow-up period)</w:t>
            </w:r>
          </w:p>
        </w:tc>
      </w:tr>
      <w:tr w:rsidR="005A30F9" w:rsidRPr="00047D41" w14:paraId="78EB7223" w14:textId="77777777" w:rsidTr="00C97C1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71472F" w14:textId="77777777" w:rsidR="005A30F9" w:rsidRPr="00047D41" w:rsidRDefault="005A30F9" w:rsidP="00C97C18">
            <w:pPr>
              <w:ind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N (%) of patients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C4CBA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73C505D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5 mg </w:t>
            </w:r>
          </w:p>
          <w:p w14:paraId="687D7925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9D6645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21693923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10 mg </w:t>
            </w:r>
          </w:p>
          <w:p w14:paraId="5CC1C5E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93)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D25F7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Celecoxib</w:t>
            </w:r>
          </w:p>
          <w:p w14:paraId="71A4968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200 mg</w:t>
            </w:r>
          </w:p>
          <w:p w14:paraId="522F3AB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</w:tr>
      <w:tr w:rsidR="005A30F9" w:rsidRPr="00047D41" w14:paraId="6480FA7F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6A0BF" w14:textId="77777777" w:rsidR="005A30F9" w:rsidRPr="00047D41" w:rsidRDefault="005A30F9" w:rsidP="00C97C18">
            <w:pPr>
              <w:ind w:right="-33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Any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1BF4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70 (76.1)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4561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63 (67.7)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8ADD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67 (72.8)</w:t>
            </w:r>
          </w:p>
        </w:tc>
      </w:tr>
      <w:tr w:rsidR="005A30F9" w:rsidRPr="00047D41" w14:paraId="6ACB806C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6D698" w14:textId="77777777" w:rsidR="005A30F9" w:rsidRPr="00047D41" w:rsidRDefault="005A30F9" w:rsidP="00C97C18">
            <w:pPr>
              <w:ind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Serious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53B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8 (8.7)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087A6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11 (11.8)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0CD2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</w:tc>
      </w:tr>
      <w:tr w:rsidR="005A30F9" w:rsidRPr="00047D41" w14:paraId="1A5ECF9B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AA9F8" w14:textId="77777777" w:rsidR="005A30F9" w:rsidRPr="00047D41" w:rsidRDefault="005A30F9" w:rsidP="00C97C18">
            <w:pPr>
              <w:ind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Severe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756F3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898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C1DC5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</w:tc>
      </w:tr>
      <w:tr w:rsidR="005A30F9" w:rsidRPr="00047D41" w14:paraId="3F7BDD6F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F3A43" w14:textId="77777777" w:rsidR="005A30F9" w:rsidRPr="00047D41" w:rsidRDefault="005A30F9" w:rsidP="00C97C18">
            <w:pPr>
              <w:ind w:left="176"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Treatment discontinuation due to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AF03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E8EA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7ABF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</w:tc>
      </w:tr>
      <w:tr w:rsidR="005A30F9" w:rsidRPr="00047D41" w14:paraId="20B34AF8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AC252" w14:textId="77777777" w:rsidR="005A30F9" w:rsidRPr="00047D41" w:rsidRDefault="005A30F9" w:rsidP="00C97C18">
            <w:pPr>
              <w:ind w:left="176" w:right="-334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Study discontinuation due to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D72D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BA502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5FDB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A30F9" w:rsidRPr="00047D41" w14:paraId="19A9E5CF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4FDEBF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  <w:vertAlign w:val="superscript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Most common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TEAEs</w:t>
            </w:r>
            <w:proofErr w:type="spellEnd"/>
            <w:r w:rsidRPr="00047D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14:paraId="2820F6EB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Nasopharyngitis</w:t>
            </w:r>
          </w:p>
          <w:p w14:paraId="13AD4B53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Back pain</w:t>
            </w:r>
          </w:p>
          <w:p w14:paraId="7A2F5A3C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Fall</w:t>
            </w:r>
          </w:p>
          <w:p w14:paraId="05A59AA6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Contusion</w:t>
            </w:r>
          </w:p>
          <w:p w14:paraId="3D2A86AE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Arthralgia</w:t>
            </w:r>
          </w:p>
          <w:p w14:paraId="237D99C7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Intervertebral disc protrusion</w:t>
            </w:r>
          </w:p>
          <w:p w14:paraId="24813598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Headache</w:t>
            </w:r>
          </w:p>
          <w:p w14:paraId="0BF1DAF1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Hypoesthesia</w:t>
            </w:r>
          </w:p>
          <w:p w14:paraId="58691768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Pain in extremity</w:t>
            </w:r>
          </w:p>
          <w:p w14:paraId="52B3D20A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Myalgia</w:t>
            </w:r>
          </w:p>
          <w:p w14:paraId="578D9AA1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Pyrexia</w:t>
            </w:r>
          </w:p>
          <w:p w14:paraId="6E71F9E3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Diarrhea</w:t>
            </w:r>
          </w:p>
          <w:p w14:paraId="258C6CC8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Gastroenteritis</w:t>
            </w:r>
          </w:p>
          <w:p w14:paraId="1735FD1D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Musculoskeletal pain</w:t>
            </w:r>
          </w:p>
          <w:p w14:paraId="0D3C0DD1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Pneumonia</w:t>
            </w:r>
          </w:p>
          <w:p w14:paraId="53EABAF4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Hypertension</w:t>
            </w:r>
          </w:p>
          <w:p w14:paraId="6F130D09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Constipation</w:t>
            </w:r>
          </w:p>
          <w:p w14:paraId="48E80FC6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Influenza</w:t>
            </w:r>
          </w:p>
          <w:p w14:paraId="09B2025D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Ligament sprain</w:t>
            </w:r>
          </w:p>
          <w:p w14:paraId="0D115EB0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Arthritis</w:t>
            </w:r>
          </w:p>
          <w:p w14:paraId="6E6A428D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Periarthritis</w:t>
            </w:r>
          </w:p>
          <w:p w14:paraId="7D881966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Dizziness</w:t>
            </w:r>
          </w:p>
          <w:p w14:paraId="694359C2" w14:textId="77777777" w:rsidR="005A30F9" w:rsidRPr="00047D41" w:rsidRDefault="005A30F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Rash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D7637B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D10571F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 (20.7)</w:t>
            </w:r>
          </w:p>
          <w:p w14:paraId="76EB409C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(7.6)</w:t>
            </w:r>
          </w:p>
          <w:p w14:paraId="3A1AA6B8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(7.6)</w:t>
            </w:r>
          </w:p>
          <w:p w14:paraId="2B7AB90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1E196018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 (12.0)</w:t>
            </w:r>
          </w:p>
          <w:p w14:paraId="4E8839AE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5B19B48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04309E7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6 (6.5)</w:t>
            </w:r>
          </w:p>
          <w:p w14:paraId="583B8D13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7F9FEFEF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(3.3)</w:t>
            </w:r>
          </w:p>
          <w:p w14:paraId="35C4A274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53991514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32CA9169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20392743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(3.3)</w:t>
            </w:r>
          </w:p>
          <w:p w14:paraId="4BA3FF12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(3.3)</w:t>
            </w:r>
          </w:p>
          <w:p w14:paraId="6D7D252F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75087F7F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62101C0D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1F1114BD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(3.3)</w:t>
            </w:r>
          </w:p>
          <w:p w14:paraId="6D554D5B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14:paraId="7C858CD3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 (6.5)</w:t>
            </w:r>
          </w:p>
          <w:p w14:paraId="2A7862BB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67705EF2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 (3.3)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F760E6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94D427B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19 (20.4)</w:t>
            </w:r>
          </w:p>
          <w:p w14:paraId="43FC23E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7 (7.5)</w:t>
            </w:r>
          </w:p>
          <w:p w14:paraId="3AF9353F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6 (6.5)</w:t>
            </w:r>
          </w:p>
          <w:p w14:paraId="057C88CF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1599154A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2CD2722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20730E5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78F9682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131DB6DA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75FC8775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73E5918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490CFC53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1238E7FA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2C2823E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1AF65D1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785D0A3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245E1DA0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49A352C6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19AB52F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5C9BA4AD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5A0968D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36082B2B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726CDE65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9CB75C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</w:p>
          <w:p w14:paraId="78332933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11 (12.0)</w:t>
            </w:r>
          </w:p>
          <w:p w14:paraId="5DC06F21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9 (9.8)</w:t>
            </w:r>
          </w:p>
          <w:p w14:paraId="3A742A8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158FE884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4CD7CC45" w14:textId="77777777" w:rsidR="005A30F9" w:rsidRPr="00047D41" w:rsidRDefault="005A30F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(7.6)</w:t>
            </w:r>
          </w:p>
          <w:p w14:paraId="0DC45560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400C0357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27E8F4AD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2EFF630C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168780CE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67651036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2B2BDC5B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4CB168BF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4D0C517C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6C9EE3AD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269157B0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30DDCDE2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483033DD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7C427A2D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1D5608D6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089DB03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247E09D8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4 (4.3)</w:t>
            </w:r>
          </w:p>
          <w:p w14:paraId="124C7179" w14:textId="77777777" w:rsidR="005A30F9" w:rsidRPr="00047D41" w:rsidRDefault="005A30F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</w:tc>
      </w:tr>
      <w:tr w:rsidR="005A30F9" w:rsidRPr="00047D41" w14:paraId="6694E61B" w14:textId="77777777" w:rsidTr="00C97C18">
        <w:tc>
          <w:tcPr>
            <w:tcW w:w="79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E1E82E" w14:textId="77777777" w:rsidR="005A30F9" w:rsidRPr="00047D41" w:rsidRDefault="005A30F9" w:rsidP="00C97C18">
            <w:pPr>
              <w:ind w:right="-110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047D41">
              <w:rPr>
                <w:rFonts w:cstheme="minorHAnsi"/>
                <w:sz w:val="20"/>
                <w:szCs w:val="20"/>
              </w:rPr>
              <w:t xml:space="preserve">Reported in ≥ 3% of patients in any treatment group.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treatment-emergent adverse event.</w:t>
            </w:r>
          </w:p>
        </w:tc>
      </w:tr>
    </w:tbl>
    <w:p w14:paraId="78C937C5" w14:textId="77777777" w:rsidR="007C6E5A" w:rsidRDefault="007C6E5A"/>
    <w:sectPr w:rsidR="007C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9"/>
    <w:rsid w:val="005A30F9"/>
    <w:rsid w:val="005F222D"/>
    <w:rsid w:val="007C6E5A"/>
    <w:rsid w:val="00E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55A2"/>
  <w15:chartTrackingRefBased/>
  <w15:docId w15:val="{0D1403D3-3B58-4103-A4AE-5655335D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0F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0F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Soulsby, Matthew</dc:creator>
  <cp:keywords/>
  <dc:description/>
  <cp:lastModifiedBy>Soulsby, Matthew</cp:lastModifiedBy>
  <cp:revision>1</cp:revision>
  <dcterms:created xsi:type="dcterms:W3CDTF">2021-05-06T16:27:00Z</dcterms:created>
  <dcterms:modified xsi:type="dcterms:W3CDTF">2021-05-06T16:28:00Z</dcterms:modified>
</cp:coreProperties>
</file>