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CB7C" w14:textId="77777777" w:rsidR="00B850BE" w:rsidRPr="00B850BE" w:rsidRDefault="00B850BE" w:rsidP="00B850BE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B850BE">
        <w:rPr>
          <w:rFonts w:ascii="Arial" w:eastAsia="Times New Roman" w:hAnsi="Arial" w:cs="Arial"/>
          <w:b/>
          <w:bCs/>
          <w:iCs/>
          <w:lang w:val="en-US" w:eastAsia="it-IT"/>
        </w:rPr>
        <w:t>Table VIs - Studies of secondary literature (HTA Report, Systematic Reviews and Meta-analysis)</w:t>
      </w:r>
      <w:r w:rsidRPr="00B850BE">
        <w:rPr>
          <w:rFonts w:ascii="Arial" w:eastAsia="Times New Roman" w:hAnsi="Arial" w:cs="Arial"/>
          <w:lang w:eastAsia="it-IT"/>
        </w:rPr>
        <w:t> </w:t>
      </w:r>
    </w:p>
    <w:p w14:paraId="79230785" w14:textId="77777777" w:rsidR="00B850BE" w:rsidRPr="00B850BE" w:rsidRDefault="00B850BE" w:rsidP="00B850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pPr w:leftFromText="141" w:rightFromText="141" w:vertAnchor="text" w:tblpX="-292" w:tblpY="1"/>
        <w:tblOverlap w:val="never"/>
        <w:tblW w:w="15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701"/>
        <w:gridCol w:w="1315"/>
        <w:gridCol w:w="669"/>
        <w:gridCol w:w="1417"/>
        <w:gridCol w:w="992"/>
        <w:gridCol w:w="993"/>
        <w:gridCol w:w="992"/>
        <w:gridCol w:w="1134"/>
        <w:gridCol w:w="1843"/>
        <w:gridCol w:w="2268"/>
        <w:gridCol w:w="1984"/>
      </w:tblGrid>
      <w:tr w:rsidR="00B850BE" w:rsidRPr="00B850BE" w14:paraId="64B332BE" w14:textId="77777777" w:rsidTr="00B850BE">
        <w:trPr>
          <w:trHeight w:val="83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E4715A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N°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9DD633D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FIRST  AUTHOR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D34D0F6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TITLE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4130E1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YEAR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5FCF476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JOURNAL/</w:t>
            </w:r>
          </w:p>
          <w:p w14:paraId="343B5312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INSTITUTION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2EEAB36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STUDY TYPE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92B1001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N° of considered STUDIES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411EAF5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INTERVENTION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6F5E65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CONTROL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18514AB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OUTCOME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976C500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RESULTS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C708BE2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CONCLUSION</w:t>
            </w:r>
          </w:p>
        </w:tc>
      </w:tr>
      <w:tr w:rsidR="00B850BE" w:rsidRPr="00B850BE" w14:paraId="250D276F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E9477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1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27338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 xml:space="preserve">Batsides 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instrText xml:space="preserve"> ADDIN EN.CITE &lt;EndNote&gt;&lt;Cite&gt;&lt;Author&gt;Batsides&lt;/Author&gt;&lt;Year&gt;2018&lt;/Year&gt;&lt;RecNum&gt;354&lt;/RecNum&gt;&lt;DisplayText&gt;[18]&lt;/DisplayText&gt;&lt;record&gt;&lt;rec-number&gt;354&lt;/rec-number&gt;&lt;foreign-keys&gt;&lt;key app="EN" db-id="tttxrwwz9rxzejed00pxrzskdw5stre0v92s"&gt;354&lt;/key&gt;&lt;/foreign-keys&gt;&lt;ref-type name="Journal Article"&gt;17&lt;/ref-type&gt;&lt;contributors&gt;&lt;authors&gt;&lt;author&gt;Batsides, George&lt;/author&gt;&lt;author&gt;Massaro, Joe&lt;/author&gt;&lt;author&gt;Cheung, Anson&lt;/author&gt;&lt;author&gt;Soltesz, Edward&lt;/author&gt;&lt;author&gt;Ramzy, Danny&lt;/author&gt;&lt;author&gt;Anderson, Mark B.&lt;/author&gt;&lt;/authors&gt;&lt;/contributors&gt;&lt;titles&gt;&lt;title&gt;Outcomes of Impella 5.0 in Cardiogenic Shock: A Systematic Review and Meta-analysis.&lt;/title&gt;&lt;secondary-title&gt;Innovations (Philadelphia, Pa.)&lt;/secondary-title&gt;&lt;/titles&gt;&lt;pages&gt;254-260&lt;/pages&gt;&lt;volume&gt;13&lt;/volume&gt;&lt;number&gt;4&lt;/number&gt;&lt;keywords&gt;&lt;keyword&gt;Female&lt;/keyword&gt;&lt;keyword&gt;Humans&lt;/keyword&gt;&lt;keyword&gt;Middle Aged&lt;/keyword&gt;&lt;keyword&gt;Treatment Outcome&lt;/keyword&gt;&lt;keyword&gt;Aged&lt;/keyword&gt;&lt;keyword&gt;Male&lt;/keyword&gt;&lt;keyword&gt;Adult&lt;/keyword&gt;&lt;keyword&gt;*Heart-Assist Devices/adverse effects/statistics &amp;amp; numerical data&lt;/keyword&gt;&lt;keyword&gt;*Shock, Cardiogenic/mortality/surgery&lt;/keyword&gt;&lt;keyword&gt;*Cardiac Surgical Procedures/adverse effects/instrumentation/mortality/statistics &amp;amp;  numerical data&lt;/keyword&gt;&lt;/keywords&gt;&lt;dates&gt;&lt;year&gt;2018&lt;/year&gt;&lt;pub-dates&gt;&lt;date&gt;2018 Jul/Aug&lt;/date&gt;&lt;/pub-dates&gt;&lt;/dates&gt;&lt;isbn&gt;1559-0879 1556-9845&lt;/isbn&gt;&lt;urls&gt;&lt;/urls&gt;&lt;electronic-resource-num&gt;10.1097/IMI.0000000000000535&lt;/electronic-resource-num&gt;&lt;language&gt;eng&lt;/language&gt;&lt;/record&gt;&lt;/Cite&gt;&lt;/EndNote&gt;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it-IT" w:eastAsia="it-IT"/>
              </w:rPr>
              <w:t>[18]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B0AF4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Outcomes of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in Cardiogenic Shock.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 Systematic Review and Meta-analysis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003C9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2018 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E2B5B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Innovations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22D48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Systematic Review and Meta-analysis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FFA3A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F3918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5.0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E2623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nd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9CD14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Survival to discharge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D533B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The use of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was associated with a survival to next therapy rate of 73.5%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in patients supported for acute on chronic decompensated heart failure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and a 30-day survival rate of 68.6%.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EC58A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5.0/LD is associated with very favourable survival outcomes and a high rate of myocardial recovery in CS patients.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 </w:t>
            </w:r>
          </w:p>
        </w:tc>
      </w:tr>
      <w:tr w:rsidR="00B850BE" w:rsidRPr="00B850BE" w14:paraId="1FFFF13E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EA12C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2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9D247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Den </w:t>
            </w:r>
            <w:proofErr w:type="spellStart"/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Uil</w:t>
            </w:r>
            <w:proofErr w:type="spellEnd"/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 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instrText xml:space="preserve"> ADDIN EN.CITE &lt;EndNote&gt;&lt;Cite&gt;&lt;Author&gt;den Uil&lt;/Author&gt;&lt;Year&gt;2017&lt;/Year&gt;&lt;RecNum&gt;492&lt;/RecNum&gt;&lt;DisplayText&gt;[19]&lt;/DisplayText&gt;&lt;record&gt;&lt;rec-number&gt;492&lt;/rec-number&gt;&lt;foreign-keys&gt;&lt;key app="EN" db-id="tttxrwwz9rxzejed00pxrzskdw5stre0v92s"&gt;492&lt;/key&gt;&lt;/foreign-keys&gt;&lt;ref-type name="Journal Article"&gt;17&lt;/ref-type&gt;&lt;contributors&gt;&lt;authors&gt;&lt;author&gt;den Uil, Corstiaan A.&lt;/author&gt;&lt;author&gt;Akin, Sakir&lt;/author&gt;&lt;author&gt;Jewbali, Lucia S.&lt;/author&gt;&lt;author&gt;Dos Reis Miranda, Dinis&lt;/author&gt;&lt;author&gt;Brugts, Jasper J.&lt;/author&gt;&lt;author&gt;Constantinescu, Alina A.&lt;/author&gt;&lt;author&gt;Kappetein, Arie Pieter&lt;/author&gt;&lt;author&gt;Caliskan, Kadir&lt;/author&gt;&lt;/authors&gt;&lt;/contributors&gt;&lt;titles&gt;&lt;title&gt;Short-term mechanical circulatory support as a bridge to durable left ventricular  assist device implantation in refractory cardiogenic shock: a systematic review and  meta-analysis.&lt;/title&gt;&lt;secondary-title&gt;European journal of cardio-thoracic surgery : official journal of the European  Association for Cardio-thoracic Surgery&lt;/secondary-title&gt;&lt;/titles&gt;&lt;pages&gt;14-25&lt;/pages&gt;&lt;volume&gt;52&lt;/volume&gt;&lt;number&gt;1&lt;/number&gt;&lt;keywords&gt;&lt;keyword&gt;Humans&lt;/keyword&gt;&lt;keyword&gt;Time Factors&lt;/keyword&gt;&lt;keyword&gt;*Heart-Assist Devices&lt;/keyword&gt;&lt;keyword&gt;Cardiogenic shock&lt;/keyword&gt;&lt;keyword&gt;Mechanical circulatory support&lt;/keyword&gt;&lt;keyword&gt;Shock, Cardiogenic/etiology/*surgery&lt;/keyword&gt;&lt;keyword&gt;Assisted Circulation/*methods&lt;/keyword&gt;&lt;keyword&gt;Heart failure&lt;/keyword&gt;&lt;keyword&gt;Heart Failure/*complications&lt;/keyword&gt;&lt;keyword&gt;Left ventricular assist device&lt;/keyword&gt;&lt;/keywords&gt;&lt;dates&gt;&lt;year&gt;2017&lt;/year&gt;&lt;pub-dates&gt;&lt;date&gt;2017 Jul 1&lt;/date&gt;&lt;/pub-dates&gt;&lt;/dates&gt;&lt;isbn&gt;1873-734X 1010-7940&lt;/isbn&gt;&lt;urls&gt;&lt;/urls&gt;&lt;electronic-resource-num&gt;10.1093/ejcts/ezx088&lt;/electronic-resource-num&gt;&lt;language&gt;eng&lt;/language&gt;&lt;/record&gt;&lt;/Cite&gt;&lt;/EndNote&gt;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 w:eastAsia="it-IT"/>
              </w:rPr>
              <w:t>[19]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4B79A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Short-term mechanical circulatory support as a bridge to durable left ventricular assist device implantation in refractory cardiogenic shock: a systematic review and meta-analysis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43F34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2017 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96078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 Journal of Cardio-Thoracic Surgery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6A660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Systematic Review and Meta-analysis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  <w:p w14:paraId="63096EFD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3D000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39  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F8603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MCS (IABP,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5.0,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TandemHearth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, ECMO,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CentriMaag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4FE39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Other MCS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9C872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All available outcome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B7AEF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7DB2C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Thirty-nine studies, mainly registries of heterogeneous patient populations (n = 4151 patients), were identified. Bridge to durable LVAD was most frequently performed in patients with end-stage cardiomyopathy. The study concludes that temporary MCS can be used to bridge patients with cardiogenic shock towards durable LVAD.  </w:t>
            </w:r>
          </w:p>
        </w:tc>
      </w:tr>
      <w:tr w:rsidR="00B850BE" w:rsidRPr="00B850BE" w14:paraId="7E43058B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68B3A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3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7F049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Schultz 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instrText xml:space="preserve"> ADDIN EN.CITE &lt;EndNote&gt;&lt;Cite&gt;&lt;Year&gt;!!! INVALID CITATION !!! 3&lt;/Year&gt;&lt;RecNum&gt;3&lt;/RecNum&gt;&lt;DisplayText&gt;[20]&lt;/DisplayText&gt;&lt;record&gt;&lt;rec-number&gt;3&lt;/rec-number&gt;&lt;foreign-keys&gt;&lt;key app="EN" db-id="zdx55ddwxv902kexra7ppvdcvfvxft5pxadf"&gt;3&lt;/key&gt;&lt;/foreign-keys&gt;&lt;ref-type name="Journal Article"&gt;17&lt;/ref-type&gt;&lt;contributors&gt;&lt;/contributors&gt;&lt;titles&gt;&lt;/titles&gt;&lt;dates&gt;&lt;year&gt;!!! INVALID CITATION !!! 3&lt;/year&gt;&lt;/dates&gt;&lt;urls&gt;&lt;/urls&gt;&lt;/record&gt;&lt;/Cite&gt;&lt;/EndNote&gt;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 w:eastAsia="it-IT"/>
              </w:rPr>
              <w:t>[20]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9ED8B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Meta-Analysis of Outcomes of Axillary and Subclavian Implanted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for Cardiogenic Shock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AE336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2019 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B4FCE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Journal of Cardiac Failure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16CB9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Meta-analysis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4DBB6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D9B2E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5.0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6E0D1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nd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B9919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Survival </w:t>
            </w:r>
          </w:p>
          <w:p w14:paraId="502D58DB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Adverse effect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69E4D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3DA85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Ten studies included in the final analysis (n=125 patients) evaluated 30-day survival and adverse events. In conclusion the axillary or subclavian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has a relatively low adverse event rate and can be used for longer periods of time 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than others temporary support devices. </w:t>
            </w:r>
          </w:p>
        </w:tc>
      </w:tr>
      <w:tr w:rsidR="00B850BE" w:rsidRPr="00B850BE" w14:paraId="347B0ECF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88E8B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 4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15DCF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Health Evidence Review Commission  (HERC) 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instrText xml:space="preserve"> ADDIN EN.CITE &lt;EndNote&gt;&lt;Cite ExcludeAuth="1"&gt;&lt;Year&gt;2018&lt;/Year&gt;&lt;RecNum&gt;1135&lt;/RecNum&gt;&lt;DisplayText&gt;[21]&lt;/DisplayText&gt;&lt;record&gt;&lt;rec-number&gt;1135&lt;/rec-number&gt;&lt;foreign-keys&gt;&lt;key app="EN" db-id="tttxrwwz9rxzejed00pxrzskdw5stre0v92s"&gt;1135&lt;/key&gt;&lt;/foreign-keys&gt;&lt;ref-type name="Generic"&gt;13&lt;/ref-type&gt;&lt;contributors&gt;&lt;/contributors&gt;&lt;titles&gt;&lt;title&gt;Temporary Percutaneous Mechanical Circulatory Support with Impella Devices&lt;/title&gt;&lt;/titles&gt;&lt;dates&gt;&lt;year&gt;2018&lt;/year&gt;&lt;pub-dates&gt;&lt;date&gt;2018&lt;/date&gt;&lt;/pub-dates&gt;&lt;/dates&gt;&lt;publisher&gt;Health Evidence Review Commission (HERC)&lt;/publisher&gt;&lt;urls&gt;&lt;/urls&gt;&lt;/record&gt;&lt;/Cite&gt;&lt;/EndNote&gt;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w:t>[21]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end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8BD05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Temporary Percutaneous Mechanical Circulatory Support with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Devices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83519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2018 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9B01D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Health Evidence Review Commission (HERC)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(Draft for public Consultation)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60C91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Systematic Review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D142F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7 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C0C10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5.0 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7BC79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IABP,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 2,5/CP,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TandemHeart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62EB3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Survival, Major adverse effect,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A3A1A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3F6AD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Based on a small number of comparative studies,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5.0 does not appear to improve clinical outcomes for both indications (cardiogenic shock and percutaneous coronary angioplasty with high risk) and, in cardiogenic shock, appears to be associated with a greater number of adverse events as compared to IABP. Thus, HERC does not recommend the reimbursement of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5.0 for either of the two indications. </w:t>
            </w:r>
          </w:p>
        </w:tc>
      </w:tr>
      <w:tr w:rsidR="00B850BE" w:rsidRPr="00B850BE" w14:paraId="6E370C52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3EB5F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 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982FC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t>Esfandiari 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instrText xml:space="preserve"> ADDIN EN.CITE &lt;EndNote&gt;&lt;Cite ExcludeAuth="1" ExcludeYear="1"&gt;&lt;RecNum&gt;5&lt;/RecNum&gt;&lt;DisplayText&gt;[22]&lt;/DisplayText&gt;&lt;record&gt;&lt;rec-number&gt;5&lt;/rec-number&gt;&lt;foreign-keys&gt;&lt;key app="EN" db-id="tttxrwwz9rxzejed00pxrzskdw5stre0v92s"&gt;5&lt;/key&gt;&lt;/foreign-keys&gt;&lt;ref-type name="Journal Article"&gt;17&lt;/ref-type&gt;&lt;contributors&gt;&lt;authors&gt;&lt;author&gt;Orozco-Hernandez, Erik J.&lt;/author&gt;&lt;author&gt;Ahmed, Mustafa I.&lt;/author&gt;&lt;author&gt;Von Meering, Greg&lt;/author&gt;&lt;author&gt;Mcelwee, Samuel K.&lt;/author&gt;&lt;author&gt;Prejean, Shane P.&lt;/author&gt;&lt;author&gt;Gongora, Enrique&lt;/author&gt;&lt;author&gt;Hoopes, Charles W.&lt;/author&gt;&lt;/authors&gt;&lt;/contributors&gt;&lt;titles&gt;&lt;title&gt;Femoral venoarterial extracorporeal membrane oxygenation using a novel biatrial  cannula for venous drainage and left ventricular venting.&lt;/title&gt;&lt;secondary-title&gt;Journal of cardiac surgery&lt;/secondary-title&gt;&lt;/titles&gt;&lt;keywords&gt;&lt;keyword&gt;ECMO&lt;/keyword&gt;&lt;keyword&gt;biatrial cannula&lt;/keyword&gt;&lt;keyword&gt;bridge to transplant&lt;/keyword&gt;&lt;keyword&gt;left ventricular venting&lt;/keyword&gt;&lt;/keywords&gt;&lt;dates&gt;&lt;year&gt;2020&lt;/year&gt;&lt;pub-dates&gt;&lt;date&gt;2020 Oct 1&lt;/date&gt;&lt;/pub-dates&gt;&lt;/dates&gt;&lt;isbn&gt;1540-8191 0886-0440&lt;/isbn&gt;&lt;urls&gt;&lt;/urls&gt;&lt;electronic-resource-num&gt;10.1111/jocs.15087&lt;/electronic-resource-num&gt;&lt;language&gt;eng&lt;/language&gt;&lt;/record&gt;&lt;/Cite&gt;&lt;/EndNote&gt;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 w:eastAsia="it-IT"/>
              </w:rPr>
              <w:t>[22]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2F7E8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The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® Percutaneous Ventricular Assist Device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D4A95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2009 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32505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Report HTA of the McGill University Health Centre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02A6D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HTA Report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869DF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2546B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5.0/2.5/CP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D86DC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B4E4E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Survival to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sicharge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30-day survival, hemodynamic stability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802DE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2D44A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The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5.0 device is clearly more clinically effective than IABP or ECMO. It is also less traumatic and less expensive than other available ventricular assist devices.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•  the use of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5.0 can be cost saving.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• Case selection is critical. Used too early is unproductive and expensive. Used too late, when pump failure, end-organ failure or brain death are irreversible its use is wasteful.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• Review of current use of this technology at the McGill University Health Centre indicates that utilisation is restrained and appropriate. </w:t>
            </w:r>
          </w:p>
        </w:tc>
      </w:tr>
      <w:tr w:rsidR="00B850BE" w:rsidRPr="00B850BE" w14:paraId="3B99106F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0A624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 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292C3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 Lee 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instrText xml:space="preserve"> ADDIN EN.CITE &lt;EndNote&gt;&lt;Cite ExcludeAuth="1"&gt;&lt;Year&gt;2017&lt;/Year&gt;&lt;RecNum&gt;511&lt;/RecNum&gt;&lt;DisplayText&gt;[23]&lt;/DisplayText&gt;&lt;record&gt;&lt;rec-number&gt;511&lt;/rec-number&gt;&lt;foreign-keys&gt;&lt;key app="EN" db-id="tttxrwwz9rxzejed00pxrzskdw5stre0v92s"&gt;511&lt;/key&gt;&lt;/foreign-keys&gt;&lt;ref-type name="Journal Article"&gt;17&lt;/ref-type&gt;&lt;contributors&gt;&lt;/contributors&gt;&lt;titles&gt;&lt;title&gt;Percutaneous Ventricular Assist Devices: A Health Technology Assessment.&lt;/title&gt;&lt;secondary-title&gt;Ontario health technology assessment series&lt;/secondary-title&gt;&lt;/titles&gt;&lt;pages&gt;1-97&lt;/pages&gt;&lt;volume&gt;17&lt;/volume&gt;&lt;number&gt;2&lt;/number&gt;&lt;keywords&gt;&lt;keyword&gt;Female&lt;/keyword&gt;&lt;keyword&gt;Humans&lt;/keyword&gt;&lt;keyword&gt;Middle Aged&lt;/keyword&gt;&lt;keyword&gt;Aged&lt;/keyword&gt;&lt;keyword&gt;Aged, 80 and over&lt;/keyword&gt;&lt;keyword&gt;Cost-Benefit Analysis&lt;/keyword&gt;&lt;keyword&gt;Male&lt;/keyword&gt;&lt;keyword&gt;Risk Factors&lt;/keyword&gt;&lt;keyword&gt;Prospective Studies&lt;/keyword&gt;&lt;keyword&gt;*Technology Assessment, Biomedical&lt;/keyword&gt;&lt;keyword&gt;Coronary Occlusion/*therapy&lt;/keyword&gt;&lt;keyword&gt;Heart-Assist Devices/*economics&lt;/keyword&gt;&lt;keyword&gt;Ontario&lt;/keyword&gt;&lt;keyword&gt;Percutaneous Coronary Intervention/*economics&lt;/keyword&gt;&lt;/keywords&gt;&lt;dates&gt;&lt;year&gt;2017&lt;/year&gt;&lt;pub-dates&gt;&lt;date&gt;2017&lt;/date&gt;&lt;/pub-dates&gt;&lt;/dates&gt;&lt;isbn&gt;1915-7398 1915-7398&lt;/isbn&gt;&lt;urls&gt;&lt;/urls&gt;&lt;language&gt;eng&lt;/language&gt;&lt;/record&gt;&lt;/Cite&gt;&lt;/EndNote&gt;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w:t>[23]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51AF4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Percutaneous Ventricular Assist Devices: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 Health Technology Assessment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7F3DC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30402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Report HTA - Health Quality Ontario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D8656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HTA Report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6143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18 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B473F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Impella 5.0 / 2.5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8F1C3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nd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F9052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Mortality, hemodynamic stability, major adverse events, bleeding complications, vascuolar complications,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06265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 randomized controlled trials or prospective observational studies with a control group have studied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CP and 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5.0 (other models of the device) in patients undergoing high-risk PCI or patients with cardiogenic shock.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B96E7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On the basis of evidence of low to very low quality,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2.5 devices were associated with improved hemodynamic stability, but had mortality rates and safety profile similar to IABPs in high-risk PCI and cardiogenic shock. Our cost-effectiveness analysis indicated that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2.5 is likely associated with greater costs and fewer quality-adjusted life years than IABP.  Their budget impact analysis revealed that, in the first 4 years, publicly funding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2.5 and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could result in incremental spending for high-risk PCI ($1.3–$5.3 million per year) and cardiogenic shock ($1.6–$6.3 million per year) </w:t>
            </w:r>
          </w:p>
        </w:tc>
      </w:tr>
      <w:tr w:rsidR="00B850BE" w:rsidRPr="00B850BE" w14:paraId="2C596D8C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8371B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 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6FD46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Emergency Care Research Institute  (ECRI) 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begin"/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instrText xml:space="preserve"> ADDIN EN.CITE &lt;EndNote&gt;&lt;Cite ExcludeAuth="1" ExcludeYear="1"&gt;&lt;RecNum&gt;7&lt;/RecNum&gt;&lt;DisplayText&gt;[24]&lt;/DisplayText&gt;&lt;record&gt;&lt;rec-number&gt;7&lt;/rec-number&gt;&lt;foreign-keys&gt;&lt;key app="EN" db-id="tttxrwwz9rxzejed00pxrzskdw5stre0v92s"&gt;7&lt;/key&gt;&lt;/foreign-keys&gt;&lt;ref-type name="Journal Article"&gt;17&lt;/ref-type&gt;&lt;contributors&gt;&lt;authors&gt;&lt;author&gt;Bhalla, Aneil&lt;/author&gt;&lt;author&gt;Attaran, Robert&lt;/author&gt;&lt;/authors&gt;&lt;/contributors&gt;&lt;titles&gt;&lt;title&gt;Mechanical Circulatory Support to Treat Pulmonary Embolism: Venoarterial  Extracorporeal Membrane Oxygenation and Right Ventricular Assist Devices.&lt;/title&gt;&lt;secondary-title&gt;Texas Heart Institute journal&lt;/secondary-title&gt;&lt;/titles&gt;&lt;pages&gt;202-206&lt;/pages&gt;&lt;volume&gt;47&lt;/volume&gt;&lt;number&gt;3&lt;/number&gt;&lt;keywords&gt;&lt;keyword&gt;heart-assist devices&lt;/keyword&gt;&lt;keyword&gt;treatment outcome&lt;/keyword&gt;&lt;keyword&gt;extracorporeal membrane oxygenation&lt;/keyword&gt;&lt;keyword&gt;Contraindications&lt;/keyword&gt;&lt;keyword&gt;pulmonary embolism/complications/prevention &amp;amp; control/therapy&lt;/keyword&gt;&lt;keyword&gt;retrospective studies&lt;/keyword&gt;&lt;keyword&gt;ventricular dysfunction, right/therapy&lt;/keyword&gt;&lt;/keywords&gt;&lt;dates&gt;&lt;year&gt;2020&lt;/year&gt;&lt;pub-dates&gt;&lt;date&gt;2020 Jun 1&lt;/date&gt;&lt;/pub-dates&gt;&lt;/dates&gt;&lt;isbn&gt;1526-6702 0730-2347&lt;/isbn&gt;&lt;urls&gt;&lt;/urls&gt;&lt;electronic-resource-num&gt;10.14503/THIJ-19-7025&lt;/electronic-resource-num&gt;&lt;language&gt;eng&lt;/language&gt;&lt;/record&gt;&lt;/Cite&gt;&lt;/EndNote&gt;</w:instrTex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separate"/>
            </w:r>
            <w:r w:rsidRPr="00B850B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w:t>[24]</w:t>
            </w:r>
            <w:r w:rsidRPr="00B85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F20A6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5.0/LD (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Abiomed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Inc.) for Treating Left Ventricular Heart Failure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45F50" w14:textId="77777777" w:rsidR="00B850BE" w:rsidRPr="00B850BE" w:rsidRDefault="00B850BE" w:rsidP="00B850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96631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ECRI Institute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22F62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HTA Report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08450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6  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0D65E" w14:textId="77777777" w:rsidR="00B850BE" w:rsidRPr="00B850BE" w:rsidRDefault="00B850BE" w:rsidP="00B85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Impella 5.0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C9DCF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ECMO, Impella 2,5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EB084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69922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D9DBE" w14:textId="77777777" w:rsidR="00B850BE" w:rsidRPr="00B850BE" w:rsidRDefault="00B850BE" w:rsidP="00B850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Available evidence is insufficient to draw conclusions about the comparative safety and effectiveness of the </w:t>
            </w:r>
            <w:proofErr w:type="spellStart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Impella</w:t>
            </w:r>
            <w:proofErr w:type="spellEnd"/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5.0 compared to 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other temporary circulatory support devices for treating left ventricular heart failure. </w:t>
            </w:r>
            <w:r w:rsidRPr="00B850B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 </w:t>
            </w:r>
          </w:p>
        </w:tc>
      </w:tr>
    </w:tbl>
    <w:p w14:paraId="7DCC606F" w14:textId="77777777" w:rsidR="00B850BE" w:rsidRPr="00B850BE" w:rsidRDefault="00B850BE" w:rsidP="00B85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14:paraId="249C7498" w14:textId="77777777" w:rsidR="00B850BE" w:rsidRPr="00B850BE" w:rsidRDefault="00B850BE" w:rsidP="00B85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B850BE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Legend: </w:t>
      </w:r>
      <w:r w:rsidRPr="00B850BE">
        <w:rPr>
          <w:rFonts w:ascii="Arial" w:eastAsia="Times New Roman" w:hAnsi="Arial" w:cs="Arial"/>
          <w:sz w:val="18"/>
          <w:szCs w:val="18"/>
          <w:lang w:eastAsia="it-IT"/>
        </w:rPr>
        <w:t> </w:t>
      </w:r>
    </w:p>
    <w:p w14:paraId="21319ED9" w14:textId="77777777" w:rsidR="00B850BE" w:rsidRPr="00B850BE" w:rsidRDefault="00B850BE" w:rsidP="00B85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B850BE">
        <w:rPr>
          <w:rFonts w:ascii="Arial" w:eastAsia="Times New Roman" w:hAnsi="Arial" w:cs="Arial"/>
          <w:sz w:val="18"/>
          <w:szCs w:val="18"/>
          <w:lang w:eastAsia="it-IT"/>
        </w:rPr>
        <w:t>LV (left ventricle), ECMO (extracorporeal membrane oxygenation), ECRI (Emergency Care Research Institute) LVAD (left ventricular assist device), MCS (mechanical circulatory support), CS (cardiogenic shock), HTA (Health Technology Assessment), IABP (Intra-aortic balloon pump), HERC (health evidence review commission), PCI (percutaneous coronary interventions), GRADE (Grading of Recommendations Assessment, Development, and Evaluation), </w:t>
      </w:r>
    </w:p>
    <w:p w14:paraId="696B412F" w14:textId="77777777" w:rsidR="009A55B6" w:rsidRDefault="009A55B6"/>
    <w:sectPr w:rsidR="009A55B6" w:rsidSect="00B850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BE"/>
    <w:rsid w:val="009A55B6"/>
    <w:rsid w:val="00B850BE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B66C"/>
  <w15:chartTrackingRefBased/>
  <w15:docId w15:val="{E4E0989E-6A53-4DCD-90E4-733A137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2021-09-16T14:03:00Z</dcterms:created>
  <dcterms:modified xsi:type="dcterms:W3CDTF">2021-09-16T14:04:00Z</dcterms:modified>
</cp:coreProperties>
</file>