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52" w:rsidRPr="008C7B7E" w:rsidRDefault="00C75D52" w:rsidP="000D71B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S1. </w:t>
      </w:r>
      <w:r w:rsidRPr="008C7B7E">
        <w:rPr>
          <w:rFonts w:asciiTheme="majorBidi" w:hAnsiTheme="majorBidi" w:cstheme="majorBidi"/>
          <w:sz w:val="24"/>
          <w:szCs w:val="24"/>
        </w:rPr>
        <w:t xml:space="preserve">Preparation of calibrators and quality control samples for </w:t>
      </w:r>
      <w:r w:rsidRPr="00C75D52">
        <w:rPr>
          <w:rFonts w:asciiTheme="majorBidi" w:hAnsiTheme="majorBidi" w:cstheme="majorBidi"/>
          <w:sz w:val="24"/>
          <w:szCs w:val="24"/>
        </w:rPr>
        <w:t>T</w:t>
      </w:r>
      <w:r w:rsidR="000D71B4">
        <w:rPr>
          <w:rFonts w:asciiTheme="majorBidi" w:hAnsiTheme="majorBidi" w:cstheme="majorBidi"/>
          <w:sz w:val="24"/>
          <w:szCs w:val="24"/>
        </w:rPr>
        <w:t>D</w:t>
      </w:r>
      <w:bookmarkStart w:id="0" w:name="_GoBack"/>
      <w:bookmarkEnd w:id="0"/>
      <w:r w:rsidRPr="00C75D52">
        <w:rPr>
          <w:rFonts w:asciiTheme="majorBidi" w:hAnsiTheme="majorBidi" w:cstheme="majorBidi"/>
          <w:sz w:val="24"/>
          <w:szCs w:val="24"/>
        </w:rPr>
        <w:t>, CLR and LAN</w:t>
      </w:r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203"/>
        <w:gridCol w:w="981"/>
        <w:gridCol w:w="982"/>
        <w:gridCol w:w="982"/>
        <w:gridCol w:w="1078"/>
        <w:gridCol w:w="971"/>
        <w:gridCol w:w="971"/>
        <w:gridCol w:w="969"/>
      </w:tblGrid>
      <w:tr w:rsidR="00C75D52" w:rsidRPr="008C7B7E" w:rsidTr="00470296">
        <w:trPr>
          <w:trHeight w:val="504"/>
          <w:jc w:val="center"/>
        </w:trPr>
        <w:tc>
          <w:tcPr>
            <w:tcW w:w="751" w:type="pct"/>
            <w:vMerge w:val="restart"/>
            <w:vAlign w:val="center"/>
            <w:hideMark/>
          </w:tcPr>
          <w:p w:rsidR="00C75D52" w:rsidRPr="008C7B7E" w:rsidRDefault="00C75D52" w:rsidP="00AE378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C7B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Prepared samples</w:t>
            </w:r>
          </w:p>
        </w:tc>
        <w:tc>
          <w:tcPr>
            <w:tcW w:w="628" w:type="pct"/>
            <w:vMerge w:val="restart"/>
            <w:vAlign w:val="center"/>
            <w:hideMark/>
          </w:tcPr>
          <w:p w:rsidR="00C75D52" w:rsidRPr="008C7B7E" w:rsidRDefault="00C75D52" w:rsidP="00AE378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C7B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Plasma volume</w:t>
            </w:r>
          </w:p>
        </w:tc>
        <w:tc>
          <w:tcPr>
            <w:tcW w:w="1537" w:type="pct"/>
            <w:gridSpan w:val="3"/>
            <w:shd w:val="clear" w:color="auto" w:fill="auto"/>
            <w:vAlign w:val="center"/>
            <w:hideMark/>
          </w:tcPr>
          <w:p w:rsidR="00C75D52" w:rsidRPr="00C75D52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75D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Adding 50</w:t>
            </w:r>
            <w:r w:rsidR="004702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µL </w:t>
            </w:r>
            <w:r w:rsidRPr="00C75D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of mixed working standard solution </w:t>
            </w:r>
            <w:r w:rsidRPr="00522BC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(µg/mL)</w:t>
            </w:r>
          </w:p>
        </w:tc>
        <w:tc>
          <w:tcPr>
            <w:tcW w:w="563" w:type="pct"/>
            <w:vMerge w:val="restart"/>
            <w:vAlign w:val="center"/>
            <w:hideMark/>
          </w:tcPr>
          <w:p w:rsidR="00C75D52" w:rsidRPr="00004380" w:rsidRDefault="00C75D52" w:rsidP="00AE378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0438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Final volume</w:t>
            </w:r>
          </w:p>
        </w:tc>
        <w:tc>
          <w:tcPr>
            <w:tcW w:w="1520" w:type="pct"/>
            <w:gridSpan w:val="3"/>
            <w:vAlign w:val="center"/>
            <w:hideMark/>
          </w:tcPr>
          <w:p w:rsidR="00C75D52" w:rsidRPr="00C75D52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75D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Final plasma concentration (µg/mL)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TZ</w:t>
            </w:r>
          </w:p>
        </w:tc>
        <w:tc>
          <w:tcPr>
            <w:tcW w:w="513" w:type="pct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CLR</w:t>
            </w:r>
          </w:p>
        </w:tc>
        <w:tc>
          <w:tcPr>
            <w:tcW w:w="513" w:type="pct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LAN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TZ</w:t>
            </w:r>
          </w:p>
        </w:tc>
        <w:tc>
          <w:tcPr>
            <w:tcW w:w="507" w:type="pct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CLR</w:t>
            </w:r>
          </w:p>
        </w:tc>
        <w:tc>
          <w:tcPr>
            <w:tcW w:w="506" w:type="pct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LAN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 w:val="restart"/>
            <w:vAlign w:val="center"/>
            <w:hideMark/>
          </w:tcPr>
          <w:p w:rsidR="00C75D52" w:rsidRPr="008C7B7E" w:rsidRDefault="00C75D52" w:rsidP="00C75D52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C7B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Calibrators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C75D52" w:rsidRPr="00C75D52" w:rsidRDefault="00C75D52" w:rsidP="00AE378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75D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450 µL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522BC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3" w:type="pct"/>
            <w:vMerge w:val="restart"/>
            <w:vAlign w:val="center"/>
            <w:hideMark/>
          </w:tcPr>
          <w:p w:rsidR="00C75D52" w:rsidRPr="00C75D52" w:rsidRDefault="00C75D52" w:rsidP="00AE378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75D5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500 µL</w:t>
            </w: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06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0.25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6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6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6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92771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92771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06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C75D52" w:rsidRPr="008C7B7E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4C0728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6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50.0</w:t>
            </w:r>
          </w:p>
        </w:tc>
      </w:tr>
      <w:tr w:rsidR="00C75D52" w:rsidRPr="008C7B7E" w:rsidTr="00470296">
        <w:trPr>
          <w:trHeight w:val="321"/>
          <w:jc w:val="center"/>
        </w:trPr>
        <w:tc>
          <w:tcPr>
            <w:tcW w:w="751" w:type="pct"/>
            <w:vAlign w:val="center"/>
            <w:hideMark/>
          </w:tcPr>
          <w:p w:rsidR="00C75D52" w:rsidRPr="008C7B7E" w:rsidRDefault="00C75D52" w:rsidP="004702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</w:t>
            </w:r>
            <w:r w:rsidRPr="008C7B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QC</w:t>
            </w:r>
          </w:p>
        </w:tc>
        <w:tc>
          <w:tcPr>
            <w:tcW w:w="628" w:type="pct"/>
            <w:vMerge/>
            <w:vAlign w:val="center"/>
            <w:hideMark/>
          </w:tcPr>
          <w:p w:rsidR="00C75D52" w:rsidRPr="008C7B7E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004380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004380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004380" w:rsidRDefault="00C75D52" w:rsidP="00C75D5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06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</w:t>
            </w:r>
          </w:p>
        </w:tc>
      </w:tr>
      <w:tr w:rsidR="00C75D52" w:rsidRPr="008C7B7E" w:rsidTr="00470296">
        <w:trPr>
          <w:trHeight w:val="321"/>
          <w:jc w:val="center"/>
        </w:trPr>
        <w:tc>
          <w:tcPr>
            <w:tcW w:w="751" w:type="pct"/>
            <w:vAlign w:val="center"/>
            <w:hideMark/>
          </w:tcPr>
          <w:p w:rsidR="00C75D52" w:rsidRPr="008C7B7E" w:rsidRDefault="00C75D52" w:rsidP="004702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</w:t>
            </w:r>
            <w:r w:rsidRPr="008C7B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QC</w:t>
            </w:r>
          </w:p>
        </w:tc>
        <w:tc>
          <w:tcPr>
            <w:tcW w:w="628" w:type="pct"/>
            <w:vMerge/>
            <w:vAlign w:val="center"/>
            <w:hideMark/>
          </w:tcPr>
          <w:p w:rsidR="00C75D52" w:rsidRPr="008C7B7E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A01D9B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A01D9B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A01D9B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8C7B7E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506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20.0</w:t>
            </w:r>
          </w:p>
        </w:tc>
      </w:tr>
      <w:tr w:rsidR="00C75D52" w:rsidRPr="008C7B7E" w:rsidTr="00470296">
        <w:trPr>
          <w:trHeight w:val="338"/>
          <w:jc w:val="center"/>
        </w:trPr>
        <w:tc>
          <w:tcPr>
            <w:tcW w:w="751" w:type="pct"/>
            <w:vAlign w:val="center"/>
            <w:hideMark/>
          </w:tcPr>
          <w:p w:rsidR="00C75D52" w:rsidRPr="008C7B7E" w:rsidRDefault="00C75D52" w:rsidP="004702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</w:t>
            </w:r>
            <w:r w:rsidRPr="008C7B7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QC</w:t>
            </w:r>
          </w:p>
        </w:tc>
        <w:tc>
          <w:tcPr>
            <w:tcW w:w="628" w:type="pct"/>
            <w:vMerge/>
            <w:vAlign w:val="center"/>
            <w:hideMark/>
          </w:tcPr>
          <w:p w:rsidR="00C75D52" w:rsidRPr="008C7B7E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75D52" w:rsidRPr="00A01D9B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A01D9B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75D52" w:rsidRPr="00A01D9B" w:rsidRDefault="00945A9B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400</w:t>
            </w:r>
            <w:r w:rsidR="0092771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3" w:type="pct"/>
            <w:vMerge/>
            <w:vAlign w:val="center"/>
            <w:hideMark/>
          </w:tcPr>
          <w:p w:rsidR="00C75D52" w:rsidRPr="008C7B7E" w:rsidRDefault="00C75D52" w:rsidP="00AE378C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507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506" w:type="pct"/>
            <w:vAlign w:val="center"/>
          </w:tcPr>
          <w:p w:rsidR="00C75D52" w:rsidRPr="008C7B7E" w:rsidRDefault="00C75D52" w:rsidP="00C75D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40.0</w:t>
            </w:r>
          </w:p>
        </w:tc>
      </w:tr>
    </w:tbl>
    <w:p w:rsidR="00C75D52" w:rsidRDefault="00C75D52" w:rsidP="00C75D52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C3334E" w:rsidRDefault="000D71B4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Default="00927718"/>
    <w:p w:rsidR="00927718" w:rsidRPr="00E0417F" w:rsidRDefault="00927718" w:rsidP="00927718">
      <w:pPr>
        <w:spacing w:line="360" w:lineRule="auto"/>
        <w:ind w:left="990" w:hanging="990"/>
        <w:rPr>
          <w:rFonts w:asciiTheme="majorBidi" w:hAnsiTheme="majorBidi" w:cstheme="majorBidi"/>
          <w:sz w:val="24"/>
          <w:szCs w:val="24"/>
          <w:lang w:bidi="ar-EG"/>
        </w:rPr>
      </w:pPr>
      <w:r w:rsidRPr="00A36E84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S2</w:t>
      </w:r>
      <w:r w:rsidRPr="00A36E84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7323F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A36E84">
        <w:rPr>
          <w:rFonts w:asciiTheme="majorBidi" w:hAnsiTheme="majorBidi" w:cstheme="majorBidi"/>
          <w:sz w:val="24"/>
          <w:szCs w:val="24"/>
          <w:lang w:bidi="ar-EG"/>
        </w:rPr>
        <w:t xml:space="preserve">Statistical </w:t>
      </w:r>
      <w:r>
        <w:rPr>
          <w:rFonts w:asciiTheme="majorBidi" w:hAnsiTheme="majorBidi" w:cstheme="majorBidi"/>
          <w:sz w:val="24"/>
          <w:szCs w:val="24"/>
          <w:lang w:bidi="ar-EG"/>
        </w:rPr>
        <w:t>comparison of results obtained by</w:t>
      </w:r>
      <w:r w:rsidRPr="00A36E8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proposed</w:t>
      </w:r>
      <w:r w:rsidRPr="00A36E8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HPLC-DAD </w:t>
      </w:r>
      <w:r w:rsidRPr="00A36E84">
        <w:rPr>
          <w:rFonts w:asciiTheme="majorBidi" w:hAnsiTheme="majorBidi" w:cstheme="majorBidi"/>
          <w:sz w:val="24"/>
          <w:szCs w:val="24"/>
          <w:lang w:bidi="ar-EG"/>
        </w:rPr>
        <w:t>method and the official method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for determination of TD, CLR and LAN in pure forms</w:t>
      </w:r>
      <w:r w:rsidRPr="00A36E84">
        <w:rPr>
          <w:rFonts w:asciiTheme="majorBidi" w:hAnsiTheme="majorBidi" w:cstheme="majorBidi"/>
          <w:sz w:val="24"/>
          <w:szCs w:val="24"/>
          <w:lang w:bidi="ar-EG"/>
        </w:rPr>
        <w:t>.</w:t>
      </w:r>
    </w:p>
    <w:tbl>
      <w:tblPr>
        <w:tblStyle w:val="LightList-Accent5"/>
        <w:tblW w:w="0" w:type="auto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056"/>
        <w:gridCol w:w="1057"/>
        <w:gridCol w:w="1057"/>
        <w:gridCol w:w="1050"/>
        <w:gridCol w:w="1051"/>
        <w:gridCol w:w="1051"/>
      </w:tblGrid>
      <w:tr w:rsidR="000F5992" w:rsidRPr="000F5992" w:rsidTr="000F5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Merge w:val="restart"/>
            <w:shd w:val="clear" w:color="auto" w:fill="auto"/>
            <w:vAlign w:val="center"/>
          </w:tcPr>
          <w:p w:rsidR="000F5992" w:rsidRPr="000F5992" w:rsidRDefault="000F5992" w:rsidP="000F5992">
            <w:pPr>
              <w:jc w:val="center"/>
              <w:rPr>
                <w:rFonts w:asciiTheme="majorBidi" w:hAnsiTheme="majorBidi"/>
                <w:color w:val="auto"/>
                <w:lang w:bidi="ar-EG"/>
              </w:rPr>
            </w:pPr>
            <w:r w:rsidRPr="000F5992">
              <w:rPr>
                <w:rFonts w:asciiTheme="majorBidi" w:hAnsiTheme="majorBidi"/>
                <w:color w:val="auto"/>
                <w:lang w:bidi="ar-EG"/>
              </w:rPr>
              <w:t>Parameter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lang w:bidi="ar-EG"/>
              </w:rPr>
            </w:pPr>
            <w:r w:rsidRPr="000F5992">
              <w:rPr>
                <w:rFonts w:asciiTheme="majorBidi" w:hAnsiTheme="majorBidi"/>
                <w:color w:val="auto"/>
                <w:lang w:bidi="ar-EG"/>
              </w:rPr>
              <w:t>Proposed HPLC-DAD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lang w:bidi="ar-EG"/>
              </w:rPr>
            </w:pPr>
            <w:r w:rsidRPr="000F5992">
              <w:rPr>
                <w:rFonts w:asciiTheme="majorBidi" w:hAnsiTheme="majorBidi"/>
                <w:color w:val="auto"/>
                <w:lang w:bidi="ar-EG"/>
              </w:rPr>
              <w:t xml:space="preserve">Official method </w:t>
            </w:r>
            <w:r w:rsidRPr="000F5992">
              <w:rPr>
                <w:rFonts w:asciiTheme="majorBidi" w:hAnsiTheme="majorBidi"/>
                <w:lang w:bidi="ar-EG"/>
              </w:rPr>
              <w:fldChar w:fldCharType="begin" w:fldLock="1"/>
            </w:r>
            <w:r w:rsidRPr="000F5992">
              <w:rPr>
                <w:rFonts w:asciiTheme="majorBidi" w:hAnsiTheme="majorBidi"/>
                <w:color w:val="auto"/>
                <w:lang w:bidi="ar-EG"/>
              </w:rPr>
              <w:instrText>ADDIN CSL_CITATION {"citationItems":[{"id":"ITEM-1","itemData":{"URL":"https://books.google.com.eg/books?hl=en&amp;lr=&amp;id=gI21CwAAQBAJ&amp;oi=fnd&amp;pg=PP1&amp;dq=The+British+pharmacopoeia+I+%26+II+(2014)+Bp+commission+(7th+edn)+Great+Britain,+her+Majesty’s+stationery+office,+Dublin.&amp;ots=IBXIJi_6Rz&amp;sig=Prhi3qvc6D2GnSvpZVuOGfurK3k&amp;redir_esc=y#v=onepage&amp;q&amp;f=false","accessed":{"date-parts":[["2021","2","20"]]},"id":"ITEM-1","issued":{"date-parts":[["0"]]},"title":"The British Pharmacopoeia, 1864 to 2014: Medicines, International Standards . Stationary office","type":"webpage"},"uris":["http://www.mendeley.com/documents/?uuid=0bb86ce3-0767-37ba-89e4-87c93c4cf021"]}],"mendeley":{"formattedCitation":"[1]","plainTextFormattedCitation":"[1]","previouslyFormattedCitation":"[1]"},"properties":{"noteIndex":0},"schema":"https://github.com/citation-style-language/schema/raw/master/csl-citation.json"}</w:instrText>
            </w:r>
            <w:r w:rsidRPr="000F5992">
              <w:rPr>
                <w:rFonts w:asciiTheme="majorBidi" w:hAnsiTheme="majorBidi"/>
                <w:lang w:bidi="ar-EG"/>
              </w:rPr>
              <w:fldChar w:fldCharType="separate"/>
            </w:r>
            <w:r w:rsidR="006D00A9">
              <w:rPr>
                <w:rFonts w:asciiTheme="majorBidi" w:hAnsiTheme="majorBidi"/>
                <w:b w:val="0"/>
                <w:noProof/>
                <w:color w:val="auto"/>
                <w:lang w:bidi="ar-EG"/>
              </w:rPr>
              <w:t>[8</w:t>
            </w:r>
            <w:r w:rsidRPr="000F5992">
              <w:rPr>
                <w:rFonts w:asciiTheme="majorBidi" w:hAnsiTheme="majorBidi"/>
                <w:b w:val="0"/>
                <w:noProof/>
                <w:color w:val="auto"/>
                <w:lang w:bidi="ar-EG"/>
              </w:rPr>
              <w:t>]</w:t>
            </w:r>
            <w:r w:rsidRPr="000F5992">
              <w:rPr>
                <w:rFonts w:asciiTheme="majorBidi" w:hAnsiTheme="majorBidi"/>
                <w:lang w:bidi="ar-EG"/>
              </w:rPr>
              <w:fldChar w:fldCharType="end"/>
            </w:r>
          </w:p>
        </w:tc>
      </w:tr>
      <w:tr w:rsidR="000F5992" w:rsidRPr="000F5992" w:rsidTr="000F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0F5992">
            <w:pPr>
              <w:jc w:val="center"/>
              <w:rPr>
                <w:rFonts w:asciiTheme="majorBidi" w:hAnsiTheme="majorBidi"/>
                <w:lang w:bidi="ar-EG"/>
              </w:rPr>
            </w:pP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ar-EG"/>
              </w:rPr>
            </w:pPr>
            <w:r w:rsidRPr="000F5992">
              <w:rPr>
                <w:rFonts w:asciiTheme="majorBidi" w:hAnsiTheme="majorBidi"/>
                <w:b/>
                <w:bCs/>
                <w:lang w:bidi="ar-EG"/>
              </w:rPr>
              <w:t>TD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ar-EG"/>
              </w:rPr>
            </w:pPr>
            <w:r w:rsidRPr="000F5992">
              <w:rPr>
                <w:rFonts w:asciiTheme="majorBidi" w:hAnsiTheme="majorBidi"/>
                <w:b/>
                <w:bCs/>
                <w:lang w:bidi="ar-EG"/>
              </w:rPr>
              <w:t>CLR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ar-EG"/>
              </w:rPr>
            </w:pPr>
            <w:r w:rsidRPr="000F5992">
              <w:rPr>
                <w:rFonts w:asciiTheme="majorBidi" w:hAnsiTheme="majorBidi"/>
                <w:b/>
                <w:bCs/>
                <w:lang w:bidi="ar-EG"/>
              </w:rPr>
              <w:t>LAN</w:t>
            </w: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ar-EG"/>
              </w:rPr>
            </w:pPr>
            <w:proofErr w:type="spellStart"/>
            <w:r w:rsidRPr="000F5992">
              <w:rPr>
                <w:rFonts w:asciiTheme="majorBidi" w:hAnsiTheme="majorBidi"/>
                <w:b/>
                <w:bCs/>
                <w:lang w:bidi="ar-EG"/>
              </w:rPr>
              <w:t>TD</w:t>
            </w:r>
            <w:r w:rsidRPr="000F5992">
              <w:rPr>
                <w:rFonts w:asciiTheme="majorBidi" w:hAnsiTheme="majorBidi"/>
                <w:b/>
                <w:bCs/>
                <w:vertAlign w:val="superscript"/>
                <w:lang w:bidi="ar-EG"/>
              </w:rPr>
              <w:t>a</w:t>
            </w:r>
            <w:proofErr w:type="spellEnd"/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vertAlign w:val="superscript"/>
                <w:lang w:bidi="ar-EG"/>
              </w:rPr>
            </w:pPr>
            <w:proofErr w:type="spellStart"/>
            <w:r w:rsidRPr="000F5992">
              <w:rPr>
                <w:rFonts w:asciiTheme="majorBidi" w:hAnsiTheme="majorBidi"/>
                <w:b/>
                <w:bCs/>
                <w:lang w:bidi="ar-EG"/>
              </w:rPr>
              <w:t>CLR</w:t>
            </w:r>
            <w:r w:rsidRPr="000F5992">
              <w:rPr>
                <w:rFonts w:asciiTheme="majorBidi" w:hAnsiTheme="majorBidi"/>
                <w:b/>
                <w:bCs/>
                <w:vertAlign w:val="superscript"/>
                <w:lang w:bidi="ar-EG"/>
              </w:rPr>
              <w:t>b</w:t>
            </w:r>
            <w:proofErr w:type="spellEnd"/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5992" w:rsidRPr="000F5992" w:rsidRDefault="000F5992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lang w:bidi="ar-EG"/>
              </w:rPr>
            </w:pPr>
            <w:proofErr w:type="spellStart"/>
            <w:r w:rsidRPr="000F5992">
              <w:rPr>
                <w:rFonts w:asciiTheme="majorBidi" w:hAnsiTheme="majorBidi"/>
                <w:b/>
                <w:bCs/>
                <w:lang w:bidi="ar-EG"/>
              </w:rPr>
              <w:t>LAN</w:t>
            </w:r>
            <w:r w:rsidRPr="000F5992">
              <w:rPr>
                <w:rFonts w:asciiTheme="majorBidi" w:hAnsiTheme="majorBidi"/>
                <w:b/>
                <w:bCs/>
                <w:vertAlign w:val="superscript"/>
                <w:lang w:bidi="ar-EG"/>
              </w:rPr>
              <w:t>c</w:t>
            </w:r>
            <w:proofErr w:type="spellEnd"/>
          </w:p>
        </w:tc>
      </w:tr>
      <w:tr w:rsidR="000F5992" w:rsidRPr="000F5992" w:rsidTr="000F5992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Mean%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99.37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99.42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100.79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99.54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100.21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100.89</w:t>
            </w:r>
          </w:p>
        </w:tc>
      </w:tr>
      <w:tr w:rsidR="000F5992" w:rsidRPr="000F5992" w:rsidTr="000F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SD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0.281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1.33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1.5</w:t>
            </w: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0.162</w:t>
            </w:r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1.12</w:t>
            </w:r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0.898</w:t>
            </w:r>
          </w:p>
        </w:tc>
      </w:tr>
      <w:tr w:rsidR="000F5992" w:rsidRPr="000F5992" w:rsidTr="000F5992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Variance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0.079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1.769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2.25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0.026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1.254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0.806</w:t>
            </w:r>
          </w:p>
        </w:tc>
      </w:tr>
      <w:tr w:rsidR="000F5992" w:rsidRPr="000F5992" w:rsidTr="000F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t-test</w:t>
            </w:r>
          </w:p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(2.12)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1.58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1.36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0</w:t>
            </w:r>
            <w:r w:rsidR="004C5553">
              <w:rPr>
                <w:rFonts w:asciiTheme="majorBidi" w:hAnsiTheme="majorBidi"/>
              </w:rPr>
              <w:t>.</w:t>
            </w:r>
            <w:r w:rsidRPr="000F5992">
              <w:rPr>
                <w:rFonts w:asciiTheme="majorBidi" w:hAnsiTheme="majorBidi"/>
              </w:rPr>
              <w:t>17</w:t>
            </w: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</w:tr>
      <w:tr w:rsidR="000F5992" w:rsidRPr="000F5992" w:rsidTr="000F5992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F</w:t>
            </w:r>
          </w:p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(3.44)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3.01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1.41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2.79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</w:p>
        </w:tc>
      </w:tr>
      <w:tr w:rsidR="000F5992" w:rsidRPr="000F5992" w:rsidTr="000F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n</w:t>
            </w:r>
          </w:p>
        </w:tc>
        <w:tc>
          <w:tcPr>
            <w:tcW w:w="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</w:t>
            </w:r>
          </w:p>
        </w:tc>
        <w:tc>
          <w:tcPr>
            <w:tcW w:w="105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</w:t>
            </w: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9</w:t>
            </w:r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lang w:bidi="ar-EG"/>
              </w:rPr>
            </w:pPr>
            <w:r w:rsidRPr="000F5992">
              <w:rPr>
                <w:rFonts w:asciiTheme="majorBidi" w:hAnsiTheme="majorBidi"/>
                <w:lang w:bidi="ar-EG"/>
              </w:rPr>
              <w:t>9</w:t>
            </w:r>
          </w:p>
        </w:tc>
        <w:tc>
          <w:tcPr>
            <w:tcW w:w="1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27718" w:rsidRPr="000F5992" w:rsidRDefault="00927718" w:rsidP="009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F5992">
              <w:rPr>
                <w:rFonts w:asciiTheme="majorBidi" w:hAnsiTheme="majorBidi"/>
              </w:rPr>
              <w:t>9</w:t>
            </w:r>
          </w:p>
        </w:tc>
      </w:tr>
    </w:tbl>
    <w:p w:rsidR="00927718" w:rsidRPr="00927718" w:rsidRDefault="00927718" w:rsidP="00927718">
      <w:pPr>
        <w:jc w:val="both"/>
        <w:rPr>
          <w:rFonts w:asciiTheme="majorBidi" w:hAnsiTheme="majorBidi" w:cstheme="majorBidi"/>
          <w:sz w:val="10"/>
          <w:szCs w:val="10"/>
          <w:vertAlign w:val="superscript"/>
          <w:lang w:bidi="ar-EG"/>
        </w:rPr>
      </w:pPr>
    </w:p>
    <w:p w:rsidR="00927718" w:rsidRPr="000F5992" w:rsidRDefault="00927718" w:rsidP="000F5992">
      <w:pPr>
        <w:spacing w:after="0" w:line="360" w:lineRule="auto"/>
        <w:ind w:left="187" w:hanging="187"/>
        <w:jc w:val="both"/>
        <w:rPr>
          <w:rFonts w:asciiTheme="majorBidi" w:hAnsiTheme="majorBidi" w:cstheme="majorBidi"/>
          <w:lang w:bidi="ar-EG"/>
        </w:rPr>
      </w:pPr>
      <w:proofErr w:type="gramStart"/>
      <w:r w:rsidRPr="000F5992">
        <w:rPr>
          <w:rFonts w:asciiTheme="majorBidi" w:hAnsiTheme="majorBidi" w:cstheme="majorBidi"/>
          <w:vertAlign w:val="superscript"/>
          <w:lang w:bidi="ar-EG"/>
        </w:rPr>
        <w:t>a</w:t>
      </w:r>
      <w:proofErr w:type="gramEnd"/>
      <w:r w:rsidRPr="000F5992">
        <w:rPr>
          <w:rFonts w:asciiTheme="majorBidi" w:hAnsiTheme="majorBidi" w:cstheme="majorBidi"/>
          <w:vertAlign w:val="superscript"/>
          <w:lang w:bidi="ar-EG"/>
        </w:rPr>
        <w:t xml:space="preserve"> </w:t>
      </w:r>
      <w:r w:rsidRPr="000F5992">
        <w:rPr>
          <w:rFonts w:asciiTheme="majorBidi" w:hAnsiTheme="majorBidi" w:cstheme="majorBidi"/>
          <w:lang w:bidi="ar-EG"/>
        </w:rPr>
        <w:t>Mobile phase: acetonitrile-methanol-water in a ratio of 10:20:70, by volume using C</w:t>
      </w:r>
      <w:r w:rsidRPr="000F5992">
        <w:rPr>
          <w:rFonts w:asciiTheme="majorBidi" w:hAnsiTheme="majorBidi" w:cstheme="majorBidi"/>
          <w:vertAlign w:val="subscript"/>
          <w:lang w:bidi="ar-EG"/>
        </w:rPr>
        <w:t xml:space="preserve">18 </w:t>
      </w:r>
      <w:r w:rsidRPr="000F5992">
        <w:rPr>
          <w:rFonts w:asciiTheme="majorBidi" w:hAnsiTheme="majorBidi" w:cstheme="majorBidi"/>
          <w:lang w:bidi="ar-EG"/>
        </w:rPr>
        <w:t>column at flow rate 0.5 mL/min and UV detection at 320 nm.</w:t>
      </w:r>
    </w:p>
    <w:p w:rsidR="00927718" w:rsidRPr="000F5992" w:rsidRDefault="00927718" w:rsidP="000F5992">
      <w:pPr>
        <w:spacing w:after="0" w:line="360" w:lineRule="auto"/>
        <w:ind w:left="187" w:hanging="187"/>
        <w:jc w:val="both"/>
        <w:rPr>
          <w:rFonts w:asciiTheme="majorBidi" w:hAnsiTheme="majorBidi" w:cstheme="majorBidi"/>
          <w:lang w:bidi="ar-EG"/>
        </w:rPr>
      </w:pPr>
      <w:proofErr w:type="gramStart"/>
      <w:r w:rsidRPr="000F5992">
        <w:rPr>
          <w:rFonts w:asciiTheme="majorBidi" w:hAnsiTheme="majorBidi" w:cstheme="majorBidi"/>
          <w:vertAlign w:val="superscript"/>
          <w:lang w:bidi="ar-EG"/>
        </w:rPr>
        <w:t>b</w:t>
      </w:r>
      <w:proofErr w:type="gramEnd"/>
      <w:r w:rsidRPr="000F5992">
        <w:rPr>
          <w:rFonts w:asciiTheme="majorBidi" w:hAnsiTheme="majorBidi" w:cstheme="majorBidi"/>
          <w:lang w:bidi="ar-EG"/>
        </w:rPr>
        <w:t xml:space="preserve"> Mobile phase: acetonitrile-potassium dihydrogen orthophosphate, pH 4.4 in a ratio of 45:55, v/v using  C</w:t>
      </w:r>
      <w:r w:rsidRPr="000F5992">
        <w:rPr>
          <w:rFonts w:asciiTheme="majorBidi" w:hAnsiTheme="majorBidi" w:cstheme="majorBidi"/>
          <w:vertAlign w:val="subscript"/>
          <w:lang w:bidi="ar-EG"/>
        </w:rPr>
        <w:t>18</w:t>
      </w:r>
      <w:r w:rsidRPr="000F5992">
        <w:rPr>
          <w:rFonts w:asciiTheme="majorBidi" w:hAnsiTheme="majorBidi" w:cstheme="majorBidi"/>
          <w:lang w:bidi="ar-EG"/>
        </w:rPr>
        <w:t xml:space="preserve"> column at flow rate 1 mL/min and UV detection at 205 nm.</w:t>
      </w:r>
    </w:p>
    <w:p w:rsidR="00927718" w:rsidRDefault="00927718" w:rsidP="000F5992">
      <w:pPr>
        <w:spacing w:line="360" w:lineRule="auto"/>
        <w:ind w:left="180" w:hanging="180"/>
        <w:jc w:val="both"/>
        <w:rPr>
          <w:rFonts w:asciiTheme="majorBidi" w:hAnsiTheme="majorBidi" w:cstheme="majorBidi"/>
          <w:lang w:bidi="ar-EG"/>
        </w:rPr>
      </w:pPr>
      <w:proofErr w:type="gramStart"/>
      <w:r w:rsidRPr="000F5992">
        <w:rPr>
          <w:rFonts w:asciiTheme="majorBidi" w:hAnsiTheme="majorBidi" w:cstheme="majorBidi"/>
          <w:vertAlign w:val="superscript"/>
          <w:lang w:bidi="ar-EG"/>
        </w:rPr>
        <w:t>c</w:t>
      </w:r>
      <w:proofErr w:type="gramEnd"/>
      <w:r w:rsidRPr="000F5992">
        <w:rPr>
          <w:rFonts w:asciiTheme="majorBidi" w:hAnsiTheme="majorBidi" w:cstheme="majorBidi"/>
          <w:lang w:bidi="ar-EG"/>
        </w:rPr>
        <w:t xml:space="preserve"> Mobile phase: trimethylamine-water, pH 6.2-acetonitrile in a ratio of 1:39:60, by volume using  C</w:t>
      </w:r>
      <w:r w:rsidRPr="000F5992">
        <w:rPr>
          <w:rFonts w:asciiTheme="majorBidi" w:hAnsiTheme="majorBidi" w:cstheme="majorBidi"/>
          <w:vertAlign w:val="subscript"/>
          <w:lang w:bidi="ar-EG"/>
        </w:rPr>
        <w:t>18</w:t>
      </w:r>
      <w:r w:rsidRPr="000F5992">
        <w:rPr>
          <w:rFonts w:asciiTheme="majorBidi" w:hAnsiTheme="majorBidi" w:cstheme="majorBidi"/>
          <w:lang w:bidi="ar-EG"/>
        </w:rPr>
        <w:t xml:space="preserve"> column at flow rate 1.2 mL/min and UV detection at 285 nm .</w:t>
      </w:r>
    </w:p>
    <w:p w:rsidR="00411C2F" w:rsidRDefault="00411C2F" w:rsidP="000F5992">
      <w:pPr>
        <w:spacing w:line="360" w:lineRule="auto"/>
        <w:ind w:left="180" w:hanging="180"/>
        <w:jc w:val="both"/>
        <w:rPr>
          <w:rFonts w:asciiTheme="majorBidi" w:hAnsiTheme="majorBidi" w:cstheme="majorBidi"/>
          <w:lang w:bidi="ar-EG"/>
        </w:rPr>
      </w:pPr>
    </w:p>
    <w:p w:rsidR="00411C2F" w:rsidRPr="000F5992" w:rsidRDefault="00411C2F" w:rsidP="000F5992">
      <w:pPr>
        <w:spacing w:line="360" w:lineRule="auto"/>
        <w:ind w:left="180" w:hanging="180"/>
        <w:jc w:val="both"/>
        <w:rPr>
          <w:rFonts w:asciiTheme="majorBidi" w:hAnsiTheme="majorBidi" w:cstheme="majorBidi"/>
          <w:lang w:bidi="ar-EG"/>
        </w:rPr>
      </w:pPr>
    </w:p>
    <w:p w:rsidR="00927718" w:rsidRDefault="00927718" w:rsidP="00927718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141094" w:rsidRDefault="00141094" w:rsidP="00927718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141094" w:rsidRDefault="00141094" w:rsidP="00927718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141094" w:rsidRDefault="00141094" w:rsidP="00927718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141094" w:rsidRDefault="00141094" w:rsidP="00927718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141094" w:rsidRPr="00321899" w:rsidRDefault="00141094" w:rsidP="00927718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927718" w:rsidRDefault="00411C2F" w:rsidP="00141094">
      <w:pPr>
        <w:jc w:val="center"/>
      </w:pPr>
      <w:r w:rsidRPr="00411C2F">
        <w:rPr>
          <w:rFonts w:asciiTheme="majorBidi" w:eastAsia="Times New Roman" w:hAnsiTheme="majorBidi" w:cstheme="majorBidi"/>
          <w:noProof/>
        </w:rPr>
        <w:lastRenderedPageBreak/>
        <w:drawing>
          <wp:inline distT="0" distB="0" distL="0" distR="0" wp14:anchorId="3287ED2E" wp14:editId="23A2C7F8">
            <wp:extent cx="158115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32" cy="136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C2F" w:rsidRPr="00141094" w:rsidRDefault="00411C2F" w:rsidP="002F2DE2">
      <w:pPr>
        <w:spacing w:after="200" w:line="276" w:lineRule="auto"/>
        <w:jc w:val="center"/>
        <w:rPr>
          <w:rFonts w:asciiTheme="majorBidi" w:eastAsia="Calibri" w:hAnsiTheme="majorBidi" w:cstheme="majorBidi"/>
          <w:noProof/>
          <w:sz w:val="24"/>
          <w:szCs w:val="24"/>
        </w:rPr>
      </w:pPr>
      <w:r w:rsidRPr="00141094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>Fig.S1</w:t>
      </w:r>
      <w:r w:rsidRPr="00141094">
        <w:rPr>
          <w:rFonts w:asciiTheme="majorBidi" w:eastAsia="Calibri" w:hAnsiTheme="majorBidi" w:cstheme="majorBidi"/>
          <w:noProof/>
          <w:sz w:val="24"/>
          <w:szCs w:val="24"/>
        </w:rPr>
        <w:t>.</w:t>
      </w:r>
      <w:r w:rsidR="00141094">
        <w:rPr>
          <w:rFonts w:asciiTheme="majorBidi" w:eastAsia="Calibri" w:hAnsiTheme="majorBidi" w:cstheme="majorBidi"/>
          <w:noProof/>
          <w:sz w:val="24"/>
          <w:szCs w:val="24"/>
        </w:rPr>
        <w:t>The chemical structure</w:t>
      </w:r>
      <w:r w:rsidRPr="00141094">
        <w:rPr>
          <w:rFonts w:asciiTheme="majorBidi" w:eastAsia="Calibri" w:hAnsiTheme="majorBidi" w:cstheme="majorBidi"/>
          <w:noProof/>
          <w:sz w:val="24"/>
          <w:szCs w:val="24"/>
        </w:rPr>
        <w:t xml:space="preserve"> of Metronidazole (MET).</w:t>
      </w:r>
    </w:p>
    <w:p w:rsidR="00411C2F" w:rsidRPr="00411C2F" w:rsidRDefault="00411C2F" w:rsidP="00411C2F">
      <w:pPr>
        <w:spacing w:after="200" w:line="276" w:lineRule="auto"/>
        <w:rPr>
          <w:rFonts w:ascii="Calibri" w:eastAsia="Calibri" w:hAnsi="Calibri" w:cs="Arial"/>
        </w:rPr>
      </w:pPr>
    </w:p>
    <w:p w:rsidR="00411C2F" w:rsidRDefault="00411C2F"/>
    <w:sectPr w:rsidR="0041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2"/>
    <w:rsid w:val="000D71B4"/>
    <w:rsid w:val="000F5992"/>
    <w:rsid w:val="00124DCF"/>
    <w:rsid w:val="00141094"/>
    <w:rsid w:val="00285DA6"/>
    <w:rsid w:val="002F2DE2"/>
    <w:rsid w:val="003D44CC"/>
    <w:rsid w:val="00411C2F"/>
    <w:rsid w:val="00470296"/>
    <w:rsid w:val="004C0728"/>
    <w:rsid w:val="004C5553"/>
    <w:rsid w:val="00522BC1"/>
    <w:rsid w:val="0059423A"/>
    <w:rsid w:val="006D00A9"/>
    <w:rsid w:val="007323F6"/>
    <w:rsid w:val="0079725C"/>
    <w:rsid w:val="00927718"/>
    <w:rsid w:val="00945A9B"/>
    <w:rsid w:val="00C54F7F"/>
    <w:rsid w:val="00C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E56A3-26C5-471D-867A-F11BA88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52"/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9277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7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718"/>
    <w:pPr>
      <w:bidi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Marzouk</dc:creator>
  <cp:lastModifiedBy>Hoda Marzouk</cp:lastModifiedBy>
  <cp:revision>10</cp:revision>
  <dcterms:created xsi:type="dcterms:W3CDTF">2021-07-27T23:43:00Z</dcterms:created>
  <dcterms:modified xsi:type="dcterms:W3CDTF">2021-09-26T22:29:00Z</dcterms:modified>
</cp:coreProperties>
</file>