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096BD" w14:textId="77777777" w:rsidR="00930091" w:rsidRPr="00020884" w:rsidRDefault="00930091" w:rsidP="00930091">
      <w:pPr>
        <w:spacing w:after="160" w:line="480" w:lineRule="auto"/>
        <w:rPr>
          <w:rFonts w:cs="Times New Roman"/>
          <w:b/>
          <w:szCs w:val="24"/>
        </w:rPr>
      </w:pPr>
      <w:r w:rsidRPr="00020884">
        <w:rPr>
          <w:rFonts w:cs="Times New Roman"/>
          <w:b/>
          <w:szCs w:val="24"/>
        </w:rPr>
        <w:t xml:space="preserve">Supplementary material </w:t>
      </w:r>
    </w:p>
    <w:p w14:paraId="48C3A973" w14:textId="77777777" w:rsidR="00930091" w:rsidRPr="00020884" w:rsidRDefault="00930091" w:rsidP="00930091">
      <w:pPr>
        <w:spacing w:after="160" w:line="480" w:lineRule="auto"/>
        <w:rPr>
          <w:rFonts w:cs="Times New Roman"/>
          <w:b/>
          <w:szCs w:val="24"/>
        </w:rPr>
      </w:pPr>
      <w:r w:rsidRPr="00020884">
        <w:rPr>
          <w:rFonts w:cs="Times New Roman"/>
          <w:b/>
          <w:szCs w:val="24"/>
        </w:rPr>
        <w:t>Medical history of the patient in Cohort 1 who experienced possible drug-related Grade 5 neutropenic sepsis</w:t>
      </w:r>
    </w:p>
    <w:p w14:paraId="154883FC" w14:textId="17734068" w:rsidR="00930091" w:rsidRPr="00020884" w:rsidRDefault="00930091" w:rsidP="00930091">
      <w:pPr>
        <w:spacing w:after="160" w:line="480" w:lineRule="auto"/>
        <w:rPr>
          <w:rFonts w:cs="Times New Roman"/>
          <w:szCs w:val="24"/>
        </w:rPr>
      </w:pPr>
      <w:r w:rsidRPr="00020884">
        <w:rPr>
          <w:rFonts w:cs="Times New Roman"/>
          <w:szCs w:val="24"/>
        </w:rPr>
        <w:t>One case of neutropenic sepsis, which was eventually fatal, occurred in a 71</w:t>
      </w:r>
      <w:r w:rsidR="00C459BB">
        <w:rPr>
          <w:rFonts w:cs="Times New Roman"/>
          <w:szCs w:val="24"/>
        </w:rPr>
        <w:t>-</w:t>
      </w:r>
      <w:r w:rsidRPr="00020884">
        <w:rPr>
          <w:rFonts w:cs="Times New Roman"/>
          <w:szCs w:val="24"/>
        </w:rPr>
        <w:t>year</w:t>
      </w:r>
      <w:r w:rsidR="00EF4896">
        <w:rPr>
          <w:rFonts w:cs="Times New Roman"/>
          <w:szCs w:val="24"/>
        </w:rPr>
        <w:t>-</w:t>
      </w:r>
      <w:r w:rsidRPr="00020884">
        <w:rPr>
          <w:rFonts w:cs="Times New Roman"/>
          <w:szCs w:val="24"/>
        </w:rPr>
        <w:t xml:space="preserve">old male in Cohort 1 who was receiving the highest dose of 2 mg talazoparib once daily. </w:t>
      </w:r>
    </w:p>
    <w:p w14:paraId="19FC20E8" w14:textId="77777777" w:rsidR="00930091" w:rsidRPr="00020884" w:rsidRDefault="00930091" w:rsidP="00930091">
      <w:pPr>
        <w:spacing w:after="160" w:line="480" w:lineRule="auto"/>
        <w:rPr>
          <w:rFonts w:cs="Times New Roman"/>
          <w:szCs w:val="24"/>
        </w:rPr>
      </w:pPr>
      <w:r w:rsidRPr="00020884">
        <w:rPr>
          <w:rFonts w:cs="Times New Roman"/>
          <w:szCs w:val="24"/>
        </w:rPr>
        <w:t xml:space="preserve">The patient was diagnosed with </w:t>
      </w:r>
      <w:r w:rsidRPr="00020884">
        <w:rPr>
          <w:rFonts w:cs="Times New Roman"/>
          <w:i/>
          <w:szCs w:val="24"/>
        </w:rPr>
        <w:t>de novo</w:t>
      </w:r>
      <w:r w:rsidRPr="00020884">
        <w:rPr>
          <w:rFonts w:cs="Times New Roman"/>
          <w:szCs w:val="24"/>
        </w:rPr>
        <w:t xml:space="preserve"> AML in 2010, and had relapsed AML at study entry. His last chemotherapy regimen was in June 2012, which included clofarabine, cytarabine, and filgrastim. He had a medical history of neutropenia and thrombocytopenia and, at study baseline, he had had Grade 4 leukopenia, neutropenia, and thrombocytopenia.</w:t>
      </w:r>
    </w:p>
    <w:p w14:paraId="78872D42" w14:textId="27C5D0F9" w:rsidR="00930091" w:rsidRPr="00020884" w:rsidRDefault="00930091" w:rsidP="00930091">
      <w:pPr>
        <w:spacing w:after="160" w:line="480" w:lineRule="auto"/>
        <w:rPr>
          <w:rFonts w:cs="Times New Roman"/>
          <w:szCs w:val="24"/>
        </w:rPr>
      </w:pPr>
      <w:r w:rsidRPr="00020884">
        <w:rPr>
          <w:rFonts w:cs="Times New Roman"/>
          <w:szCs w:val="24"/>
        </w:rPr>
        <w:t>The patient received 2 mg talazoparib once daily between 17 January 2013 and 5 February 2013. On 4 February, he was admitted with neutropenic sepsis, and on 6 February</w:t>
      </w:r>
      <w:r w:rsidR="00C459BB">
        <w:rPr>
          <w:rFonts w:cs="Times New Roman"/>
          <w:szCs w:val="24"/>
        </w:rPr>
        <w:t>,</w:t>
      </w:r>
      <w:r w:rsidRPr="00020884">
        <w:rPr>
          <w:rFonts w:cs="Times New Roman"/>
          <w:szCs w:val="24"/>
        </w:rPr>
        <w:t xml:space="preserve"> he was diagnosed with possible pneumocystis carinii pneumonia (PCP). The patient died on 12 February 2013 (7 days after the last dose of study drug). Cause of death was reported as PCP but without radiological or microbiological confirmation. The investigator assessed the neutropenic sepsis as possibly related to talazoparib treatment. Other etiological factors included the underlying AML. </w:t>
      </w:r>
    </w:p>
    <w:p w14:paraId="23A06786" w14:textId="00278872" w:rsidR="00930091" w:rsidRPr="005129DD" w:rsidRDefault="005129DD" w:rsidP="00930091">
      <w:r>
        <w:br w:type="page"/>
      </w:r>
      <w:r w:rsidR="00930091" w:rsidRPr="00930091">
        <w:rPr>
          <w:b/>
          <w:bCs/>
          <w:sz w:val="24"/>
          <w:szCs w:val="24"/>
        </w:rPr>
        <w:lastRenderedPageBreak/>
        <w:t xml:space="preserve">Supplementary </w:t>
      </w:r>
      <w:r w:rsidR="004B24C1">
        <w:rPr>
          <w:b/>
          <w:bCs/>
          <w:sz w:val="24"/>
          <w:szCs w:val="24"/>
        </w:rPr>
        <w:t>f</w:t>
      </w:r>
      <w:r w:rsidR="00930091" w:rsidRPr="00930091">
        <w:rPr>
          <w:b/>
          <w:bCs/>
          <w:sz w:val="24"/>
          <w:szCs w:val="24"/>
        </w:rPr>
        <w:t>igure</w:t>
      </w:r>
      <w:r>
        <w:rPr>
          <w:b/>
          <w:bCs/>
          <w:sz w:val="24"/>
          <w:szCs w:val="24"/>
        </w:rPr>
        <w:t xml:space="preserve"> </w:t>
      </w:r>
      <w:r w:rsidR="004B24C1">
        <w:rPr>
          <w:b/>
          <w:bCs/>
          <w:sz w:val="24"/>
          <w:szCs w:val="24"/>
        </w:rPr>
        <w:t>l</w:t>
      </w:r>
      <w:r>
        <w:rPr>
          <w:b/>
          <w:bCs/>
          <w:sz w:val="24"/>
          <w:szCs w:val="24"/>
        </w:rPr>
        <w:t xml:space="preserve">egends </w:t>
      </w:r>
    </w:p>
    <w:p w14:paraId="059B1074" w14:textId="28D2EE4F" w:rsidR="00930091" w:rsidRDefault="00930091" w:rsidP="00930091">
      <w:pPr>
        <w:spacing w:line="480" w:lineRule="auto"/>
        <w:rPr>
          <w:rFonts w:cs="Times New Roman"/>
          <w:sz w:val="24"/>
          <w:szCs w:val="24"/>
        </w:rPr>
      </w:pPr>
      <w:r w:rsidRPr="00020884">
        <w:rPr>
          <w:rFonts w:cs="Times New Roman"/>
          <w:b/>
          <w:sz w:val="24"/>
          <w:szCs w:val="24"/>
        </w:rPr>
        <w:t xml:space="preserve">Supplementary Figure 1. </w:t>
      </w:r>
      <w:r w:rsidRPr="00020884">
        <w:rPr>
          <w:rFonts w:cs="Times New Roman"/>
          <w:sz w:val="24"/>
          <w:szCs w:val="24"/>
        </w:rPr>
        <w:t xml:space="preserve">Dose linearity and proportionality in plasma following multiple doses of talazoparib. </w:t>
      </w:r>
    </w:p>
    <w:p w14:paraId="2285ED7F" w14:textId="746A19EE" w:rsidR="00930091" w:rsidRPr="00020884" w:rsidRDefault="00930091" w:rsidP="00930091">
      <w:pPr>
        <w:spacing w:after="0" w:line="480" w:lineRule="auto"/>
        <w:rPr>
          <w:rFonts w:cstheme="minorHAnsi"/>
          <w:sz w:val="20"/>
          <w:szCs w:val="24"/>
        </w:rPr>
      </w:pPr>
      <w:proofErr w:type="spellStart"/>
      <w:r w:rsidRPr="00020884">
        <w:rPr>
          <w:rFonts w:cstheme="minorHAnsi"/>
          <w:sz w:val="20"/>
          <w:szCs w:val="24"/>
        </w:rPr>
        <w:t>Talazoparib</w:t>
      </w:r>
      <w:proofErr w:type="spellEnd"/>
      <w:r w:rsidRPr="00020884">
        <w:rPr>
          <w:rFonts w:cstheme="minorHAnsi"/>
          <w:sz w:val="20"/>
          <w:szCs w:val="24"/>
        </w:rPr>
        <w:t xml:space="preserve"> plasma </w:t>
      </w:r>
      <w:proofErr w:type="spellStart"/>
      <w:r w:rsidRPr="00020884">
        <w:rPr>
          <w:rFonts w:cstheme="minorHAnsi"/>
          <w:sz w:val="20"/>
          <w:szCs w:val="24"/>
        </w:rPr>
        <w:t>C</w:t>
      </w:r>
      <w:r w:rsidRPr="00020884">
        <w:rPr>
          <w:rFonts w:cstheme="minorHAnsi"/>
          <w:sz w:val="20"/>
          <w:szCs w:val="24"/>
          <w:vertAlign w:val="subscript"/>
        </w:rPr>
        <w:t>max</w:t>
      </w:r>
      <w:proofErr w:type="spellEnd"/>
      <w:r w:rsidRPr="00020884">
        <w:rPr>
          <w:rFonts w:cstheme="minorHAnsi"/>
          <w:sz w:val="20"/>
          <w:szCs w:val="24"/>
          <w:vertAlign w:val="subscript"/>
        </w:rPr>
        <w:t xml:space="preserve"> </w:t>
      </w:r>
      <w:r w:rsidRPr="00020884">
        <w:rPr>
          <w:rFonts w:cstheme="minorHAnsi"/>
          <w:sz w:val="20"/>
          <w:szCs w:val="24"/>
        </w:rPr>
        <w:t xml:space="preserve">(top left), DN </w:t>
      </w:r>
      <w:proofErr w:type="spellStart"/>
      <w:r w:rsidRPr="00020884">
        <w:rPr>
          <w:rFonts w:cstheme="minorHAnsi"/>
          <w:sz w:val="20"/>
          <w:szCs w:val="24"/>
        </w:rPr>
        <w:t>C</w:t>
      </w:r>
      <w:r w:rsidRPr="00020884">
        <w:rPr>
          <w:rFonts w:cstheme="minorHAnsi"/>
          <w:sz w:val="20"/>
          <w:szCs w:val="24"/>
          <w:vertAlign w:val="subscript"/>
        </w:rPr>
        <w:t>max</w:t>
      </w:r>
      <w:proofErr w:type="spellEnd"/>
      <w:r w:rsidRPr="00020884">
        <w:rPr>
          <w:rFonts w:cstheme="minorHAnsi"/>
          <w:sz w:val="20"/>
          <w:szCs w:val="24"/>
          <w:vertAlign w:val="subscript"/>
        </w:rPr>
        <w:t xml:space="preserve"> </w:t>
      </w:r>
      <w:r w:rsidRPr="00020884">
        <w:rPr>
          <w:rFonts w:cstheme="minorHAnsi"/>
          <w:sz w:val="20"/>
          <w:szCs w:val="24"/>
        </w:rPr>
        <w:t>(bottom left), AUC</w:t>
      </w:r>
      <w:r w:rsidRPr="00020884">
        <w:rPr>
          <w:rFonts w:cstheme="minorHAnsi"/>
          <w:sz w:val="20"/>
          <w:szCs w:val="24"/>
          <w:vertAlign w:val="subscript"/>
        </w:rPr>
        <w:t xml:space="preserve">0–24 </w:t>
      </w:r>
      <w:r w:rsidRPr="00020884">
        <w:rPr>
          <w:rFonts w:cstheme="minorHAnsi"/>
          <w:sz w:val="20"/>
          <w:szCs w:val="24"/>
        </w:rPr>
        <w:t>(top right)</w:t>
      </w:r>
      <w:r w:rsidR="008951A1">
        <w:rPr>
          <w:rFonts w:cstheme="minorHAnsi"/>
          <w:sz w:val="20"/>
          <w:szCs w:val="24"/>
        </w:rPr>
        <w:t>,</w:t>
      </w:r>
      <w:r w:rsidRPr="00020884">
        <w:rPr>
          <w:rFonts w:cstheme="minorHAnsi"/>
          <w:sz w:val="20"/>
          <w:szCs w:val="24"/>
        </w:rPr>
        <w:t xml:space="preserve"> and DN AUC</w:t>
      </w:r>
      <w:r w:rsidRPr="00020884">
        <w:rPr>
          <w:rFonts w:cstheme="minorHAnsi"/>
          <w:sz w:val="20"/>
          <w:szCs w:val="24"/>
          <w:vertAlign w:val="subscript"/>
        </w:rPr>
        <w:t>0–24</w:t>
      </w:r>
      <w:r w:rsidRPr="00020884">
        <w:rPr>
          <w:rFonts w:cstheme="minorHAnsi"/>
          <w:sz w:val="20"/>
          <w:szCs w:val="24"/>
        </w:rPr>
        <w:t xml:space="preserve"> (bottom right) following daily doses ranging from 0.1 to 2 mg/day. Filled circles represent the mean value at each dose level and error bars represent the standard deviations. </w:t>
      </w:r>
    </w:p>
    <w:p w14:paraId="06F4E16E" w14:textId="77777777" w:rsidR="00930091" w:rsidRPr="00020884" w:rsidRDefault="00930091" w:rsidP="00930091">
      <w:pPr>
        <w:spacing w:after="0" w:line="480" w:lineRule="auto"/>
      </w:pPr>
      <w:r w:rsidRPr="00020884">
        <w:rPr>
          <w:rFonts w:cs="Times New Roman"/>
          <w:sz w:val="20"/>
          <w:szCs w:val="24"/>
        </w:rPr>
        <w:t>AUC</w:t>
      </w:r>
      <w:r w:rsidRPr="00020884">
        <w:rPr>
          <w:rFonts w:cs="Times New Roman"/>
          <w:sz w:val="20"/>
          <w:szCs w:val="24"/>
          <w:vertAlign w:val="subscript"/>
        </w:rPr>
        <w:t>0–24</w:t>
      </w:r>
      <w:r w:rsidRPr="00020884">
        <w:rPr>
          <w:rFonts w:cs="Times New Roman"/>
          <w:sz w:val="20"/>
          <w:szCs w:val="24"/>
        </w:rPr>
        <w:t xml:space="preserve">: area under the curve from time 0 to 24 hours; </w:t>
      </w:r>
      <w:proofErr w:type="spellStart"/>
      <w:r w:rsidRPr="00020884">
        <w:rPr>
          <w:rFonts w:cs="Times New Roman"/>
          <w:sz w:val="20"/>
          <w:szCs w:val="24"/>
        </w:rPr>
        <w:t>C</w:t>
      </w:r>
      <w:r w:rsidRPr="00020884">
        <w:rPr>
          <w:rFonts w:cs="Times New Roman"/>
          <w:sz w:val="20"/>
          <w:szCs w:val="24"/>
          <w:vertAlign w:val="subscript"/>
        </w:rPr>
        <w:t>max</w:t>
      </w:r>
      <w:proofErr w:type="spellEnd"/>
      <w:r w:rsidRPr="00020884">
        <w:rPr>
          <w:rFonts w:cs="Times New Roman"/>
          <w:sz w:val="20"/>
          <w:szCs w:val="24"/>
        </w:rPr>
        <w:t>: maximum concentration; DN: dose normalized.</w:t>
      </w:r>
    </w:p>
    <w:p w14:paraId="3F0D2112" w14:textId="77777777" w:rsidR="00930091" w:rsidRPr="00020884" w:rsidRDefault="00930091" w:rsidP="00930091">
      <w:pPr>
        <w:spacing w:line="480" w:lineRule="auto"/>
        <w:rPr>
          <w:rFonts w:cs="Times New Roman"/>
          <w:i/>
          <w:sz w:val="24"/>
          <w:szCs w:val="24"/>
          <w:highlight w:val="yellow"/>
        </w:rPr>
      </w:pPr>
    </w:p>
    <w:p w14:paraId="30E0E2A7" w14:textId="3A37B156" w:rsidR="00930091" w:rsidRPr="00930091" w:rsidRDefault="00930091" w:rsidP="00930091"/>
    <w:sectPr w:rsidR="00930091" w:rsidRPr="009300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091"/>
    <w:rsid w:val="004B24C1"/>
    <w:rsid w:val="005129DD"/>
    <w:rsid w:val="00732794"/>
    <w:rsid w:val="008951A1"/>
    <w:rsid w:val="00930091"/>
    <w:rsid w:val="00C459BB"/>
    <w:rsid w:val="00EF4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CB66E"/>
  <w15:chartTrackingRefBased/>
  <w15:docId w15:val="{F540647D-A34D-4611-B1CC-4827DBEF2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091"/>
    <w:pPr>
      <w:spacing w:after="200" w:line="276" w:lineRule="auto"/>
    </w:pPr>
    <w:rPr>
      <w:rFonts w:eastAsiaTheme="minorEastAsia"/>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9BB"/>
    <w:rPr>
      <w:rFonts w:ascii="Segoe UI" w:eastAsiaTheme="minorEastAsia" w:hAnsi="Segoe UI" w:cs="Segoe UI"/>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FA0963FA69A646AA916D2E41284FC10000BCED3AD41BC58047814004D8D4629958" ma:contentTypeVersion="0" ma:contentTypeDescription="Create a new document." ma:contentTypeScope="" ma:versionID="8e7ba2542492a5379d430708e71a526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66C014-96E8-42F4-AFB0-5A68B797D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163CBA0-3D83-47CD-93CA-E7D52F4284B6}">
  <ds:schemaRefs>
    <ds:schemaRef ds:uri="http://schemas.microsoft.com/sharepoint/v3/contenttype/forms"/>
  </ds:schemaRefs>
</ds:datastoreItem>
</file>

<file path=customXml/itemProps3.xml><?xml version="1.0" encoding="utf-8"?>
<ds:datastoreItem xmlns:ds="http://schemas.openxmlformats.org/officeDocument/2006/customXml" ds:itemID="{32AD51EC-9716-427F-B5A6-5D750BEDC6EE}">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258</Words>
  <Characters>1473</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Annotations</dc:creator>
  <cp:keywords/>
  <dc:description/>
  <cp:lastModifiedBy>Pereira, Cynthia (HAC-CMC)</cp:lastModifiedBy>
  <cp:revision>6</cp:revision>
  <dcterms:created xsi:type="dcterms:W3CDTF">2021-03-31T15:19:00Z</dcterms:created>
  <dcterms:modified xsi:type="dcterms:W3CDTF">2021-04-05T15:49:00Z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0x010100FA0963FA69A646AA916D2E41284FC10000BCED3AD41BC58047814004D8D4629958</vt:lpwstr>
  </property>
</Properties>
</file>