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1B6C" w14:textId="182816E7" w:rsidR="00D057B8" w:rsidRPr="00821710" w:rsidRDefault="00420745" w:rsidP="00534D58">
      <w:pPr>
        <w:spacing w:line="480" w:lineRule="auto"/>
        <w:rPr>
          <w:rFonts w:ascii="Arial" w:hAnsi="Arial" w:cs="Arial"/>
          <w:b/>
          <w:bCs/>
          <w:kern w:val="0"/>
          <w:sz w:val="24"/>
          <w:szCs w:val="24"/>
        </w:rPr>
      </w:pPr>
      <w:bookmarkStart w:id="0" w:name="_Hlk83145784"/>
      <w:bookmarkStart w:id="1" w:name="_Hlk55398220"/>
      <w:bookmarkEnd w:id="0"/>
      <w:r w:rsidRPr="00821710">
        <w:rPr>
          <w:rFonts w:ascii="Arial" w:hAnsi="Arial" w:cs="Arial"/>
          <w:b/>
          <w:bCs/>
          <w:kern w:val="0"/>
          <w:sz w:val="24"/>
          <w:szCs w:val="24"/>
        </w:rPr>
        <w:t xml:space="preserve">Supplementary </w:t>
      </w:r>
      <w:r w:rsidR="00821710">
        <w:rPr>
          <w:rFonts w:ascii="Arial" w:hAnsi="Arial" w:cs="Arial"/>
          <w:b/>
          <w:bCs/>
          <w:kern w:val="0"/>
          <w:sz w:val="24"/>
          <w:szCs w:val="24"/>
        </w:rPr>
        <w:t>f</w:t>
      </w:r>
      <w:r w:rsidR="000F0A03" w:rsidRPr="00821710">
        <w:rPr>
          <w:rFonts w:ascii="Arial" w:hAnsi="Arial" w:cs="Arial"/>
          <w:b/>
          <w:bCs/>
          <w:kern w:val="0"/>
          <w:sz w:val="24"/>
          <w:szCs w:val="24"/>
        </w:rPr>
        <w:t>igures</w:t>
      </w:r>
    </w:p>
    <w:p w14:paraId="0C4488FC" w14:textId="2C9BD4E0" w:rsidR="00821710" w:rsidRPr="00821710" w:rsidRDefault="00821710" w:rsidP="00821710">
      <w:pPr>
        <w:spacing w:line="480" w:lineRule="auto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  <w:bookmarkStart w:id="2" w:name="_Hlk83292622"/>
      <w:r w:rsidRPr="00821710">
        <w:rPr>
          <w:rFonts w:ascii="Arial" w:hAnsi="Arial" w:cs="Arial"/>
          <w:b/>
          <w:bCs/>
          <w:i/>
          <w:iCs/>
          <w:kern w:val="0"/>
          <w:sz w:val="24"/>
          <w:szCs w:val="24"/>
        </w:rPr>
        <w:t>Fig. S1. The relative mRNA expression of several genes related to tumor progression was detected via the knockdown of AC245100.4.</w:t>
      </w:r>
    </w:p>
    <w:bookmarkEnd w:id="2"/>
    <w:p w14:paraId="04B1A384" w14:textId="6F5AC7BF" w:rsidR="00821710" w:rsidRPr="00821710" w:rsidRDefault="00821710" w:rsidP="000B05E1">
      <w:pPr>
        <w:spacing w:line="480" w:lineRule="auto"/>
        <w:jc w:val="left"/>
        <w:rPr>
          <w:rFonts w:ascii="Arial" w:hAnsi="Arial" w:cs="Arial"/>
          <w:b/>
          <w:bCs/>
          <w:i/>
          <w:iCs/>
          <w:noProof/>
          <w:kern w:val="0"/>
          <w:sz w:val="24"/>
          <w:szCs w:val="24"/>
        </w:rPr>
      </w:pPr>
      <w:r w:rsidRPr="00821710">
        <w:rPr>
          <w:rFonts w:ascii="Arial" w:hAnsi="Arial" w:cs="Arial"/>
          <w:b/>
          <w:bCs/>
          <w:i/>
          <w:iCs/>
          <w:noProof/>
          <w:kern w:val="0"/>
          <w:sz w:val="24"/>
          <w:szCs w:val="24"/>
        </w:rPr>
        <w:drawing>
          <wp:inline distT="0" distB="0" distL="0" distR="0" wp14:anchorId="34B55A97" wp14:editId="1C025362">
            <wp:extent cx="4251044" cy="323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083" cy="32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ED6F" w14:textId="1B2AF026" w:rsidR="00821710" w:rsidRPr="00776B0D" w:rsidRDefault="00821710" w:rsidP="00534D58">
      <w:pPr>
        <w:spacing w:line="480" w:lineRule="auto"/>
        <w:rPr>
          <w:rFonts w:ascii="Arial" w:hAnsi="Arial" w:cs="Arial"/>
          <w:kern w:val="0"/>
          <w:sz w:val="24"/>
          <w:szCs w:val="24"/>
        </w:rPr>
      </w:pPr>
      <w:bookmarkStart w:id="3" w:name="_Hlk83292626"/>
      <w:r w:rsidRPr="00821710">
        <w:rPr>
          <w:rFonts w:ascii="Arial" w:hAnsi="Arial" w:cs="Arial"/>
          <w:kern w:val="0"/>
          <w:sz w:val="24"/>
          <w:szCs w:val="24"/>
        </w:rPr>
        <w:t>Fig. S1. (A) The up/down regulation genes were sequenced according to the rank of differentially expressed in the RNA-seq analysis. (B) The relative mRNA expression was detected by qRT-PCR in PC3 and DU145 cells with AC245100.4 knocked down.</w:t>
      </w:r>
      <w:r w:rsidR="00B67863">
        <w:rPr>
          <w:rFonts w:ascii="Arial" w:hAnsi="Arial" w:cs="Arial"/>
          <w:kern w:val="0"/>
          <w:sz w:val="24"/>
          <w:szCs w:val="24"/>
        </w:rPr>
        <w:t xml:space="preserve"> </w:t>
      </w:r>
      <w:r w:rsidR="00B67863" w:rsidRPr="00B67863">
        <w:rPr>
          <w:rFonts w:ascii="Arial" w:hAnsi="Arial" w:cs="Arial"/>
          <w:i/>
          <w:iCs/>
          <w:kern w:val="0"/>
          <w:sz w:val="24"/>
          <w:szCs w:val="24"/>
        </w:rPr>
        <w:t>vs.</w:t>
      </w:r>
      <w:r w:rsidR="00B67863">
        <w:rPr>
          <w:rFonts w:ascii="Arial" w:hAnsi="Arial" w:cs="Arial"/>
          <w:kern w:val="0"/>
          <w:sz w:val="24"/>
          <w:szCs w:val="24"/>
        </w:rPr>
        <w:t xml:space="preserve"> Nc.</w:t>
      </w:r>
      <w:r w:rsidRPr="00821710">
        <w:rPr>
          <w:rFonts w:ascii="Arial" w:hAnsi="Arial" w:cs="Arial"/>
          <w:kern w:val="0"/>
          <w:sz w:val="24"/>
          <w:szCs w:val="24"/>
        </w:rPr>
        <w:t xml:space="preserve"> * P</w:t>
      </w:r>
      <w:r w:rsidRPr="00821710">
        <w:rPr>
          <w:rFonts w:ascii="Arial" w:hAnsi="Arial" w:cs="Arial"/>
          <w:kern w:val="0"/>
          <w:sz w:val="24"/>
          <w:szCs w:val="24"/>
        </w:rPr>
        <w:t>＜</w:t>
      </w:r>
      <w:r w:rsidRPr="00821710">
        <w:rPr>
          <w:rFonts w:ascii="Arial" w:hAnsi="Arial" w:cs="Arial"/>
          <w:kern w:val="0"/>
          <w:sz w:val="24"/>
          <w:szCs w:val="24"/>
        </w:rPr>
        <w:t>0.05, ** P</w:t>
      </w:r>
      <w:r w:rsidRPr="00821710">
        <w:rPr>
          <w:rFonts w:ascii="Arial" w:hAnsi="Arial" w:cs="Arial"/>
          <w:kern w:val="0"/>
          <w:sz w:val="24"/>
          <w:szCs w:val="24"/>
        </w:rPr>
        <w:t>＜</w:t>
      </w:r>
      <w:r w:rsidRPr="00821710">
        <w:rPr>
          <w:rFonts w:ascii="Arial" w:hAnsi="Arial" w:cs="Arial"/>
          <w:kern w:val="0"/>
          <w:sz w:val="24"/>
          <w:szCs w:val="24"/>
        </w:rPr>
        <w:t>0.01, *** P</w:t>
      </w:r>
      <w:r w:rsidRPr="00821710">
        <w:rPr>
          <w:rFonts w:ascii="Arial" w:hAnsi="Arial" w:cs="Arial"/>
          <w:kern w:val="0"/>
          <w:sz w:val="24"/>
          <w:szCs w:val="24"/>
        </w:rPr>
        <w:t>＜</w:t>
      </w:r>
      <w:r w:rsidRPr="00821710">
        <w:rPr>
          <w:rFonts w:ascii="Arial" w:hAnsi="Arial" w:cs="Arial"/>
          <w:kern w:val="0"/>
          <w:sz w:val="24"/>
          <w:szCs w:val="24"/>
        </w:rPr>
        <w:t>0.001.</w:t>
      </w:r>
    </w:p>
    <w:p w14:paraId="32E0B875" w14:textId="45D3A332" w:rsidR="002F4723" w:rsidRPr="00821710" w:rsidRDefault="00821710" w:rsidP="00534D58">
      <w:pPr>
        <w:spacing w:line="480" w:lineRule="auto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  <w:bookmarkStart w:id="4" w:name="_Hlk83292631"/>
      <w:bookmarkEnd w:id="1"/>
      <w:bookmarkEnd w:id="3"/>
      <w:r w:rsidRPr="00821710">
        <w:rPr>
          <w:rFonts w:ascii="Arial" w:hAnsi="Arial" w:cs="Arial"/>
          <w:b/>
          <w:bCs/>
          <w:i/>
          <w:iCs/>
          <w:kern w:val="0"/>
          <w:sz w:val="24"/>
          <w:szCs w:val="24"/>
        </w:rPr>
        <w:t>Fig. S2</w:t>
      </w:r>
      <w:r w:rsidR="00420745" w:rsidRPr="00821710">
        <w:rPr>
          <w:rFonts w:ascii="Arial" w:hAnsi="Arial" w:cs="Arial"/>
          <w:b/>
          <w:bCs/>
          <w:i/>
          <w:iCs/>
          <w:kern w:val="0"/>
          <w:sz w:val="24"/>
          <w:szCs w:val="24"/>
        </w:rPr>
        <w:t>.</w:t>
      </w:r>
      <w:r w:rsidR="002F4723" w:rsidRPr="00821710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Overexpression efficiency was detected in PC3 and DU145 cell lines.</w:t>
      </w:r>
    </w:p>
    <w:bookmarkEnd w:id="4"/>
    <w:p w14:paraId="2CC0C59E" w14:textId="7A69F76A" w:rsidR="002F4723" w:rsidRPr="00821710" w:rsidRDefault="00D750A4" w:rsidP="00534D58">
      <w:pPr>
        <w:spacing w:line="480" w:lineRule="auto"/>
        <w:rPr>
          <w:rFonts w:ascii="Arial" w:hAnsi="Arial" w:cs="Arial"/>
          <w:sz w:val="24"/>
          <w:szCs w:val="24"/>
        </w:rPr>
      </w:pPr>
      <w:r w:rsidRPr="00821710"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3E6BFF7D" wp14:editId="10AB2297">
            <wp:extent cx="5270500" cy="15621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4B14" w14:textId="27789A39" w:rsidR="00D750A4" w:rsidRPr="00821710" w:rsidRDefault="00821710" w:rsidP="00534D58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bookmarkStart w:id="5" w:name="_Hlk83292634"/>
      <w:r w:rsidRPr="00821710">
        <w:rPr>
          <w:rFonts w:ascii="Arial" w:hAnsi="Arial" w:cs="Arial"/>
          <w:kern w:val="0"/>
          <w:sz w:val="24"/>
          <w:szCs w:val="24"/>
        </w:rPr>
        <w:t>Fig. S2</w:t>
      </w:r>
      <w:r w:rsidR="00534D58" w:rsidRPr="00821710">
        <w:rPr>
          <w:rFonts w:ascii="Arial" w:hAnsi="Arial" w:cs="Arial"/>
          <w:kern w:val="0"/>
          <w:sz w:val="24"/>
          <w:szCs w:val="24"/>
        </w:rPr>
        <w:t>.</w:t>
      </w:r>
      <w:r w:rsidR="00D750A4" w:rsidRPr="00821710">
        <w:rPr>
          <w:rFonts w:ascii="Arial" w:hAnsi="Arial" w:cs="Arial"/>
          <w:kern w:val="0"/>
          <w:sz w:val="24"/>
          <w:szCs w:val="24"/>
        </w:rPr>
        <w:t xml:space="preserve"> (A&amp;B) Overexpression efficiency was detected by qRT-PCR and </w:t>
      </w:r>
      <w:r w:rsidR="00D750A4" w:rsidRPr="00821710">
        <w:rPr>
          <w:rFonts w:ascii="Arial" w:hAnsi="Arial" w:cs="Arial"/>
          <w:kern w:val="0"/>
          <w:sz w:val="24"/>
          <w:szCs w:val="24"/>
        </w:rPr>
        <w:lastRenderedPageBreak/>
        <w:t>western blot in PC3 and DU145 cell lines.</w:t>
      </w:r>
      <w:r w:rsidR="00732455" w:rsidRPr="00821710">
        <w:rPr>
          <w:rFonts w:ascii="Arial" w:hAnsi="Arial" w:cs="Arial"/>
          <w:i/>
          <w:iCs/>
          <w:sz w:val="24"/>
          <w:szCs w:val="24"/>
        </w:rPr>
        <w:t xml:space="preserve"> </w:t>
      </w:r>
      <w:r w:rsidR="00732455" w:rsidRPr="00821710">
        <w:rPr>
          <w:rFonts w:ascii="Arial" w:hAnsi="Arial" w:cs="Arial"/>
          <w:sz w:val="24"/>
          <w:szCs w:val="24"/>
          <w:vertAlign w:val="superscript"/>
        </w:rPr>
        <w:t>*</w:t>
      </w:r>
      <w:r w:rsidR="00534D58" w:rsidRPr="0082171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32455" w:rsidRPr="00821710">
        <w:rPr>
          <w:rFonts w:ascii="Arial" w:hAnsi="Arial" w:cs="Arial"/>
          <w:i/>
          <w:iCs/>
          <w:sz w:val="24"/>
          <w:szCs w:val="24"/>
        </w:rPr>
        <w:t>P</w:t>
      </w:r>
      <w:r w:rsidR="00732455" w:rsidRPr="00821710">
        <w:rPr>
          <w:rFonts w:ascii="Arial" w:hAnsi="Arial" w:cs="Arial"/>
          <w:sz w:val="24"/>
          <w:szCs w:val="24"/>
        </w:rPr>
        <w:t xml:space="preserve">&lt;0.05, </w:t>
      </w:r>
      <w:r w:rsidR="00732455" w:rsidRPr="00821710">
        <w:rPr>
          <w:rFonts w:ascii="Arial" w:hAnsi="Arial" w:cs="Arial"/>
          <w:sz w:val="24"/>
          <w:szCs w:val="24"/>
          <w:vertAlign w:val="superscript"/>
        </w:rPr>
        <w:t>**</w:t>
      </w:r>
      <w:r w:rsidR="00534D58" w:rsidRPr="0082171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32455" w:rsidRPr="00821710">
        <w:rPr>
          <w:rFonts w:ascii="Arial" w:hAnsi="Arial" w:cs="Arial"/>
          <w:i/>
          <w:iCs/>
          <w:sz w:val="24"/>
          <w:szCs w:val="24"/>
        </w:rPr>
        <w:t>P</w:t>
      </w:r>
      <w:r w:rsidR="00732455" w:rsidRPr="00821710">
        <w:rPr>
          <w:rFonts w:ascii="Arial" w:hAnsi="Arial" w:cs="Arial"/>
          <w:sz w:val="24"/>
          <w:szCs w:val="24"/>
        </w:rPr>
        <w:t>&lt;0.01</w:t>
      </w:r>
      <w:r w:rsidR="00732455" w:rsidRPr="00821710">
        <w:rPr>
          <w:rFonts w:ascii="Arial" w:hAnsi="Arial" w:cs="Arial"/>
          <w:i/>
          <w:iCs/>
          <w:sz w:val="24"/>
          <w:szCs w:val="24"/>
        </w:rPr>
        <w:t>.</w:t>
      </w:r>
    </w:p>
    <w:p w14:paraId="5E9C8282" w14:textId="6D5EB907" w:rsidR="00A82AAA" w:rsidRDefault="00B67863" w:rsidP="00821710">
      <w:pPr>
        <w:spacing w:line="480" w:lineRule="auto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  <w:bookmarkStart w:id="6" w:name="_Hlk83292638"/>
      <w:bookmarkEnd w:id="5"/>
      <w:r w:rsidRPr="00B67863">
        <w:rPr>
          <w:rFonts w:ascii="Arial" w:hAnsi="Arial" w:cs="Arial"/>
          <w:b/>
          <w:bCs/>
          <w:i/>
          <w:iCs/>
          <w:kern w:val="0"/>
          <w:sz w:val="24"/>
          <w:szCs w:val="24"/>
        </w:rPr>
        <w:t>Fig. S3. The effect of NR4A3 on the proliferation of prostate cancer cells.</w:t>
      </w:r>
    </w:p>
    <w:bookmarkEnd w:id="6"/>
    <w:p w14:paraId="19DF2125" w14:textId="39B7DBC2" w:rsidR="00A82AAA" w:rsidRPr="00B67863" w:rsidRDefault="00A82AAA" w:rsidP="00A82AAA">
      <w:pPr>
        <w:spacing w:line="480" w:lineRule="auto"/>
        <w:ind w:firstLineChars="700" w:firstLine="1470"/>
        <w:rPr>
          <w:rFonts w:ascii="Arial" w:hAnsi="Arial" w:cs="Arial"/>
          <w:b/>
          <w:bCs/>
          <w:i/>
          <w:iCs/>
          <w:kern w:val="0"/>
          <w:sz w:val="24"/>
          <w:szCs w:val="24"/>
        </w:rPr>
      </w:pPr>
      <w:r>
        <w:rPr>
          <w:noProof/>
          <w:color w:val="0070C0"/>
          <w:kern w:val="0"/>
          <w:szCs w:val="21"/>
        </w:rPr>
        <w:drawing>
          <wp:inline distT="0" distB="0" distL="0" distR="0" wp14:anchorId="097F5869" wp14:editId="756F6B37">
            <wp:extent cx="3213100" cy="2700799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25" cy="27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D72B" w14:textId="0AC29AE9" w:rsidR="00534D58" w:rsidRPr="00B67863" w:rsidRDefault="00B67863" w:rsidP="00534D58">
      <w:pPr>
        <w:spacing w:line="480" w:lineRule="auto"/>
        <w:rPr>
          <w:rFonts w:ascii="Arial" w:hAnsi="Arial" w:cs="Arial"/>
          <w:sz w:val="24"/>
          <w:szCs w:val="24"/>
        </w:rPr>
      </w:pPr>
      <w:bookmarkStart w:id="7" w:name="_Hlk83292642"/>
      <w:r w:rsidRPr="00B67863">
        <w:rPr>
          <w:rFonts w:ascii="Arial" w:hAnsi="Arial" w:cs="Arial"/>
          <w:sz w:val="24"/>
          <w:szCs w:val="24"/>
        </w:rPr>
        <w:t>Fig. S3. The effect of NR4A3 on the proliferation of prostate cancer cells. (A&amp;B) The proliferation of PC3 and DU145 cells was determined by CCK-8 and colony formation assays following overexpression of NR4A3. vs. Nc. ns, not significant.</w:t>
      </w:r>
      <w:bookmarkEnd w:id="7"/>
    </w:p>
    <w:sectPr w:rsidR="00534D58" w:rsidRPr="00B67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9CFC" w14:textId="77777777" w:rsidR="00796ED1" w:rsidRDefault="00796ED1" w:rsidP="00D750A4">
      <w:r>
        <w:separator/>
      </w:r>
    </w:p>
  </w:endnote>
  <w:endnote w:type="continuationSeparator" w:id="0">
    <w:p w14:paraId="7484C2E1" w14:textId="77777777" w:rsidR="00796ED1" w:rsidRDefault="00796ED1" w:rsidP="00D7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A738" w14:textId="77777777" w:rsidR="00796ED1" w:rsidRDefault="00796ED1" w:rsidP="00D750A4">
      <w:r>
        <w:separator/>
      </w:r>
    </w:p>
  </w:footnote>
  <w:footnote w:type="continuationSeparator" w:id="0">
    <w:p w14:paraId="1421ED76" w14:textId="77777777" w:rsidR="00796ED1" w:rsidRDefault="00796ED1" w:rsidP="00D7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94"/>
    <w:rsid w:val="000016D7"/>
    <w:rsid w:val="000B05E1"/>
    <w:rsid w:val="000F0A03"/>
    <w:rsid w:val="00212769"/>
    <w:rsid w:val="00235F38"/>
    <w:rsid w:val="002F4723"/>
    <w:rsid w:val="0038737B"/>
    <w:rsid w:val="003C561A"/>
    <w:rsid w:val="003E5D65"/>
    <w:rsid w:val="00420745"/>
    <w:rsid w:val="0042568F"/>
    <w:rsid w:val="00474309"/>
    <w:rsid w:val="004E4A3E"/>
    <w:rsid w:val="00534D58"/>
    <w:rsid w:val="00581E1D"/>
    <w:rsid w:val="00614832"/>
    <w:rsid w:val="00634972"/>
    <w:rsid w:val="006864AF"/>
    <w:rsid w:val="00732455"/>
    <w:rsid w:val="00776B0D"/>
    <w:rsid w:val="00796ED1"/>
    <w:rsid w:val="007A230A"/>
    <w:rsid w:val="007A4728"/>
    <w:rsid w:val="00821710"/>
    <w:rsid w:val="00917F35"/>
    <w:rsid w:val="009B6224"/>
    <w:rsid w:val="00A32544"/>
    <w:rsid w:val="00A82AAA"/>
    <w:rsid w:val="00AD0186"/>
    <w:rsid w:val="00AE654E"/>
    <w:rsid w:val="00B11B34"/>
    <w:rsid w:val="00B67863"/>
    <w:rsid w:val="00C4198B"/>
    <w:rsid w:val="00CA7F6F"/>
    <w:rsid w:val="00D057B8"/>
    <w:rsid w:val="00D750A4"/>
    <w:rsid w:val="00E4640B"/>
    <w:rsid w:val="00EF45F4"/>
    <w:rsid w:val="00FC7B94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819E"/>
  <w15:chartTrackingRefBased/>
  <w15:docId w15:val="{4471255C-D92C-41EB-9459-EC576DB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50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5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50A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</dc:creator>
  <cp:keywords/>
  <dc:description/>
  <cp:lastModifiedBy>Storm Johnson</cp:lastModifiedBy>
  <cp:revision>2</cp:revision>
  <dcterms:created xsi:type="dcterms:W3CDTF">2021-09-23T11:30:00Z</dcterms:created>
  <dcterms:modified xsi:type="dcterms:W3CDTF">2021-09-23T11:30:00Z</dcterms:modified>
</cp:coreProperties>
</file>