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541" w:rsidRDefault="00460541" w:rsidP="009D5BDE">
      <w:pPr>
        <w:spacing w:after="120"/>
        <w:ind w:hanging="426"/>
        <w:rPr>
          <w:rFonts w:ascii="Calibri" w:eastAsia="Calibri" w:hAnsi="Calibri" w:cs="Calibri"/>
          <w:b/>
          <w:bCs/>
          <w:sz w:val="24"/>
          <w:szCs w:val="24"/>
        </w:rPr>
      </w:pPr>
      <w:bookmarkStart w:id="0" w:name="_GoBack"/>
      <w:bookmarkEnd w:id="0"/>
      <w:r>
        <w:rPr>
          <w:rFonts w:ascii="Calibri" w:eastAsia="Calibri" w:hAnsi="Calibri" w:cs="Calibri"/>
          <w:b/>
          <w:bCs/>
          <w:sz w:val="24"/>
          <w:szCs w:val="24"/>
        </w:rPr>
        <w:t>Supplementary table 1:</w:t>
      </w:r>
    </w:p>
    <w:p w:rsidR="00A611BE" w:rsidRPr="00EB6A26" w:rsidRDefault="00A611BE" w:rsidP="009D5BDE">
      <w:pPr>
        <w:spacing w:after="120"/>
        <w:ind w:hanging="426"/>
        <w:rPr>
          <w:rFonts w:ascii="Calibri" w:eastAsia="Calibri" w:hAnsi="Calibri" w:cs="Calibri"/>
          <w:b/>
          <w:bCs/>
          <w:sz w:val="24"/>
          <w:szCs w:val="24"/>
        </w:rPr>
      </w:pPr>
    </w:p>
    <w:tbl>
      <w:tblPr>
        <w:tblStyle w:val="Tabellenraster"/>
        <w:tblW w:w="98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EB6A26" w:rsidRPr="00EB6A26" w:rsidTr="00234580">
        <w:tc>
          <w:tcPr>
            <w:tcW w:w="9810" w:type="dxa"/>
            <w:shd w:val="clear" w:color="auto" w:fill="4472C4"/>
          </w:tcPr>
          <w:p w:rsidR="00EB6A26" w:rsidRPr="00EB6A26" w:rsidRDefault="00EB6A26" w:rsidP="00800564">
            <w:pPr>
              <w:spacing w:before="60" w:after="60"/>
              <w:rPr>
                <w:rFonts w:ascii="Calibri" w:eastAsia="Calibri" w:hAnsi="Calibri" w:cs="Calibri"/>
                <w:b/>
                <w:bCs/>
                <w:sz w:val="24"/>
                <w:szCs w:val="24"/>
              </w:rPr>
            </w:pPr>
            <w:r w:rsidRPr="00EB6A26">
              <w:rPr>
                <w:rFonts w:ascii="Calibri" w:eastAsia="Calibri" w:hAnsi="Calibri" w:cs="Calibri"/>
                <w:b/>
                <w:bCs/>
                <w:color w:val="FFFFFF"/>
                <w:sz w:val="24"/>
                <w:szCs w:val="24"/>
              </w:rPr>
              <w:t>IN-HOUSE PROTOCOLS DEVELOPED FOR SAR-COV-2</w:t>
            </w:r>
          </w:p>
        </w:tc>
      </w:tr>
      <w:tr w:rsidR="00EB6A26" w:rsidRPr="00EB6A26" w:rsidTr="00234580">
        <w:tc>
          <w:tcPr>
            <w:tcW w:w="9810" w:type="dxa"/>
            <w:shd w:val="clear" w:color="auto" w:fill="B4C6E7"/>
          </w:tcPr>
          <w:p w:rsidR="00EB6A26" w:rsidRPr="00EB6A26" w:rsidRDefault="00E116F7" w:rsidP="00406B84">
            <w:pPr>
              <w:spacing w:before="60" w:after="60"/>
              <w:jc w:val="both"/>
              <w:rPr>
                <w:rFonts w:ascii="Calibri" w:eastAsia="Calibri" w:hAnsi="Calibri" w:cs="Calibri"/>
                <w:b/>
                <w:bCs/>
                <w:sz w:val="24"/>
                <w:szCs w:val="24"/>
              </w:rPr>
            </w:pPr>
            <w:r>
              <w:rPr>
                <w:rFonts w:ascii="Calibri" w:eastAsia="Calibri" w:hAnsi="Calibri" w:cs="Calibri"/>
                <w:b/>
                <w:bCs/>
                <w:sz w:val="24"/>
                <w:szCs w:val="24"/>
              </w:rPr>
              <w:t xml:space="preserve">(i) </w:t>
            </w:r>
            <w:r w:rsidR="003F10F3">
              <w:rPr>
                <w:rFonts w:ascii="Calibri" w:eastAsia="Calibri" w:hAnsi="Calibri" w:cs="Calibri"/>
                <w:b/>
                <w:bCs/>
                <w:sz w:val="24"/>
                <w:szCs w:val="24"/>
              </w:rPr>
              <w:t>CELL-BASED ELISA (C</w:t>
            </w:r>
            <w:r w:rsidR="00EB6A26" w:rsidRPr="00EB6A26">
              <w:rPr>
                <w:rFonts w:ascii="Calibri" w:eastAsia="Calibri" w:hAnsi="Calibri" w:cs="Calibri"/>
                <w:b/>
                <w:bCs/>
                <w:sz w:val="24"/>
                <w:szCs w:val="24"/>
              </w:rPr>
              <w:t xml:space="preserve">ELISA) </w:t>
            </w:r>
          </w:p>
        </w:tc>
      </w:tr>
      <w:tr w:rsidR="00EB6A26" w:rsidRPr="00EB6A26" w:rsidTr="00234580">
        <w:tc>
          <w:tcPr>
            <w:tcW w:w="9810" w:type="dxa"/>
            <w:shd w:val="clear" w:color="auto" w:fill="F6F8FC"/>
          </w:tcPr>
          <w:p w:rsidR="00EB6A26" w:rsidRPr="003F10F3" w:rsidRDefault="003F10F3" w:rsidP="003F10F3">
            <w:pPr>
              <w:jc w:val="both"/>
              <w:rPr>
                <w:rFonts w:ascii="Calibri" w:eastAsia="Calibri" w:hAnsi="Calibri" w:cs="Calibri"/>
                <w:sz w:val="24"/>
                <w:szCs w:val="24"/>
              </w:rPr>
            </w:pPr>
            <w:r w:rsidRPr="003F10F3">
              <w:rPr>
                <w:rFonts w:ascii="Calibri" w:eastAsia="Calibri" w:hAnsi="Calibri" w:cs="Calibri"/>
                <w:sz w:val="24"/>
                <w:szCs w:val="24"/>
              </w:rPr>
              <w:t xml:space="preserve">Spike coding sequence of SARS-CoV-2 was synthesized at GenScript and cloned into pCDH-EF1-MCS-IRES-Puro vector (System Biosciences). Lentiviral particles were </w:t>
            </w:r>
            <w:r>
              <w:rPr>
                <w:rFonts w:ascii="Calibri" w:eastAsia="Calibri" w:hAnsi="Calibri" w:cs="Calibri"/>
                <w:sz w:val="24"/>
                <w:szCs w:val="24"/>
              </w:rPr>
              <w:t>generated using</w:t>
            </w:r>
            <w:r w:rsidRPr="003F10F3">
              <w:rPr>
                <w:rFonts w:ascii="Calibri" w:eastAsia="Calibri" w:hAnsi="Calibri" w:cs="Calibri"/>
                <w:sz w:val="24"/>
                <w:szCs w:val="24"/>
              </w:rPr>
              <w:t xml:space="preserve"> 293TN cells (System Biosciences) using psPAX2 (Addgene) and pMD2.G (Addgene) packaging plasmids. Early passage HeLa cells were infected with SARS-CoV-2 Sp lentivirus and selected with 2 µg/ml of puromycin 48 h after infection to generat</w:t>
            </w:r>
            <w:r>
              <w:rPr>
                <w:rFonts w:ascii="Calibri" w:eastAsia="Calibri" w:hAnsi="Calibri" w:cs="Calibri"/>
                <w:sz w:val="24"/>
                <w:szCs w:val="24"/>
              </w:rPr>
              <w:t xml:space="preserve">e stable cell clones (HeLa-Sp). </w:t>
            </w:r>
            <w:r w:rsidRPr="003F10F3">
              <w:rPr>
                <w:rFonts w:ascii="Calibri" w:eastAsia="Calibri" w:hAnsi="Calibri" w:cs="Calibri"/>
                <w:sz w:val="24"/>
                <w:szCs w:val="24"/>
              </w:rPr>
              <w:t>Surface expression of Sp was then confirmed by flowcytometry and immunofluorescence staining.</w:t>
            </w:r>
            <w:r>
              <w:rPr>
                <w:rFonts w:ascii="Calibri" w:eastAsia="Calibri" w:hAnsi="Calibri" w:cs="Calibri"/>
                <w:sz w:val="24"/>
                <w:szCs w:val="24"/>
              </w:rPr>
              <w:t xml:space="preserve"> For CELISA assay,</w:t>
            </w:r>
            <w:r>
              <w:t xml:space="preserve"> </w:t>
            </w:r>
            <w:r w:rsidRPr="00EB6A26">
              <w:rPr>
                <w:rFonts w:ascii="Calibri" w:eastAsia="Calibri" w:hAnsi="Calibri" w:cs="Calibri"/>
                <w:sz w:val="24"/>
                <w:szCs w:val="24"/>
              </w:rPr>
              <w:t>1.5 x 10</w:t>
            </w:r>
            <w:r>
              <w:rPr>
                <w:rFonts w:ascii="Calibri" w:eastAsia="Calibri" w:hAnsi="Calibri" w:cs="Calibri"/>
                <w:sz w:val="24"/>
                <w:szCs w:val="24"/>
                <w:vertAlign w:val="superscript"/>
              </w:rPr>
              <w:t>4</w:t>
            </w:r>
            <w:r w:rsidRPr="00EB6A26">
              <w:rPr>
                <w:rFonts w:ascii="Calibri" w:eastAsia="Calibri" w:hAnsi="Calibri" w:cs="Calibri"/>
                <w:sz w:val="24"/>
                <w:szCs w:val="24"/>
              </w:rPr>
              <w:t xml:space="preserve"> </w:t>
            </w:r>
            <w:r w:rsidRPr="003F10F3">
              <w:rPr>
                <w:rFonts w:ascii="Calibri" w:eastAsia="Calibri" w:hAnsi="Calibri" w:cs="Calibri"/>
                <w:sz w:val="24"/>
                <w:szCs w:val="24"/>
              </w:rPr>
              <w:t>HeLa-Sp</w:t>
            </w:r>
            <w:r>
              <w:rPr>
                <w:rFonts w:ascii="Calibri" w:eastAsia="Calibri" w:hAnsi="Calibri" w:cs="Calibri"/>
                <w:sz w:val="24"/>
                <w:szCs w:val="24"/>
              </w:rPr>
              <w:t xml:space="preserve"> cell were transferred in a volume of </w:t>
            </w:r>
            <w:r w:rsidR="00EB6A26" w:rsidRPr="00EB6A26">
              <w:rPr>
                <w:rFonts w:ascii="Calibri" w:eastAsia="Calibri" w:hAnsi="Calibri" w:cs="Calibri"/>
                <w:sz w:val="24"/>
                <w:szCs w:val="24"/>
              </w:rPr>
              <w:t xml:space="preserve">with </w:t>
            </w:r>
            <w:r w:rsidRPr="00EB6A26">
              <w:rPr>
                <w:rFonts w:ascii="Calibri" w:eastAsia="Calibri" w:hAnsi="Calibri" w:cs="Calibri"/>
                <w:sz w:val="24"/>
                <w:szCs w:val="24"/>
              </w:rPr>
              <w:t xml:space="preserve">100 μl </w:t>
            </w:r>
            <w:r>
              <w:rPr>
                <w:rFonts w:ascii="Calibri" w:eastAsia="Calibri" w:hAnsi="Calibri" w:cs="Calibri"/>
                <w:sz w:val="24"/>
                <w:szCs w:val="24"/>
              </w:rPr>
              <w:t xml:space="preserve">of </w:t>
            </w:r>
            <w:r w:rsidR="00EB6A26" w:rsidRPr="00EB6A26">
              <w:rPr>
                <w:rFonts w:ascii="Calibri" w:eastAsia="Calibri" w:hAnsi="Calibri" w:cs="Calibri"/>
                <w:sz w:val="24"/>
                <w:szCs w:val="24"/>
              </w:rPr>
              <w:t>DMEM+5% FCS</w:t>
            </w:r>
            <w:r>
              <w:rPr>
                <w:rFonts w:ascii="Calibri" w:eastAsia="Calibri" w:hAnsi="Calibri" w:cs="Calibri"/>
                <w:sz w:val="24"/>
                <w:szCs w:val="24"/>
              </w:rPr>
              <w:t xml:space="preserve"> into</w:t>
            </w:r>
            <w:r w:rsidR="00EB6A26" w:rsidRPr="00EB6A26">
              <w:rPr>
                <w:rFonts w:ascii="Calibri" w:eastAsia="Calibri" w:hAnsi="Calibri" w:cs="Calibri"/>
                <w:sz w:val="24"/>
                <w:szCs w:val="24"/>
              </w:rPr>
              <w:t xml:space="preserve"> each well of the microtitre plate (Greiner Bio-One, Cat.</w:t>
            </w:r>
            <w:r w:rsidR="00234580">
              <w:rPr>
                <w:rFonts w:ascii="Calibri" w:eastAsia="Calibri" w:hAnsi="Calibri" w:cs="Calibri"/>
                <w:sz w:val="24"/>
                <w:szCs w:val="24"/>
              </w:rPr>
              <w:t xml:space="preserve"> No. 655180) then incubated </w:t>
            </w:r>
            <w:r w:rsidR="00EB6A26" w:rsidRPr="00EB6A26">
              <w:rPr>
                <w:rFonts w:ascii="Calibri" w:eastAsia="Calibri" w:hAnsi="Calibri" w:cs="Calibri"/>
                <w:sz w:val="24"/>
                <w:szCs w:val="24"/>
              </w:rPr>
              <w:t>overnight at 37°C in 5% CO</w:t>
            </w:r>
            <w:r w:rsidR="00EB6A26" w:rsidRPr="00EB6A26">
              <w:rPr>
                <w:rFonts w:ascii="Calibri" w:eastAsia="Calibri" w:hAnsi="Calibri" w:cs="Calibri"/>
                <w:sz w:val="24"/>
                <w:szCs w:val="24"/>
                <w:vertAlign w:val="subscript"/>
              </w:rPr>
              <w:t>2</w:t>
            </w:r>
            <w:r w:rsidR="00EB6A26" w:rsidRPr="00EB6A26">
              <w:rPr>
                <w:rFonts w:ascii="Calibri" w:eastAsia="Calibri" w:hAnsi="Calibri" w:cs="Calibri"/>
                <w:sz w:val="24"/>
                <w:szCs w:val="24"/>
              </w:rPr>
              <w:t xml:space="preserve">. </w:t>
            </w:r>
            <w:r>
              <w:rPr>
                <w:rFonts w:ascii="Calibri" w:eastAsia="Calibri" w:hAnsi="Calibri" w:cs="Calibri"/>
                <w:sz w:val="24"/>
                <w:szCs w:val="24"/>
              </w:rPr>
              <w:t>For fixed CELISA a</w:t>
            </w:r>
            <w:r w:rsidRPr="003F10F3">
              <w:rPr>
                <w:rFonts w:ascii="Calibri" w:eastAsia="Calibri" w:hAnsi="Calibri" w:cs="Calibri"/>
                <w:sz w:val="24"/>
                <w:szCs w:val="24"/>
              </w:rPr>
              <w:t>fter removing culture supernatant, plate was washed with PBS 3 times and 4% formaldehyde for 20 minutes at RT.</w:t>
            </w:r>
            <w:r>
              <w:rPr>
                <w:rFonts w:ascii="Calibri" w:eastAsia="Calibri" w:hAnsi="Calibri" w:cs="Calibri"/>
                <w:sz w:val="24"/>
                <w:szCs w:val="24"/>
              </w:rPr>
              <w:t xml:space="preserve"> For un-fixed C</w:t>
            </w:r>
            <w:r w:rsidR="00EB6A26" w:rsidRPr="00EB6A26">
              <w:rPr>
                <w:rFonts w:ascii="Calibri" w:eastAsia="Calibri" w:hAnsi="Calibri" w:cs="Calibri"/>
                <w:sz w:val="24"/>
                <w:szCs w:val="24"/>
              </w:rPr>
              <w:t xml:space="preserve">ELISA, </w:t>
            </w:r>
            <w:r>
              <w:rPr>
                <w:rFonts w:ascii="Calibri" w:eastAsia="Calibri" w:hAnsi="Calibri" w:cs="Calibri"/>
                <w:sz w:val="24"/>
                <w:szCs w:val="24"/>
              </w:rPr>
              <w:t>cells were washed with</w:t>
            </w:r>
            <w:r w:rsidR="00EB6A26" w:rsidRPr="00EB6A26">
              <w:rPr>
                <w:rFonts w:ascii="Calibri" w:eastAsia="Calibri" w:hAnsi="Calibri" w:cs="Calibri"/>
                <w:sz w:val="24"/>
                <w:szCs w:val="24"/>
              </w:rPr>
              <w:t xml:space="preserve"> DMEM containing 5% FCS. After washing with 300 μl/well 3 times,</w:t>
            </w:r>
            <w:r w:rsidR="00234580">
              <w:rPr>
                <w:rFonts w:ascii="Calibri" w:eastAsia="Calibri" w:hAnsi="Calibri" w:cs="Calibri"/>
                <w:sz w:val="24"/>
                <w:szCs w:val="24"/>
              </w:rPr>
              <w:t xml:space="preserve"> 100µl diluted sample (sera)</w:t>
            </w:r>
            <w:r w:rsidR="00EB6A26" w:rsidRPr="00EB6A26">
              <w:rPr>
                <w:rFonts w:ascii="Calibri" w:eastAsia="Calibri" w:hAnsi="Calibri" w:cs="Calibri"/>
                <w:sz w:val="24"/>
                <w:szCs w:val="24"/>
              </w:rPr>
              <w:t xml:space="preserve"> were added and incubated 1 h at 37°C in 5% CO</w:t>
            </w:r>
            <w:r w:rsidR="00EB6A26" w:rsidRPr="00EB6A26">
              <w:rPr>
                <w:rFonts w:ascii="Calibri" w:eastAsia="Calibri" w:hAnsi="Calibri" w:cs="Calibri"/>
                <w:sz w:val="24"/>
                <w:szCs w:val="24"/>
                <w:vertAlign w:val="subscript"/>
              </w:rPr>
              <w:t>2</w:t>
            </w:r>
            <w:r w:rsidR="00EB6A26" w:rsidRPr="00EB6A26">
              <w:rPr>
                <w:rFonts w:ascii="Calibri" w:eastAsia="Calibri" w:hAnsi="Calibri" w:cs="Calibri"/>
                <w:sz w:val="24"/>
                <w:szCs w:val="24"/>
              </w:rPr>
              <w:t xml:space="preserve">. After washing 3 times, biotinylated </w:t>
            </w:r>
            <w:r w:rsidR="00E50ADB">
              <w:rPr>
                <w:rFonts w:ascii="Calibri" w:eastAsia="Calibri" w:hAnsi="Calibri" w:cs="Calibri"/>
                <w:sz w:val="24"/>
                <w:szCs w:val="24"/>
              </w:rPr>
              <w:t>species-specific</w:t>
            </w:r>
            <w:r w:rsidR="00EB6A26" w:rsidRPr="00EB6A26">
              <w:rPr>
                <w:rFonts w:ascii="Calibri" w:eastAsia="Calibri" w:hAnsi="Calibri" w:cs="Calibri"/>
                <w:sz w:val="24"/>
                <w:szCs w:val="24"/>
              </w:rPr>
              <w:t xml:space="preserve"> IgG</w:t>
            </w:r>
            <w:r w:rsidR="00234580">
              <w:rPr>
                <w:rFonts w:ascii="Calibri" w:eastAsia="Calibri" w:hAnsi="Calibri" w:cs="Calibri"/>
                <w:sz w:val="24"/>
                <w:szCs w:val="24"/>
              </w:rPr>
              <w:t xml:space="preserve"> or IgM antibodies</w:t>
            </w:r>
            <w:r w:rsidR="00EB6A26" w:rsidRPr="00EB6A26">
              <w:rPr>
                <w:rFonts w:ascii="Calibri" w:eastAsia="Calibri" w:hAnsi="Calibri" w:cs="Calibri"/>
                <w:sz w:val="24"/>
                <w:szCs w:val="24"/>
              </w:rPr>
              <w:t xml:space="preserve"> (Invitrogen) with HRP-conjugated Streptavidin (BD Biosciences) for 1 h at 37°C in 5% CO</w:t>
            </w:r>
            <w:r w:rsidR="00EB6A26" w:rsidRPr="00EB6A26">
              <w:rPr>
                <w:rFonts w:ascii="Calibri" w:eastAsia="Calibri" w:hAnsi="Calibri" w:cs="Calibri"/>
                <w:sz w:val="24"/>
                <w:szCs w:val="24"/>
                <w:vertAlign w:val="subscript"/>
              </w:rPr>
              <w:t>2</w:t>
            </w:r>
            <w:r w:rsidR="00EB6A26" w:rsidRPr="00EB6A26">
              <w:rPr>
                <w:rFonts w:ascii="Calibri" w:eastAsia="Calibri" w:hAnsi="Calibri" w:cs="Calibri"/>
                <w:sz w:val="24"/>
                <w:szCs w:val="24"/>
              </w:rPr>
              <w:t>. After washing, TMB substrate (KPL,SeraCare, Gaithersburg, MD, USA) was added and incubated for 10 min before the reaction was stopped with 100µl 1M Phosphoric Acid. The optical density was measured at 450nm (OD450nm) using a VersaMax plate reader and analyzed using SoftMax Pro Software. Average OD450nm values obtained from negative control wells were subtracted.</w:t>
            </w:r>
          </w:p>
        </w:tc>
      </w:tr>
      <w:tr w:rsidR="00EB6A26" w:rsidRPr="00EB6A26" w:rsidTr="00234580">
        <w:trPr>
          <w:trHeight w:val="80"/>
        </w:trPr>
        <w:tc>
          <w:tcPr>
            <w:tcW w:w="9810" w:type="dxa"/>
            <w:shd w:val="clear" w:color="auto" w:fill="B4C6E7" w:themeFill="accent5" w:themeFillTint="66"/>
          </w:tcPr>
          <w:p w:rsidR="00EB6A26" w:rsidRPr="00800564" w:rsidRDefault="00E116F7" w:rsidP="00800564">
            <w:pPr>
              <w:tabs>
                <w:tab w:val="left" w:pos="7800"/>
              </w:tabs>
              <w:spacing w:before="60" w:after="60"/>
              <w:jc w:val="both"/>
              <w:rPr>
                <w:rFonts w:ascii="Calibri" w:eastAsia="Calibri" w:hAnsi="Calibri" w:cs="Calibri"/>
                <w:b/>
                <w:sz w:val="24"/>
                <w:szCs w:val="24"/>
              </w:rPr>
            </w:pPr>
            <w:r>
              <w:rPr>
                <w:rFonts w:ascii="Calibri" w:eastAsia="Calibri" w:hAnsi="Calibri" w:cs="Calibri"/>
                <w:b/>
                <w:sz w:val="24"/>
                <w:szCs w:val="24"/>
              </w:rPr>
              <w:t xml:space="preserve">(ii) </w:t>
            </w:r>
            <w:r w:rsidR="00800564" w:rsidRPr="00800564">
              <w:rPr>
                <w:rFonts w:ascii="Calibri" w:eastAsia="Calibri" w:hAnsi="Calibri" w:cs="Calibri"/>
                <w:b/>
                <w:sz w:val="24"/>
                <w:szCs w:val="24"/>
              </w:rPr>
              <w:t>SARS-CoV-2 Spike Pseudotyped Neutralization Assay</w:t>
            </w:r>
          </w:p>
        </w:tc>
      </w:tr>
      <w:tr w:rsidR="00800564" w:rsidRPr="00EB6A26" w:rsidTr="00234580">
        <w:trPr>
          <w:trHeight w:val="80"/>
        </w:trPr>
        <w:tc>
          <w:tcPr>
            <w:tcW w:w="9810" w:type="dxa"/>
            <w:shd w:val="clear" w:color="auto" w:fill="F6F8FC"/>
          </w:tcPr>
          <w:p w:rsidR="00800564" w:rsidRDefault="00800564" w:rsidP="00800564">
            <w:pPr>
              <w:tabs>
                <w:tab w:val="left" w:pos="7800"/>
              </w:tabs>
              <w:jc w:val="both"/>
              <w:rPr>
                <w:rFonts w:ascii="Calibri" w:eastAsia="Calibri" w:hAnsi="Calibri" w:cs="Calibri"/>
                <w:sz w:val="24"/>
                <w:szCs w:val="24"/>
              </w:rPr>
            </w:pPr>
            <w:r w:rsidRPr="00800564">
              <w:rPr>
                <w:rFonts w:ascii="Calibri" w:eastAsia="Calibri" w:hAnsi="Calibri" w:cs="Calibri"/>
                <w:sz w:val="24"/>
                <w:szCs w:val="24"/>
              </w:rPr>
              <w:t>A non-replicative SARS-COV2 Spike pseudotyped lentivirus-based platform was developed to evaluate neutralization activity in infected/convalescent sera in a BSL2 facility. The hACE2 ORF (Addgene# 1786) was cloned into a 3rd generation lentiviral expression vector pRRLSIN.cPPT.PGK-GFP.WPRE (Addgene# 122053) and clonal Hek 293T cells stably expressing ACE2 were generated by lentiviral transductions as described previously (PMID: 22685410), followed by single cell sorting into 50% Hek 293T conditioned media (media conditioned from 50% confluent Hek 293T cultures). Lentiviral particles pseudotyped with SARS-COV2 Spike envelope were produced by co-transfecting Hek 293T cells with a GFP encoding 3rd generation lentiviral plasmid HRSIN-CSGW (a gift from Camille Frecha: PMID 15029233), psPAX2 and plasmid expressing codon optimized but C-terminal truncated SARS COV2 S protein (pCG1-SARS-2-S Delta18, herein Spike Delt</w:t>
            </w:r>
            <w:r w:rsidR="00E50ADB">
              <w:rPr>
                <w:rFonts w:ascii="Calibri" w:eastAsia="Calibri" w:hAnsi="Calibri" w:cs="Calibri"/>
                <w:sz w:val="24"/>
                <w:szCs w:val="24"/>
              </w:rPr>
              <w:t>a18)</w:t>
            </w:r>
            <w:r w:rsidRPr="00800564">
              <w:rPr>
                <w:rFonts w:ascii="Calibri" w:eastAsia="Calibri" w:hAnsi="Calibri" w:cs="Calibri"/>
                <w:sz w:val="24"/>
                <w:szCs w:val="24"/>
              </w:rPr>
              <w:t>. Neutralization activity of donor sera was measured using a single round transduction of ACE2-Hek293T with Spike pseudotyped lentiviral particles. Briefly, virus particles were pre-incubated with serially diluted donor sera for 1 h at 37°C. Virus-serum was then added onto ACE2-Hek 293T cells seeded at 2,500 cells per well in a 384-well tissue culture plate a day before. Following sp</w:t>
            </w:r>
            <w:r w:rsidR="003F10F3">
              <w:rPr>
                <w:rFonts w:ascii="Calibri" w:eastAsia="Calibri" w:hAnsi="Calibri" w:cs="Calibri"/>
                <w:sz w:val="24"/>
                <w:szCs w:val="24"/>
              </w:rPr>
              <w:t>inoculation at 1200xg for 1 h</w:t>
            </w:r>
            <w:r w:rsidRPr="00800564">
              <w:rPr>
                <w:rFonts w:ascii="Calibri" w:eastAsia="Calibri" w:hAnsi="Calibri" w:cs="Calibri"/>
                <w:sz w:val="24"/>
                <w:szCs w:val="24"/>
              </w:rPr>
              <w:t xml:space="preserve"> at 18°C, the cells were moved to 37°C for a further 72 hours. Entry of pseudotyped particles was assessed by imaging GFP positive cells and total cell numbers imaged through live nuclei counter staining using NucBlue (Invitrogen). Total cell counts and % GFP positive cells were acquired using InCell imaging platform followed by enumeration with InCarta high content image analysis software (Cytiva). Neutralization was measured by reduction in % GFP expression relative to control group infected with the virus particles without any serum treatment.</w:t>
            </w:r>
          </w:p>
        </w:tc>
      </w:tr>
    </w:tbl>
    <w:p w:rsidR="00EB6A26" w:rsidRPr="00EB6A26" w:rsidRDefault="00EB6A26" w:rsidP="00EB6A26">
      <w:pPr>
        <w:spacing w:after="0"/>
        <w:rPr>
          <w:rFonts w:ascii="Calibri" w:eastAsia="Calibri" w:hAnsi="Calibri" w:cs="Calibri"/>
          <w:b/>
          <w:bCs/>
          <w:sz w:val="24"/>
          <w:szCs w:val="24"/>
        </w:rPr>
      </w:pPr>
    </w:p>
    <w:p w:rsidR="00A611BE" w:rsidRPr="0080662E" w:rsidRDefault="00A611BE">
      <w:pPr>
        <w:spacing w:after="0"/>
        <w:ind w:hanging="450"/>
        <w:rPr>
          <w:rFonts w:ascii="Calibri" w:eastAsia="Calibri" w:hAnsi="Calibri" w:cs="Calibri"/>
          <w:b/>
          <w:bCs/>
          <w:sz w:val="24"/>
          <w:szCs w:val="24"/>
        </w:rPr>
      </w:pPr>
    </w:p>
    <w:sectPr w:rsidR="00A611BE" w:rsidRPr="0080662E" w:rsidSect="002B0567">
      <w:footerReference w:type="default" r:id="rId8"/>
      <w:pgSz w:w="11906" w:h="16838" w:code="9"/>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58" w:rsidRDefault="00A2585F">
      <w:pPr>
        <w:spacing w:after="0" w:line="240" w:lineRule="auto"/>
      </w:pPr>
      <w:r>
        <w:separator/>
      </w:r>
    </w:p>
  </w:endnote>
  <w:endnote w:type="continuationSeparator" w:id="0">
    <w:p w:rsidR="00204358" w:rsidRDefault="00A2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6C" w:rsidRDefault="001C35C1" w:rsidP="00AA6917">
    <w:pPr>
      <w:pStyle w:val="Fuzeile"/>
      <w:jc w:val="center"/>
    </w:pPr>
  </w:p>
  <w:p w:rsidR="00F30D6C" w:rsidRDefault="001C35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58" w:rsidRDefault="00A2585F">
      <w:pPr>
        <w:spacing w:after="0" w:line="240" w:lineRule="auto"/>
      </w:pPr>
      <w:r>
        <w:separator/>
      </w:r>
    </w:p>
  </w:footnote>
  <w:footnote w:type="continuationSeparator" w:id="0">
    <w:p w:rsidR="00204358" w:rsidRDefault="00A25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D63"/>
    <w:multiLevelType w:val="hybridMultilevel"/>
    <w:tmpl w:val="87926AA6"/>
    <w:lvl w:ilvl="0" w:tplc="2164549A">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68A4"/>
    <w:multiLevelType w:val="hybridMultilevel"/>
    <w:tmpl w:val="9DE01246"/>
    <w:lvl w:ilvl="0" w:tplc="4584395A">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91636"/>
    <w:multiLevelType w:val="hybridMultilevel"/>
    <w:tmpl w:val="B1605D82"/>
    <w:lvl w:ilvl="0" w:tplc="7F3A740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119A8"/>
    <w:multiLevelType w:val="hybridMultilevel"/>
    <w:tmpl w:val="7E724F88"/>
    <w:lvl w:ilvl="0" w:tplc="701080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B73D5"/>
    <w:multiLevelType w:val="hybridMultilevel"/>
    <w:tmpl w:val="49AA7808"/>
    <w:lvl w:ilvl="0" w:tplc="BC7465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51EBC"/>
    <w:multiLevelType w:val="hybridMultilevel"/>
    <w:tmpl w:val="08AE70C8"/>
    <w:lvl w:ilvl="0" w:tplc="B6AC877C">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26ED2"/>
    <w:multiLevelType w:val="hybridMultilevel"/>
    <w:tmpl w:val="80E8E478"/>
    <w:lvl w:ilvl="0" w:tplc="2164549A">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07B8F"/>
    <w:multiLevelType w:val="hybridMultilevel"/>
    <w:tmpl w:val="DED2DA1C"/>
    <w:lvl w:ilvl="0" w:tplc="2164549A">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DC57BC"/>
    <w:multiLevelType w:val="hybridMultilevel"/>
    <w:tmpl w:val="39A625AA"/>
    <w:lvl w:ilvl="0" w:tplc="2164549A">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4"/>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26"/>
    <w:rsid w:val="000B2A33"/>
    <w:rsid w:val="000C2C26"/>
    <w:rsid w:val="000E29AE"/>
    <w:rsid w:val="00123AE5"/>
    <w:rsid w:val="0012699B"/>
    <w:rsid w:val="001C35C1"/>
    <w:rsid w:val="00204358"/>
    <w:rsid w:val="00234580"/>
    <w:rsid w:val="002B0567"/>
    <w:rsid w:val="002E765B"/>
    <w:rsid w:val="00382006"/>
    <w:rsid w:val="003F10F3"/>
    <w:rsid w:val="003F2F38"/>
    <w:rsid w:val="00406B84"/>
    <w:rsid w:val="00411246"/>
    <w:rsid w:val="00460541"/>
    <w:rsid w:val="00473695"/>
    <w:rsid w:val="004849AF"/>
    <w:rsid w:val="00543509"/>
    <w:rsid w:val="00593916"/>
    <w:rsid w:val="005B471C"/>
    <w:rsid w:val="005B73E1"/>
    <w:rsid w:val="00606DB7"/>
    <w:rsid w:val="006114BE"/>
    <w:rsid w:val="00685C67"/>
    <w:rsid w:val="007638DA"/>
    <w:rsid w:val="007E1B80"/>
    <w:rsid w:val="007F6AB7"/>
    <w:rsid w:val="00800564"/>
    <w:rsid w:val="0080662E"/>
    <w:rsid w:val="008331FC"/>
    <w:rsid w:val="008374E3"/>
    <w:rsid w:val="008A4623"/>
    <w:rsid w:val="00912AEF"/>
    <w:rsid w:val="00915376"/>
    <w:rsid w:val="00947998"/>
    <w:rsid w:val="00961B47"/>
    <w:rsid w:val="00963E81"/>
    <w:rsid w:val="009D5BDE"/>
    <w:rsid w:val="009F6713"/>
    <w:rsid w:val="00A2585F"/>
    <w:rsid w:val="00A611BE"/>
    <w:rsid w:val="00AB4AD6"/>
    <w:rsid w:val="00AE1E65"/>
    <w:rsid w:val="00B5683C"/>
    <w:rsid w:val="00B81473"/>
    <w:rsid w:val="00B81606"/>
    <w:rsid w:val="00BE4E1C"/>
    <w:rsid w:val="00C1307F"/>
    <w:rsid w:val="00C62C51"/>
    <w:rsid w:val="00CA4B63"/>
    <w:rsid w:val="00CA627C"/>
    <w:rsid w:val="00CB3AA6"/>
    <w:rsid w:val="00CB524A"/>
    <w:rsid w:val="00CE182A"/>
    <w:rsid w:val="00D12280"/>
    <w:rsid w:val="00D23816"/>
    <w:rsid w:val="00D40F21"/>
    <w:rsid w:val="00D7099D"/>
    <w:rsid w:val="00DB5F25"/>
    <w:rsid w:val="00E116F7"/>
    <w:rsid w:val="00E1472B"/>
    <w:rsid w:val="00E50ADB"/>
    <w:rsid w:val="00EB6A26"/>
    <w:rsid w:val="00F56FA6"/>
    <w:rsid w:val="00F60B99"/>
    <w:rsid w:val="00FD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28611B"/>
  <w15:chartTrackingRefBased/>
  <w15:docId w15:val="{ADA50EC5-839E-4470-AADB-C0EE723E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EB6A26"/>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EB6A26"/>
  </w:style>
  <w:style w:type="table" w:styleId="Tabellenraster">
    <w:name w:val="Table Grid"/>
    <w:basedOn w:val="NormaleTabelle"/>
    <w:uiPriority w:val="59"/>
    <w:rsid w:val="00EB6A2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B6A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6A26"/>
    <w:rPr>
      <w:rFonts w:ascii="Segoe UI" w:hAnsi="Segoe UI" w:cs="Segoe UI"/>
      <w:sz w:val="18"/>
      <w:szCs w:val="18"/>
    </w:rPr>
  </w:style>
  <w:style w:type="paragraph" w:styleId="Listenabsatz">
    <w:name w:val="List Paragraph"/>
    <w:basedOn w:val="Standard"/>
    <w:uiPriority w:val="34"/>
    <w:qFormat/>
    <w:rsid w:val="00947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E6B8-8590-4619-AE21-E5DCF7B0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user</cp:lastModifiedBy>
  <cp:revision>2</cp:revision>
  <cp:lastPrinted>2021-08-11T16:17:00Z</cp:lastPrinted>
  <dcterms:created xsi:type="dcterms:W3CDTF">2021-08-12T00:11:00Z</dcterms:created>
  <dcterms:modified xsi:type="dcterms:W3CDTF">2021-08-12T00:11:00Z</dcterms:modified>
</cp:coreProperties>
</file>