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CE72" w14:textId="0D58F387" w:rsidR="000F32B6" w:rsidRPr="002A6622" w:rsidRDefault="000F32B6" w:rsidP="000F32B6">
      <w:pPr>
        <w:pStyle w:val="BodyTextIntechOpen"/>
        <w:ind w:firstLine="0"/>
        <w:jc w:val="center"/>
        <w:rPr>
          <w:rFonts w:ascii="Helvetica Neue" w:eastAsia="Times New Roman" w:hAnsi="Helvetica Neue"/>
          <w:b/>
          <w:sz w:val="24"/>
          <w:szCs w:val="24"/>
        </w:rPr>
      </w:pPr>
      <w:r w:rsidRPr="002A6622">
        <w:rPr>
          <w:rFonts w:ascii="Helvetica Neue" w:eastAsia="Times New Roman" w:hAnsi="Helvetica Neue"/>
          <w:b/>
          <w:sz w:val="24"/>
          <w:szCs w:val="24"/>
        </w:rPr>
        <w:t xml:space="preserve">Supplementary </w:t>
      </w:r>
      <w:r w:rsidR="00EB3A9C">
        <w:rPr>
          <w:rFonts w:ascii="Helvetica Neue" w:eastAsia="Times New Roman" w:hAnsi="Helvetica Neue"/>
          <w:b/>
          <w:sz w:val="24"/>
          <w:szCs w:val="24"/>
        </w:rPr>
        <w:t xml:space="preserve">information </w:t>
      </w:r>
      <w:r w:rsidRPr="002A6622">
        <w:rPr>
          <w:rFonts w:ascii="Helvetica Neue" w:eastAsia="Times New Roman" w:hAnsi="Helvetica Neue"/>
          <w:b/>
          <w:sz w:val="24"/>
          <w:szCs w:val="24"/>
        </w:rPr>
        <w:t>1</w:t>
      </w:r>
    </w:p>
    <w:p w14:paraId="47E0AC87" w14:textId="77777777" w:rsidR="000F32B6" w:rsidRPr="002A6622" w:rsidRDefault="000F32B6" w:rsidP="000F32B6">
      <w:pPr>
        <w:pStyle w:val="BodyTextIntechOpen"/>
        <w:ind w:firstLine="0"/>
        <w:jc w:val="both"/>
        <w:rPr>
          <w:rFonts w:ascii="Helvetica Neue" w:eastAsia="Times New Roman" w:hAnsi="Helvetica Neue"/>
          <w:sz w:val="24"/>
          <w:szCs w:val="24"/>
        </w:rPr>
      </w:pPr>
    </w:p>
    <w:p w14:paraId="00AAE9FF" w14:textId="28154C31" w:rsidR="000F32B6" w:rsidRPr="002A6622" w:rsidRDefault="000F32B6" w:rsidP="000F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eastAsia="Times New Roman" w:hAnsi="Helvetica Neue"/>
          <w:sz w:val="22"/>
          <w:szCs w:val="22"/>
          <w:lang w:val="en-US"/>
        </w:rPr>
      </w:pPr>
    </w:p>
    <w:p w14:paraId="37DF7AF5" w14:textId="77777777" w:rsidR="000F32B6" w:rsidRPr="002A6622" w:rsidRDefault="000F32B6" w:rsidP="000F3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eastAsia="Times New Roman" w:hAnsi="Helvetica Neue"/>
          <w:lang w:val="en-US"/>
        </w:rPr>
      </w:pPr>
    </w:p>
    <w:p w14:paraId="38AA1A85" w14:textId="77777777" w:rsidR="00A8522C" w:rsidRDefault="00A8522C" w:rsidP="00A8522C">
      <w:pPr>
        <w:widowControl w:val="0"/>
        <w:spacing w:line="281" w:lineRule="atLeast"/>
        <w:jc w:val="both"/>
        <w:rPr>
          <w:rFonts w:ascii="Helvetica Neue" w:hAnsi="Helvetica Neue" w:cs="Times"/>
          <w:color w:val="000000"/>
          <w:sz w:val="20"/>
          <w:szCs w:val="20"/>
          <w:lang w:val="en-US"/>
        </w:rPr>
      </w:pPr>
    </w:p>
    <w:p w14:paraId="70C834D5" w14:textId="560064F9" w:rsidR="00A8522C" w:rsidRPr="003E27DD" w:rsidRDefault="00A8522C" w:rsidP="00DE7900">
      <w:pPr>
        <w:widowControl w:val="0"/>
        <w:spacing w:line="480" w:lineRule="auto"/>
        <w:jc w:val="both"/>
        <w:rPr>
          <w:lang w:val="en-US"/>
        </w:rPr>
      </w:pPr>
      <w:r w:rsidRPr="003E27DD">
        <w:rPr>
          <w:rFonts w:ascii="Helvetica Neue" w:hAnsi="Helvetica Neue" w:cs="Times"/>
          <w:color w:val="000000"/>
          <w:sz w:val="20"/>
          <w:szCs w:val="20"/>
          <w:lang w:val="en-US"/>
        </w:rPr>
        <w:t xml:space="preserve">Water plays a critical role in </w:t>
      </w:r>
      <w:r w:rsidRPr="003E27DD">
        <w:rPr>
          <w:rFonts w:ascii="Helvetica Neue" w:hAnsi="Helvetica Neue" w:cs="HelveticaNeueLT Std Lt"/>
          <w:color w:val="000000"/>
          <w:sz w:val="20"/>
          <w:szCs w:val="20"/>
          <w:lang w:val="en-US"/>
        </w:rPr>
        <w:t xml:space="preserve">the terrestrial hydrological cycle </w:t>
      </w:r>
      <w:r>
        <w:rPr>
          <w:rFonts w:ascii="Helvetica Neue" w:hAnsi="Helvetica Neue" w:cs="HelveticaNeueLT Std Lt"/>
          <w:color w:val="000000"/>
          <w:sz w:val="20"/>
          <w:szCs w:val="20"/>
          <w:lang w:val="en-US"/>
        </w:rPr>
        <w:t xml:space="preserve">and in maintaining the earth's water and energy balance. The physical, chemical, physical and biological properties of water, such as ionic dissociation, high heat of vaporization, high heat capacity, dielectric constant, surface tension, together with environmental physical phenomena like the atmospheric </w:t>
      </w:r>
      <w:bookmarkStart w:id="0" w:name="_GoBack"/>
      <w:r>
        <w:rPr>
          <w:rFonts w:ascii="Helvetica Neue" w:hAnsi="Helvetica Neue" w:cs="HelveticaNeueLT Std Lt"/>
          <w:color w:val="000000"/>
          <w:sz w:val="20"/>
          <w:szCs w:val="20"/>
          <w:lang w:val="en-US"/>
        </w:rPr>
        <w:t xml:space="preserve">pressure, vapor pressure and temperature in conjunction with the soil properties impact plant development. </w:t>
      </w:r>
      <w:r w:rsidRPr="003E27DD">
        <w:rPr>
          <w:rFonts w:ascii="Helvetica Neue" w:hAnsi="Helvetica Neue" w:cs="HelveticaNeueLT Std Lt"/>
          <w:color w:val="000000"/>
          <w:sz w:val="20"/>
          <w:szCs w:val="20"/>
          <w:lang w:val="en-US"/>
        </w:rPr>
        <w:t>Both water and air are in continuous movement between saturated and unsatur</w:t>
      </w:r>
      <w:r>
        <w:rPr>
          <w:rFonts w:ascii="Helvetica Neue" w:hAnsi="Helvetica Neue" w:cs="HelveticaNeueLT Std Lt"/>
          <w:color w:val="000000"/>
          <w:sz w:val="20"/>
          <w:szCs w:val="20"/>
          <w:lang w:val="en-US"/>
        </w:rPr>
        <w:t xml:space="preserve">ated </w:t>
      </w:r>
      <w:r w:rsidRPr="003E27DD">
        <w:rPr>
          <w:rFonts w:ascii="Helvetica Neue" w:hAnsi="Helvetica Neue" w:cs="HelveticaNeueLT Std Lt"/>
          <w:color w:val="000000"/>
          <w:sz w:val="20"/>
          <w:szCs w:val="20"/>
          <w:lang w:val="en-US"/>
        </w:rPr>
        <w:t>zones along the normally unsatur</w:t>
      </w:r>
      <w:r>
        <w:rPr>
          <w:rFonts w:ascii="Helvetica Neue" w:hAnsi="Helvetica Neue" w:cs="HelveticaNeueLT Std Lt"/>
          <w:color w:val="000000"/>
          <w:sz w:val="20"/>
          <w:szCs w:val="20"/>
          <w:lang w:val="en-US"/>
        </w:rPr>
        <w:t>ated</w:t>
      </w:r>
      <w:r w:rsidRPr="003E27DD">
        <w:rPr>
          <w:rFonts w:ascii="Helvetica Neue" w:hAnsi="Helvetica Neue" w:cs="HelveticaNeueLT Std Lt"/>
          <w:color w:val="000000"/>
          <w:sz w:val="20"/>
          <w:szCs w:val="20"/>
          <w:lang w:val="en-US"/>
        </w:rPr>
        <w:t xml:space="preserve"> soil [</w:t>
      </w:r>
      <w:r w:rsidR="00A12200">
        <w:rPr>
          <w:rFonts w:ascii="Helvetica Neue" w:hAnsi="Helvetica Neue" w:cs="HelveticaNeueLT Std Lt"/>
          <w:color w:val="000000"/>
          <w:sz w:val="20"/>
          <w:szCs w:val="20"/>
          <w:lang w:val="en-US"/>
        </w:rPr>
        <w:t>1,2</w:t>
      </w:r>
      <w:r w:rsidRPr="003E27DD">
        <w:rPr>
          <w:rFonts w:ascii="Helvetica Neue" w:hAnsi="Helvetica Neue" w:cs="HelveticaNeueLT Std Lt"/>
          <w:color w:val="000000"/>
          <w:sz w:val="20"/>
          <w:szCs w:val="20"/>
          <w:lang w:val="en-US"/>
        </w:rPr>
        <w:t xml:space="preserve">]. This tendency to go from wet to dry is a moisture gradient. Thus, a low moisture gradient corresponds to </w:t>
      </w:r>
      <w:r w:rsidR="00F738E2">
        <w:rPr>
          <w:rFonts w:ascii="Helvetica Neue" w:hAnsi="Helvetica Neue" w:cs="HelveticaNeueLT Std Lt"/>
          <w:color w:val="000000"/>
          <w:sz w:val="20"/>
          <w:szCs w:val="20"/>
          <w:lang w:val="en-US"/>
        </w:rPr>
        <w:t xml:space="preserve">a </w:t>
      </w:r>
      <w:r w:rsidRPr="003E27DD">
        <w:rPr>
          <w:rFonts w:ascii="Helvetica Neue" w:hAnsi="Helvetica Neue" w:cs="HelveticaNeueLT Std Lt"/>
          <w:color w:val="000000"/>
          <w:sz w:val="20"/>
          <w:szCs w:val="20"/>
          <w:lang w:val="en-US"/>
        </w:rPr>
        <w:t>condition of a dry zone with less water available for the use of plants</w:t>
      </w:r>
      <w:r>
        <w:rPr>
          <w:rFonts w:ascii="Helvetica Neue" w:hAnsi="Helvetica Neue" w:cs="HelveticaNeueLT Std Lt"/>
          <w:color w:val="000000"/>
          <w:sz w:val="20"/>
          <w:szCs w:val="20"/>
          <w:lang w:val="en-US"/>
        </w:rPr>
        <w:t xml:space="preserve">. This phenomenon has been widely studied given its association with the reduction of the stomatal index that affects the transpiration process, which is one of the main driving mechanisms of the root to absorb water from the soil </w:t>
      </w:r>
      <w:r>
        <w:rPr>
          <w:rFonts w:ascii="Helvetica Neue" w:eastAsia="Times New Roman" w:hAnsi="Helvetica Neue" w:cs="Arial"/>
          <w:color w:val="000000"/>
          <w:sz w:val="20"/>
          <w:szCs w:val="20"/>
          <w:lang w:val="en-US" w:eastAsia="es-MX"/>
        </w:rPr>
        <w:t>[</w:t>
      </w:r>
      <w:r w:rsidR="00A12200">
        <w:rPr>
          <w:rFonts w:ascii="Helvetica Neue" w:eastAsia="Times New Roman" w:hAnsi="Helvetica Neue" w:cs="Arial"/>
          <w:color w:val="000000"/>
          <w:sz w:val="20"/>
          <w:szCs w:val="20"/>
          <w:lang w:val="en-US" w:eastAsia="es-MX"/>
        </w:rPr>
        <w:t>1-3</w:t>
      </w:r>
      <w:r>
        <w:rPr>
          <w:rFonts w:ascii="Helvetica Neue" w:eastAsia="Times New Roman" w:hAnsi="Helvetica Neue" w:cs="Arial"/>
          <w:color w:val="000000"/>
          <w:sz w:val="20"/>
          <w:szCs w:val="20"/>
          <w:lang w:val="en-US" w:eastAsia="es-MX"/>
        </w:rPr>
        <w:t xml:space="preserve">]. </w:t>
      </w:r>
      <w:r w:rsidRPr="003E27DD">
        <w:rPr>
          <w:rFonts w:ascii="Helvetica Neue" w:hAnsi="Helvetica Neue" w:cs="HelveticaNeueLT Std Lt"/>
          <w:color w:val="000000"/>
          <w:sz w:val="20"/>
          <w:szCs w:val="20"/>
          <w:lang w:val="en-US"/>
        </w:rPr>
        <w:t xml:space="preserve">Moisture can be measured as relative humidity </w:t>
      </w:r>
      <w:r>
        <w:rPr>
          <w:rFonts w:ascii="Helvetica Neue" w:hAnsi="Helvetica Neue" w:cs="HelveticaNeueLT Std Lt"/>
          <w:color w:val="000000"/>
          <w:sz w:val="20"/>
          <w:szCs w:val="20"/>
          <w:lang w:val="en-US"/>
        </w:rPr>
        <w:t xml:space="preserve">percentage </w:t>
      </w:r>
      <w:r w:rsidRPr="003E27DD">
        <w:rPr>
          <w:rFonts w:ascii="Helvetica Neue" w:hAnsi="Helvetica Neue" w:cs="HelveticaNeueLT Std Lt"/>
          <w:color w:val="000000"/>
          <w:sz w:val="20"/>
          <w:szCs w:val="20"/>
          <w:lang w:val="en-US"/>
        </w:rPr>
        <w:t>(</w:t>
      </w:r>
      <w:r>
        <w:rPr>
          <w:rFonts w:ascii="Helvetica Neue" w:hAnsi="Helvetica Neue" w:cs="HelveticaNeueLT Std Lt"/>
          <w:color w:val="000000"/>
          <w:sz w:val="20"/>
          <w:szCs w:val="20"/>
          <w:lang w:val="en-US"/>
        </w:rPr>
        <w:t>%</w:t>
      </w:r>
      <w:r w:rsidR="00F738E2">
        <w:rPr>
          <w:rFonts w:ascii="Helvetica Neue" w:hAnsi="Helvetica Neue" w:cs="HelveticaNeueLT Std Lt"/>
          <w:color w:val="000000"/>
          <w:sz w:val="20"/>
          <w:szCs w:val="20"/>
          <w:lang w:val="en-US"/>
        </w:rPr>
        <w:t xml:space="preserve"> </w:t>
      </w:r>
      <w:r w:rsidRPr="003E27DD">
        <w:rPr>
          <w:rFonts w:ascii="Helvetica Neue" w:hAnsi="Helvetica Neue" w:cs="HelveticaNeueLT Std Lt"/>
          <w:color w:val="000000"/>
          <w:sz w:val="20"/>
          <w:szCs w:val="20"/>
          <w:lang w:val="en-US"/>
        </w:rPr>
        <w:t>RH), being the most common method and it is expressed as a percentage between zero and 100%. The %</w:t>
      </w:r>
      <w:r w:rsidR="00F738E2">
        <w:rPr>
          <w:rFonts w:ascii="Helvetica Neue" w:hAnsi="Helvetica Neue" w:cs="HelveticaNeueLT Std Lt"/>
          <w:color w:val="000000"/>
          <w:sz w:val="20"/>
          <w:szCs w:val="20"/>
          <w:lang w:val="en-US"/>
        </w:rPr>
        <w:t xml:space="preserve"> </w:t>
      </w:r>
      <w:r w:rsidRPr="003E27DD">
        <w:rPr>
          <w:rFonts w:ascii="Helvetica Neue" w:hAnsi="Helvetica Neue" w:cs="HelveticaNeueLT Std Lt"/>
          <w:color w:val="000000"/>
          <w:sz w:val="20"/>
          <w:szCs w:val="20"/>
          <w:lang w:val="en-US"/>
        </w:rPr>
        <w:t>RH indicates the amount of moisture in the air as a percentage of the maximum amount that can be mixed with the air at a specific temperature and pressure (below 212°</w:t>
      </w:r>
      <w:r>
        <w:rPr>
          <w:rFonts w:ascii="Helvetica Neue" w:hAnsi="Helvetica Neue" w:cs="HelveticaNeueLT Std Lt"/>
          <w:color w:val="000000"/>
          <w:sz w:val="20"/>
          <w:szCs w:val="20"/>
          <w:lang w:val="en-US"/>
        </w:rPr>
        <w:t xml:space="preserve"> </w:t>
      </w:r>
      <w:r w:rsidRPr="003E27DD">
        <w:rPr>
          <w:rFonts w:ascii="Helvetica Neue" w:hAnsi="Helvetica Neue" w:cs="HelveticaNeueLT Std Lt"/>
          <w:color w:val="000000"/>
          <w:sz w:val="20"/>
          <w:szCs w:val="20"/>
          <w:lang w:val="en-US"/>
        </w:rPr>
        <w:t xml:space="preserve">F). </w:t>
      </w:r>
      <w:r w:rsidRPr="003E27DD">
        <w:rPr>
          <w:rFonts w:ascii="Helvetica Neue" w:eastAsia="Times New Roman" w:hAnsi="Helvetica Neue" w:cs="Arial"/>
          <w:color w:val="000000"/>
          <w:sz w:val="20"/>
          <w:szCs w:val="20"/>
          <w:lang w:val="en-US" w:eastAsia="es-MX"/>
        </w:rPr>
        <w:t>A reading of 100</w:t>
      </w:r>
      <w:r>
        <w:rPr>
          <w:rFonts w:ascii="Helvetica Neue" w:eastAsia="Times New Roman" w:hAnsi="Helvetica Neue" w:cs="Arial"/>
          <w:color w:val="000000"/>
          <w:sz w:val="20"/>
          <w:szCs w:val="20"/>
          <w:lang w:val="en-US" w:eastAsia="es-MX"/>
        </w:rPr>
        <w:t>%</w:t>
      </w:r>
      <w:r w:rsidR="00431193">
        <w:rPr>
          <w:rFonts w:ascii="Helvetica Neue" w:eastAsia="Times New Roman" w:hAnsi="Helvetica Neue" w:cs="Arial"/>
          <w:color w:val="000000"/>
          <w:sz w:val="20"/>
          <w:szCs w:val="20"/>
          <w:lang w:val="en-US" w:eastAsia="es-MX"/>
        </w:rPr>
        <w:t xml:space="preserve"> </w:t>
      </w:r>
      <w:r>
        <w:rPr>
          <w:rFonts w:ascii="Helvetica Neue" w:eastAsia="Times New Roman" w:hAnsi="Helvetica Neue" w:cs="Arial"/>
          <w:color w:val="000000"/>
          <w:sz w:val="20"/>
          <w:szCs w:val="20"/>
          <w:lang w:val="en-US" w:eastAsia="es-MX"/>
        </w:rPr>
        <w:t xml:space="preserve">RH </w:t>
      </w:r>
      <w:r w:rsidRPr="003E27DD">
        <w:rPr>
          <w:rFonts w:ascii="Helvetica Neue" w:eastAsia="Times New Roman" w:hAnsi="Helvetica Neue" w:cs="Arial"/>
          <w:color w:val="000000"/>
          <w:sz w:val="20"/>
          <w:szCs w:val="20"/>
          <w:lang w:val="en-US" w:eastAsia="es-MX"/>
        </w:rPr>
        <w:t>means that the air is totally saturated with water vapor and cannot hold any more</w:t>
      </w:r>
      <w:r>
        <w:rPr>
          <w:rFonts w:ascii="Helvetica Neue" w:eastAsia="Times New Roman" w:hAnsi="Helvetica Neue" w:cs="Arial"/>
          <w:color w:val="000000"/>
          <w:sz w:val="20"/>
          <w:szCs w:val="20"/>
          <w:lang w:val="en-US" w:eastAsia="es-MX"/>
        </w:rPr>
        <w:t xml:space="preserve"> </w:t>
      </w:r>
      <w:r w:rsidRPr="003E27DD">
        <w:rPr>
          <w:rFonts w:ascii="Helvetica Neue" w:eastAsia="Times New Roman" w:hAnsi="Helvetica Neue" w:cs="Arial"/>
          <w:color w:val="000000"/>
          <w:sz w:val="20"/>
          <w:szCs w:val="20"/>
          <w:lang w:val="en-US" w:eastAsia="es-MX"/>
        </w:rPr>
        <w:t>[</w:t>
      </w:r>
      <w:r>
        <w:rPr>
          <w:rFonts w:ascii="Helvetica Neue" w:eastAsia="Times New Roman" w:hAnsi="Helvetica Neue" w:cs="Arial"/>
          <w:color w:val="000000"/>
          <w:sz w:val="20"/>
          <w:szCs w:val="20"/>
          <w:lang w:val="en-US" w:eastAsia="es-MX"/>
        </w:rPr>
        <w:t>3</w:t>
      </w:r>
      <w:r w:rsidR="00A12200">
        <w:rPr>
          <w:rFonts w:ascii="Helvetica Neue" w:eastAsia="Times New Roman" w:hAnsi="Helvetica Neue" w:cs="Arial"/>
          <w:color w:val="000000"/>
          <w:sz w:val="20"/>
          <w:szCs w:val="20"/>
          <w:lang w:val="en-US" w:eastAsia="es-MX"/>
        </w:rPr>
        <w:t>-5</w:t>
      </w:r>
      <w:r w:rsidRPr="003E27DD">
        <w:rPr>
          <w:rFonts w:ascii="Helvetica Neue" w:eastAsia="Times New Roman" w:hAnsi="Helvetica Neue" w:cs="Arial"/>
          <w:color w:val="000000"/>
          <w:sz w:val="20"/>
          <w:szCs w:val="20"/>
          <w:lang w:val="en-US" w:eastAsia="es-MX"/>
        </w:rPr>
        <w:t xml:space="preserve">]. </w:t>
      </w:r>
    </w:p>
    <w:p w14:paraId="4B9FCB63" w14:textId="77777777" w:rsidR="000F32B6" w:rsidRPr="002A6622" w:rsidRDefault="000F32B6" w:rsidP="000F32B6">
      <w:pPr>
        <w:widowControl w:val="0"/>
        <w:autoSpaceDE w:val="0"/>
        <w:autoSpaceDN w:val="0"/>
        <w:adjustRightInd w:val="0"/>
        <w:spacing w:line="281" w:lineRule="atLeast"/>
        <w:rPr>
          <w:rFonts w:ascii="Helvetica Neue" w:eastAsia="Times New Roman" w:hAnsi="Helvetica Neue"/>
          <w:sz w:val="20"/>
          <w:szCs w:val="20"/>
          <w:lang w:val="en-US"/>
        </w:rPr>
      </w:pPr>
    </w:p>
    <w:p w14:paraId="4C4A601E" w14:textId="77777777" w:rsidR="000F32B6" w:rsidRPr="002A6622" w:rsidRDefault="000F32B6" w:rsidP="000F32B6">
      <w:pPr>
        <w:widowControl w:val="0"/>
        <w:autoSpaceDE w:val="0"/>
        <w:autoSpaceDN w:val="0"/>
        <w:adjustRightInd w:val="0"/>
        <w:spacing w:line="281" w:lineRule="atLeast"/>
        <w:rPr>
          <w:rFonts w:ascii="Helvetica Neue" w:eastAsia="Times New Roman" w:hAnsi="Helvetica Neue"/>
          <w:sz w:val="20"/>
          <w:szCs w:val="20"/>
          <w:lang w:val="en-US"/>
        </w:rPr>
      </w:pPr>
    </w:p>
    <w:p w14:paraId="5C563FDB" w14:textId="10DC99B1" w:rsidR="000F32B6" w:rsidRDefault="00A12200" w:rsidP="000F32B6">
      <w:pPr>
        <w:widowControl w:val="0"/>
        <w:autoSpaceDE w:val="0"/>
        <w:autoSpaceDN w:val="0"/>
        <w:adjustRightInd w:val="0"/>
        <w:spacing w:line="281" w:lineRule="atLeast"/>
        <w:rPr>
          <w:rFonts w:ascii="Helvetica Neue" w:eastAsia="Times New Roman" w:hAnsi="Helvetica Neue"/>
          <w:sz w:val="20"/>
          <w:szCs w:val="20"/>
          <w:lang w:val="en-US"/>
        </w:rPr>
      </w:pPr>
      <w:r>
        <w:rPr>
          <w:rFonts w:ascii="Helvetica Neue" w:eastAsia="Times New Roman" w:hAnsi="Helvetica Neue"/>
          <w:sz w:val="20"/>
          <w:szCs w:val="20"/>
          <w:lang w:val="en-US"/>
        </w:rPr>
        <w:t>References</w:t>
      </w:r>
    </w:p>
    <w:p w14:paraId="7B692C44" w14:textId="77777777" w:rsidR="00A12200" w:rsidRDefault="00A12200" w:rsidP="000F32B6">
      <w:pPr>
        <w:widowControl w:val="0"/>
        <w:autoSpaceDE w:val="0"/>
        <w:autoSpaceDN w:val="0"/>
        <w:adjustRightInd w:val="0"/>
        <w:spacing w:line="281" w:lineRule="atLeast"/>
        <w:rPr>
          <w:rFonts w:ascii="Helvetica Neue" w:eastAsia="Times New Roman" w:hAnsi="Helvetica Neue"/>
          <w:sz w:val="20"/>
          <w:szCs w:val="20"/>
          <w:lang w:val="en-US"/>
        </w:rPr>
      </w:pPr>
    </w:p>
    <w:p w14:paraId="27A10AB1" w14:textId="77777777" w:rsidR="00A12200" w:rsidRPr="00A12200" w:rsidRDefault="00A12200" w:rsidP="00A12200">
      <w:pPr>
        <w:numPr>
          <w:ilvl w:val="0"/>
          <w:numId w:val="2"/>
        </w:numPr>
        <w:jc w:val="both"/>
        <w:rPr>
          <w:rFonts w:ascii="Helvetica Neue" w:eastAsia="Times New Roman" w:hAnsi="Helvetica Neue"/>
          <w:sz w:val="20"/>
          <w:szCs w:val="20"/>
          <w:lang w:val="en-US"/>
        </w:rPr>
      </w:pPr>
      <w:r w:rsidRPr="00A12200">
        <w:rPr>
          <w:rFonts w:ascii="Helvetica Neue" w:eastAsia="Times New Roman" w:hAnsi="Helvetica Neue"/>
          <w:sz w:val="20"/>
          <w:szCs w:val="20"/>
          <w:lang w:val="es-MX"/>
        </w:rPr>
        <w:t xml:space="preserve">Perez-Harguindeguy N, Diaz S, Garnier E, et al. </w:t>
      </w:r>
      <w:r w:rsidRPr="00A12200">
        <w:rPr>
          <w:rFonts w:ascii="Helvetica Neue" w:eastAsia="Times New Roman" w:hAnsi="Helvetica Neue"/>
          <w:sz w:val="20"/>
          <w:szCs w:val="20"/>
          <w:lang w:val="en-US"/>
        </w:rPr>
        <w:t xml:space="preserve">New handbook for </w:t>
      </w:r>
      <w:proofErr w:type="spellStart"/>
      <w:r w:rsidRPr="00A12200">
        <w:rPr>
          <w:rFonts w:ascii="Helvetica Neue" w:eastAsia="Times New Roman" w:hAnsi="Helvetica Neue"/>
          <w:sz w:val="20"/>
          <w:szCs w:val="20"/>
          <w:lang w:val="en-US"/>
        </w:rPr>
        <w:t>standardised</w:t>
      </w:r>
      <w:proofErr w:type="spellEnd"/>
      <w:r w:rsidRPr="00A12200">
        <w:rPr>
          <w:rFonts w:ascii="Helvetica Neue" w:eastAsia="Times New Roman" w:hAnsi="Helvetica Neue"/>
          <w:sz w:val="20"/>
          <w:szCs w:val="20"/>
          <w:lang w:val="en-US"/>
        </w:rPr>
        <w:t xml:space="preserve"> measurement of plant functional traits worldwide. </w:t>
      </w:r>
      <w:proofErr w:type="spellStart"/>
      <w:r w:rsidRPr="00A12200">
        <w:rPr>
          <w:rFonts w:ascii="Helvetica Neue" w:eastAsia="Times New Roman" w:hAnsi="Helvetica Neue"/>
          <w:i/>
          <w:sz w:val="20"/>
          <w:szCs w:val="20"/>
          <w:lang w:val="en-US"/>
        </w:rPr>
        <w:t>Aust</w:t>
      </w:r>
      <w:proofErr w:type="spellEnd"/>
      <w:r w:rsidRPr="00A12200">
        <w:rPr>
          <w:rFonts w:ascii="Helvetica Neue" w:eastAsia="Times New Roman" w:hAnsi="Helvetica Neue"/>
          <w:i/>
          <w:sz w:val="20"/>
          <w:szCs w:val="20"/>
          <w:lang w:val="en-US"/>
        </w:rPr>
        <w:t xml:space="preserve"> J Bot</w:t>
      </w:r>
      <w:r w:rsidRPr="00A12200">
        <w:rPr>
          <w:rFonts w:ascii="Helvetica Neue" w:eastAsia="Times New Roman" w:hAnsi="Helvetica Neue"/>
          <w:sz w:val="20"/>
          <w:szCs w:val="20"/>
          <w:lang w:val="en-US"/>
        </w:rPr>
        <w:t>. 61, 167-234 (2013).</w:t>
      </w:r>
    </w:p>
    <w:p w14:paraId="6823F866" w14:textId="77777777" w:rsidR="00A12200" w:rsidRPr="00A12200" w:rsidRDefault="00A12200" w:rsidP="00A12200">
      <w:pPr>
        <w:numPr>
          <w:ilvl w:val="0"/>
          <w:numId w:val="2"/>
        </w:numPr>
        <w:jc w:val="both"/>
        <w:rPr>
          <w:rFonts w:ascii="Helvetica Neue" w:eastAsia="Times New Roman" w:hAnsi="Helvetica Neue"/>
          <w:color w:val="212121"/>
          <w:sz w:val="20"/>
          <w:szCs w:val="20"/>
          <w:lang w:val="en-US"/>
        </w:rPr>
      </w:pPr>
      <w:r w:rsidRPr="00A12200">
        <w:rPr>
          <w:rFonts w:ascii="Helvetica Neue" w:eastAsia="Times New Roman" w:hAnsi="Helvetica Neue"/>
          <w:sz w:val="20"/>
          <w:szCs w:val="20"/>
          <w:lang w:val="en-US"/>
        </w:rPr>
        <w:t>Cooper JD. Soil water measurement: A practical Handbook. 336-352 (2016).</w:t>
      </w:r>
    </w:p>
    <w:p w14:paraId="46FD4190" w14:textId="77777777" w:rsidR="00A12200" w:rsidRPr="00A12200" w:rsidRDefault="00A12200" w:rsidP="00A12200">
      <w:pPr>
        <w:numPr>
          <w:ilvl w:val="0"/>
          <w:numId w:val="2"/>
        </w:numPr>
        <w:jc w:val="both"/>
        <w:rPr>
          <w:rFonts w:ascii="Helvetica Neue" w:eastAsia="Times New Roman" w:hAnsi="Helvetica Neue"/>
          <w:color w:val="212121"/>
          <w:sz w:val="20"/>
          <w:szCs w:val="20"/>
          <w:lang w:val="en-US"/>
        </w:rPr>
      </w:pPr>
      <w:r w:rsidRPr="00A12200">
        <w:rPr>
          <w:rFonts w:ascii="Helvetica Neue" w:eastAsia="Times New Roman" w:hAnsi="Helvetica Neue"/>
          <w:sz w:val="20"/>
          <w:szCs w:val="20"/>
          <w:lang w:val="en-US"/>
        </w:rPr>
        <w:t xml:space="preserve">Hawkins HJ, </w:t>
      </w:r>
      <w:proofErr w:type="spellStart"/>
      <w:r w:rsidRPr="00A12200">
        <w:rPr>
          <w:rFonts w:ascii="Helvetica Neue" w:eastAsia="Times New Roman" w:hAnsi="Helvetica Neue"/>
          <w:sz w:val="20"/>
          <w:szCs w:val="20"/>
          <w:lang w:val="en-US"/>
        </w:rPr>
        <w:t>Hettasch</w:t>
      </w:r>
      <w:proofErr w:type="spellEnd"/>
      <w:r w:rsidRPr="00A12200">
        <w:rPr>
          <w:rFonts w:ascii="Helvetica Neue" w:eastAsia="Times New Roman" w:hAnsi="Helvetica Neue"/>
          <w:sz w:val="20"/>
          <w:szCs w:val="20"/>
          <w:lang w:val="en-US"/>
        </w:rPr>
        <w:t xml:space="preserve"> H, West AG, Cramer MD. Hydraulic redistribution by </w:t>
      </w:r>
      <w:proofErr w:type="spellStart"/>
      <w:r w:rsidRPr="00A12200">
        <w:rPr>
          <w:rFonts w:ascii="Helvetica Neue" w:eastAsia="Times New Roman" w:hAnsi="Helvetica Neue"/>
          <w:sz w:val="20"/>
          <w:szCs w:val="20"/>
          <w:lang w:val="en-US"/>
        </w:rPr>
        <w:t>Protea</w:t>
      </w:r>
      <w:proofErr w:type="spellEnd"/>
      <w:r w:rsidRPr="00A12200">
        <w:rPr>
          <w:rFonts w:ascii="Helvetica Neue" w:eastAsia="Times New Roman" w:hAnsi="Helvetica Neue"/>
          <w:sz w:val="20"/>
          <w:szCs w:val="20"/>
          <w:lang w:val="en-US"/>
        </w:rPr>
        <w:t xml:space="preserve"> “Sylvia” (</w:t>
      </w:r>
      <w:proofErr w:type="spellStart"/>
      <w:r w:rsidRPr="00A12200">
        <w:rPr>
          <w:rFonts w:ascii="Helvetica Neue" w:eastAsia="Times New Roman" w:hAnsi="Helvetica Neue"/>
          <w:sz w:val="20"/>
          <w:szCs w:val="20"/>
          <w:lang w:val="en-US"/>
        </w:rPr>
        <w:t>Proteacae</w:t>
      </w:r>
      <w:proofErr w:type="spellEnd"/>
      <w:r w:rsidRPr="00A12200">
        <w:rPr>
          <w:rFonts w:ascii="Helvetica Neue" w:eastAsia="Times New Roman" w:hAnsi="Helvetica Neue"/>
          <w:sz w:val="20"/>
          <w:szCs w:val="20"/>
          <w:lang w:val="en-US"/>
        </w:rPr>
        <w:t xml:space="preserve">) facilitates soil water replenishment and water acquisition by an </w:t>
      </w:r>
      <w:proofErr w:type="spellStart"/>
      <w:r w:rsidRPr="00A12200">
        <w:rPr>
          <w:rFonts w:ascii="Helvetica Neue" w:eastAsia="Times New Roman" w:hAnsi="Helvetica Neue"/>
          <w:sz w:val="20"/>
          <w:szCs w:val="20"/>
          <w:lang w:val="en-US"/>
        </w:rPr>
        <w:t>understorey</w:t>
      </w:r>
      <w:proofErr w:type="spellEnd"/>
      <w:r w:rsidRPr="00A12200">
        <w:rPr>
          <w:rFonts w:ascii="Helvetica Neue" w:eastAsia="Times New Roman" w:hAnsi="Helvetica Neue"/>
          <w:sz w:val="20"/>
          <w:szCs w:val="20"/>
          <w:lang w:val="en-US"/>
        </w:rPr>
        <w:t xml:space="preserve"> grass and shrub. </w:t>
      </w:r>
      <w:proofErr w:type="spellStart"/>
      <w:r w:rsidRPr="00A12200">
        <w:rPr>
          <w:rFonts w:ascii="Helvetica Neue" w:eastAsia="Times New Roman" w:hAnsi="Helvetica Neue"/>
          <w:i/>
          <w:sz w:val="20"/>
          <w:szCs w:val="20"/>
          <w:lang w:val="en-US"/>
        </w:rPr>
        <w:t>Funct</w:t>
      </w:r>
      <w:proofErr w:type="spellEnd"/>
      <w:r w:rsidRPr="00A12200">
        <w:rPr>
          <w:rFonts w:ascii="Helvetica Neue" w:eastAsia="Times New Roman" w:hAnsi="Helvetica Neue"/>
          <w:i/>
          <w:sz w:val="20"/>
          <w:szCs w:val="20"/>
          <w:lang w:val="en-US"/>
        </w:rPr>
        <w:t xml:space="preserve"> Plant Biol</w:t>
      </w:r>
      <w:r w:rsidRPr="00A12200">
        <w:rPr>
          <w:rFonts w:ascii="Helvetica Neue" w:eastAsia="Times New Roman" w:hAnsi="Helvetica Neue"/>
          <w:sz w:val="20"/>
          <w:szCs w:val="20"/>
          <w:lang w:val="en-US"/>
        </w:rPr>
        <w:t>. 36(8), 752-760 (2009).</w:t>
      </w:r>
    </w:p>
    <w:p w14:paraId="7CC9095A" w14:textId="77777777" w:rsidR="00A12200" w:rsidRPr="00A12200" w:rsidRDefault="00A12200" w:rsidP="00A12200">
      <w:pPr>
        <w:numPr>
          <w:ilvl w:val="0"/>
          <w:numId w:val="2"/>
        </w:numPr>
        <w:jc w:val="both"/>
        <w:rPr>
          <w:rFonts w:ascii="Helvetica Neue" w:eastAsia="Times New Roman" w:hAnsi="Helvetica Neue"/>
          <w:color w:val="212121"/>
          <w:sz w:val="20"/>
          <w:szCs w:val="20"/>
          <w:lang w:val="en-US"/>
        </w:rPr>
      </w:pPr>
      <w:r w:rsidRPr="00A12200">
        <w:rPr>
          <w:rFonts w:ascii="Helvetica Neue" w:eastAsia="Times New Roman" w:hAnsi="Helvetica Neue"/>
          <w:color w:val="212121"/>
          <w:sz w:val="20"/>
          <w:szCs w:val="20"/>
          <w:lang w:val="en-US"/>
        </w:rPr>
        <w:t xml:space="preserve">Lind KR, Lee N, </w:t>
      </w:r>
      <w:proofErr w:type="spellStart"/>
      <w:r w:rsidRPr="00A12200">
        <w:rPr>
          <w:rFonts w:ascii="Helvetica Neue" w:eastAsia="Times New Roman" w:hAnsi="Helvetica Neue"/>
          <w:color w:val="212121"/>
          <w:sz w:val="20"/>
          <w:szCs w:val="20"/>
          <w:lang w:val="en-US"/>
        </w:rPr>
        <w:t>Sizmur</w:t>
      </w:r>
      <w:proofErr w:type="spellEnd"/>
      <w:r w:rsidRPr="00A12200">
        <w:rPr>
          <w:rFonts w:ascii="Helvetica Neue" w:eastAsia="Times New Roman" w:hAnsi="Helvetica Neue"/>
          <w:color w:val="212121"/>
          <w:sz w:val="20"/>
          <w:szCs w:val="20"/>
          <w:lang w:val="en-US"/>
        </w:rPr>
        <w:t xml:space="preserve"> T, </w:t>
      </w:r>
      <w:proofErr w:type="spellStart"/>
      <w:r w:rsidRPr="00A12200">
        <w:rPr>
          <w:rFonts w:ascii="Helvetica Neue" w:eastAsia="Times New Roman" w:hAnsi="Helvetica Neue"/>
          <w:color w:val="212121"/>
          <w:sz w:val="20"/>
          <w:szCs w:val="20"/>
          <w:lang w:val="en-US"/>
        </w:rPr>
        <w:t>Siemianowski</w:t>
      </w:r>
      <w:proofErr w:type="spellEnd"/>
      <w:r w:rsidRPr="00A12200">
        <w:rPr>
          <w:rFonts w:ascii="Helvetica Neue" w:eastAsia="Times New Roman" w:hAnsi="Helvetica Neue"/>
          <w:color w:val="212121"/>
          <w:sz w:val="20"/>
          <w:szCs w:val="20"/>
          <w:lang w:val="en-US"/>
        </w:rPr>
        <w:t xml:space="preserve"> O, Van </w:t>
      </w:r>
      <w:proofErr w:type="spellStart"/>
      <w:r w:rsidRPr="00A12200">
        <w:rPr>
          <w:rFonts w:ascii="Helvetica Neue" w:eastAsia="Times New Roman" w:hAnsi="Helvetica Neue"/>
          <w:color w:val="212121"/>
          <w:sz w:val="20"/>
          <w:szCs w:val="20"/>
          <w:lang w:val="en-US"/>
        </w:rPr>
        <w:t>Bruggen</w:t>
      </w:r>
      <w:proofErr w:type="spellEnd"/>
      <w:r w:rsidRPr="00A12200">
        <w:rPr>
          <w:rFonts w:ascii="Helvetica Neue" w:eastAsia="Times New Roman" w:hAnsi="Helvetica Neue"/>
          <w:color w:val="212121"/>
          <w:sz w:val="20"/>
          <w:szCs w:val="20"/>
          <w:lang w:val="en-US"/>
        </w:rPr>
        <w:t xml:space="preserve"> S, </w:t>
      </w:r>
      <w:proofErr w:type="spellStart"/>
      <w:r w:rsidRPr="00A12200">
        <w:rPr>
          <w:rFonts w:ascii="Helvetica Neue" w:eastAsia="Times New Roman" w:hAnsi="Helvetica Neue"/>
          <w:color w:val="212121"/>
          <w:sz w:val="20"/>
          <w:szCs w:val="20"/>
          <w:lang w:val="en-US"/>
        </w:rPr>
        <w:t>Ganapathysubramaniam</w:t>
      </w:r>
      <w:proofErr w:type="spellEnd"/>
      <w:r w:rsidRPr="00A12200">
        <w:rPr>
          <w:rFonts w:ascii="Helvetica Neue" w:eastAsia="Times New Roman" w:hAnsi="Helvetica Neue"/>
          <w:color w:val="212121"/>
          <w:sz w:val="20"/>
          <w:szCs w:val="20"/>
          <w:lang w:val="en-US"/>
        </w:rPr>
        <w:t xml:space="preserve"> B, </w:t>
      </w:r>
      <w:proofErr w:type="spellStart"/>
      <w:r w:rsidRPr="00A12200">
        <w:rPr>
          <w:rFonts w:ascii="Helvetica Neue" w:eastAsia="Times New Roman" w:hAnsi="Helvetica Neue"/>
          <w:color w:val="212121"/>
          <w:sz w:val="20"/>
          <w:szCs w:val="20"/>
          <w:lang w:val="en-US"/>
        </w:rPr>
        <w:t>Cademartiri</w:t>
      </w:r>
      <w:proofErr w:type="spellEnd"/>
      <w:r w:rsidRPr="00A12200">
        <w:rPr>
          <w:rFonts w:ascii="Helvetica Neue" w:eastAsia="Times New Roman" w:hAnsi="Helvetica Neue"/>
          <w:color w:val="212121"/>
          <w:sz w:val="20"/>
          <w:szCs w:val="20"/>
          <w:lang w:val="en-US"/>
        </w:rPr>
        <w:t xml:space="preserve"> L. Plant Growth Environments with Programmable Relative Humidity and Homogeneous Nutrient Availability. </w:t>
      </w:r>
      <w:proofErr w:type="spellStart"/>
      <w:r w:rsidRPr="00A12200">
        <w:rPr>
          <w:rFonts w:ascii="Helvetica Neue" w:eastAsia="Times New Roman" w:hAnsi="Helvetica Neue"/>
          <w:i/>
          <w:color w:val="212121"/>
          <w:sz w:val="20"/>
          <w:szCs w:val="20"/>
          <w:lang w:val="en-US"/>
        </w:rPr>
        <w:t>PLoS</w:t>
      </w:r>
      <w:proofErr w:type="spellEnd"/>
      <w:r w:rsidRPr="00A12200">
        <w:rPr>
          <w:rFonts w:ascii="Helvetica Neue" w:eastAsia="Times New Roman" w:hAnsi="Helvetica Neue"/>
          <w:i/>
          <w:color w:val="212121"/>
          <w:sz w:val="20"/>
          <w:szCs w:val="20"/>
          <w:lang w:val="en-US"/>
        </w:rPr>
        <w:t xml:space="preserve"> One</w:t>
      </w:r>
      <w:r w:rsidRPr="00A12200">
        <w:rPr>
          <w:rFonts w:ascii="Helvetica Neue" w:eastAsia="Times New Roman" w:hAnsi="Helvetica Neue"/>
          <w:color w:val="212121"/>
          <w:sz w:val="20"/>
          <w:szCs w:val="20"/>
          <w:lang w:val="en-US"/>
        </w:rPr>
        <w:t xml:space="preserve">. 11(6), e0155960 (2016). </w:t>
      </w:r>
    </w:p>
    <w:p w14:paraId="4778ABF2" w14:textId="77777777" w:rsidR="00A12200" w:rsidRPr="00A12200" w:rsidRDefault="00A12200" w:rsidP="00A12200">
      <w:pPr>
        <w:numPr>
          <w:ilvl w:val="0"/>
          <w:numId w:val="2"/>
        </w:numPr>
        <w:jc w:val="both"/>
        <w:rPr>
          <w:rFonts w:ascii="Helvetica Neue" w:eastAsia="Times New Roman" w:hAnsi="Helvetica Neue"/>
          <w:sz w:val="20"/>
          <w:szCs w:val="20"/>
          <w:lang w:val="en-US"/>
        </w:rPr>
      </w:pPr>
      <w:proofErr w:type="spellStart"/>
      <w:r w:rsidRPr="00A12200">
        <w:rPr>
          <w:rFonts w:ascii="Helvetica Neue" w:eastAsia="Times New Roman" w:hAnsi="Helvetica Neue"/>
          <w:sz w:val="20"/>
          <w:szCs w:val="20"/>
          <w:lang w:val="en-US"/>
        </w:rPr>
        <w:lastRenderedPageBreak/>
        <w:t>Tricker</w:t>
      </w:r>
      <w:proofErr w:type="spellEnd"/>
      <w:r w:rsidRPr="00A12200">
        <w:rPr>
          <w:rFonts w:ascii="Helvetica Neue" w:eastAsia="Times New Roman" w:hAnsi="Helvetica Neue"/>
          <w:sz w:val="20"/>
          <w:szCs w:val="20"/>
          <w:lang w:val="en-US"/>
        </w:rPr>
        <w:t xml:space="preserve"> PJ, </w:t>
      </w:r>
      <w:proofErr w:type="spellStart"/>
      <w:r w:rsidRPr="00A12200">
        <w:rPr>
          <w:rFonts w:ascii="Helvetica Neue" w:eastAsia="Times New Roman" w:hAnsi="Helvetica Neue"/>
          <w:sz w:val="20"/>
          <w:szCs w:val="20"/>
          <w:lang w:val="en-US"/>
        </w:rPr>
        <w:t>Gibbings</w:t>
      </w:r>
      <w:proofErr w:type="spellEnd"/>
      <w:r w:rsidRPr="00A12200">
        <w:rPr>
          <w:rFonts w:ascii="Helvetica Neue" w:eastAsia="Times New Roman" w:hAnsi="Helvetica Neue"/>
          <w:sz w:val="20"/>
          <w:szCs w:val="20"/>
          <w:lang w:val="en-US"/>
        </w:rPr>
        <w:t xml:space="preserve"> JG, Rodríguez López CM, Hadley P, Wilkinson MJ. Low relative humidity triggers RNA-directed de novo DNA methylation and suppression of genes controlling stomatal development. </w:t>
      </w:r>
      <w:r w:rsidRPr="00A12200">
        <w:rPr>
          <w:rFonts w:ascii="Helvetica Neue" w:eastAsia="Times New Roman" w:hAnsi="Helvetica Neue"/>
          <w:i/>
          <w:sz w:val="20"/>
          <w:szCs w:val="20"/>
          <w:lang w:val="en-US"/>
        </w:rPr>
        <w:t xml:space="preserve">J </w:t>
      </w:r>
      <w:proofErr w:type="spellStart"/>
      <w:r w:rsidRPr="00A12200">
        <w:rPr>
          <w:rFonts w:ascii="Helvetica Neue" w:eastAsia="Times New Roman" w:hAnsi="Helvetica Neue"/>
          <w:i/>
          <w:sz w:val="20"/>
          <w:szCs w:val="20"/>
          <w:lang w:val="en-US"/>
        </w:rPr>
        <w:t>Exp</w:t>
      </w:r>
      <w:proofErr w:type="spellEnd"/>
      <w:r w:rsidRPr="00A12200">
        <w:rPr>
          <w:rFonts w:ascii="Helvetica Neue" w:eastAsia="Times New Roman" w:hAnsi="Helvetica Neue"/>
          <w:i/>
          <w:sz w:val="20"/>
          <w:szCs w:val="20"/>
          <w:lang w:val="en-US"/>
        </w:rPr>
        <w:t xml:space="preserve"> Bot</w:t>
      </w:r>
      <w:r w:rsidRPr="00A12200">
        <w:rPr>
          <w:rFonts w:ascii="Helvetica Neue" w:eastAsia="Times New Roman" w:hAnsi="Helvetica Neue"/>
          <w:sz w:val="20"/>
          <w:szCs w:val="20"/>
          <w:lang w:val="en-US"/>
        </w:rPr>
        <w:t>. 63(10), 3799-813 (2012).</w:t>
      </w:r>
    </w:p>
    <w:p w14:paraId="252ED636" w14:textId="77777777" w:rsidR="00A12200" w:rsidRPr="00A12200" w:rsidRDefault="00A12200" w:rsidP="00A12200">
      <w:pPr>
        <w:widowControl w:val="0"/>
        <w:autoSpaceDE w:val="0"/>
        <w:autoSpaceDN w:val="0"/>
        <w:adjustRightInd w:val="0"/>
        <w:spacing w:line="281" w:lineRule="atLeast"/>
        <w:jc w:val="both"/>
        <w:rPr>
          <w:rFonts w:ascii="Helvetica Neue" w:eastAsia="Times New Roman" w:hAnsi="Helvetica Neue"/>
          <w:sz w:val="20"/>
          <w:szCs w:val="20"/>
          <w:lang w:val="en-US"/>
        </w:rPr>
      </w:pPr>
    </w:p>
    <w:p w14:paraId="73DC900B" w14:textId="77777777" w:rsidR="0049705C" w:rsidRDefault="0049705C" w:rsidP="00A12200">
      <w:pPr>
        <w:jc w:val="both"/>
      </w:pPr>
    </w:p>
    <w:bookmarkEnd w:id="0"/>
    <w:sectPr w:rsidR="0049705C" w:rsidSect="00792032">
      <w:pgSz w:w="12240" w:h="15840"/>
      <w:pgMar w:top="1411" w:right="1699" w:bottom="1411"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FS Brabo">
    <w:altName w:val="Times New Roman"/>
    <w:panose1 w:val="00000000000000000000"/>
    <w:charset w:val="00"/>
    <w:family w:val="roman"/>
    <w:notTrueType/>
    <w:pitch w:val="variable"/>
    <w:sig w:usb0="A0000067" w:usb1="4000207F" w:usb2="00000000" w:usb3="00000000" w:csb0="00000093" w:csb1="00000000"/>
  </w:font>
  <w:font w:name="Times">
    <w:panose1 w:val="00000500000000020000"/>
    <w:charset w:val="00"/>
    <w:family w:val="auto"/>
    <w:pitch w:val="variable"/>
    <w:sig w:usb0="00000003" w:usb1="00000000" w:usb2="00000000" w:usb3="00000000" w:csb0="00000001" w:csb1="00000000"/>
  </w:font>
  <w:font w:name="HelveticaNeueLT Std Lt">
    <w:altName w:val="Cambria"/>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0711F"/>
    <w:multiLevelType w:val="hybridMultilevel"/>
    <w:tmpl w:val="450AF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3265C2"/>
    <w:multiLevelType w:val="multilevel"/>
    <w:tmpl w:val="19A88396"/>
    <w:lvl w:ilvl="0">
      <w:start w:val="1"/>
      <w:numFmt w:val="decimal"/>
      <w:lvlText w:val="%1"/>
      <w:lvlJc w:val="left"/>
      <w:pPr>
        <w:tabs>
          <w:tab w:val="num" w:pos="0"/>
        </w:tabs>
        <w:ind w:left="720" w:hanging="360"/>
      </w:pPr>
      <w:rPr>
        <w:rFonts w:ascii="Helvetica Neue" w:eastAsia="Calibri" w:hAnsi="Helvetica Neue" w:cs="Times New Roman" w:hint="default"/>
        <w:b w:val="0"/>
        <w:i w:val="0"/>
        <w:color w:val="auto"/>
        <w:sz w:val="20"/>
        <w:szCs w:val="20"/>
      </w:rPr>
    </w:lvl>
    <w:lvl w:ilvl="1">
      <w:start w:val="1"/>
      <w:numFmt w:val="decimal"/>
      <w:lvlText w:val="%1.%2"/>
      <w:lvlJc w:val="left"/>
      <w:pPr>
        <w:tabs>
          <w:tab w:val="num" w:pos="0"/>
        </w:tabs>
        <w:ind w:left="1260" w:hanging="540"/>
      </w:pPr>
      <w:rPr>
        <w:rFonts w:eastAsia="Calibri"/>
      </w:rPr>
    </w:lvl>
    <w:lvl w:ilvl="2">
      <w:start w:val="1"/>
      <w:numFmt w:val="decimal"/>
      <w:lvlText w:val="%1.%2.%3"/>
      <w:lvlJc w:val="left"/>
      <w:pPr>
        <w:tabs>
          <w:tab w:val="num" w:pos="0"/>
        </w:tabs>
        <w:ind w:left="1800" w:hanging="720"/>
      </w:pPr>
      <w:rPr>
        <w:rFonts w:eastAsia="Calibri"/>
      </w:rPr>
    </w:lvl>
    <w:lvl w:ilvl="3">
      <w:start w:val="1"/>
      <w:numFmt w:val="decimal"/>
      <w:lvlText w:val="%1.%2.%3.%4"/>
      <w:lvlJc w:val="left"/>
      <w:pPr>
        <w:tabs>
          <w:tab w:val="num" w:pos="0"/>
        </w:tabs>
        <w:ind w:left="2160" w:hanging="720"/>
      </w:pPr>
      <w:rPr>
        <w:rFonts w:eastAsia="Calibri"/>
      </w:rPr>
    </w:lvl>
    <w:lvl w:ilvl="4">
      <w:start w:val="1"/>
      <w:numFmt w:val="decimal"/>
      <w:lvlText w:val="%1.%2.%3.%4.%5"/>
      <w:lvlJc w:val="left"/>
      <w:pPr>
        <w:tabs>
          <w:tab w:val="num" w:pos="0"/>
        </w:tabs>
        <w:ind w:left="2880" w:hanging="1080"/>
      </w:pPr>
      <w:rPr>
        <w:rFonts w:eastAsia="Calibri"/>
      </w:rPr>
    </w:lvl>
    <w:lvl w:ilvl="5">
      <w:start w:val="1"/>
      <w:numFmt w:val="decimal"/>
      <w:lvlText w:val="%1.%2.%3.%4.%5.%6"/>
      <w:lvlJc w:val="left"/>
      <w:pPr>
        <w:tabs>
          <w:tab w:val="num" w:pos="0"/>
        </w:tabs>
        <w:ind w:left="3240" w:hanging="1080"/>
      </w:pPr>
      <w:rPr>
        <w:rFonts w:eastAsia="Calibri"/>
      </w:rPr>
    </w:lvl>
    <w:lvl w:ilvl="6">
      <w:start w:val="1"/>
      <w:numFmt w:val="decimal"/>
      <w:lvlText w:val="%1.%2.%3.%4.%5.%6.%7"/>
      <w:lvlJc w:val="left"/>
      <w:pPr>
        <w:tabs>
          <w:tab w:val="num" w:pos="0"/>
        </w:tabs>
        <w:ind w:left="3960" w:hanging="1440"/>
      </w:pPr>
      <w:rPr>
        <w:rFonts w:eastAsia="Calibri"/>
      </w:rPr>
    </w:lvl>
    <w:lvl w:ilvl="7">
      <w:start w:val="1"/>
      <w:numFmt w:val="decimal"/>
      <w:lvlText w:val="%1.%2.%3.%4.%5.%6.%7.%8"/>
      <w:lvlJc w:val="left"/>
      <w:pPr>
        <w:tabs>
          <w:tab w:val="num" w:pos="0"/>
        </w:tabs>
        <w:ind w:left="4320" w:hanging="1440"/>
      </w:pPr>
      <w:rPr>
        <w:rFonts w:eastAsia="Calibri"/>
      </w:rPr>
    </w:lvl>
    <w:lvl w:ilvl="8">
      <w:start w:val="1"/>
      <w:numFmt w:val="decimal"/>
      <w:lvlText w:val="%1.%2.%3.%4.%5.%6.%7.%8.%9"/>
      <w:lvlJc w:val="left"/>
      <w:pPr>
        <w:tabs>
          <w:tab w:val="num" w:pos="0"/>
        </w:tabs>
        <w:ind w:left="5040" w:hanging="1800"/>
      </w:pPr>
      <w:rPr>
        <w:rFonts w:eastAsia="Calibr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B6"/>
    <w:rsid w:val="000035FF"/>
    <w:rsid w:val="000F32B6"/>
    <w:rsid w:val="00431193"/>
    <w:rsid w:val="0049705C"/>
    <w:rsid w:val="005E4F8D"/>
    <w:rsid w:val="00792032"/>
    <w:rsid w:val="00A12200"/>
    <w:rsid w:val="00A35438"/>
    <w:rsid w:val="00A8522C"/>
    <w:rsid w:val="00C851BC"/>
    <w:rsid w:val="00DE7900"/>
    <w:rsid w:val="00EB3A9C"/>
    <w:rsid w:val="00EB631C"/>
    <w:rsid w:val="00F738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53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IntechOpen">
    <w:name w:val="Body Text IntechOpen"/>
    <w:link w:val="BodyTextIntechOpenChar"/>
    <w:qFormat/>
    <w:rsid w:val="000F32B6"/>
    <w:pPr>
      <w:ind w:firstLine="284"/>
    </w:pPr>
    <w:rPr>
      <w:rFonts w:ascii="FS Brabo" w:eastAsia="Calibri" w:hAnsi="FS Brabo" w:cs="Times New Roman"/>
      <w:sz w:val="20"/>
      <w:szCs w:val="22"/>
      <w:lang w:val="en-US" w:eastAsia="en-US"/>
    </w:rPr>
  </w:style>
  <w:style w:type="character" w:customStyle="1" w:styleId="BodyTextIntechOpenChar">
    <w:name w:val="Body Text IntechOpen Char"/>
    <w:link w:val="BodyTextIntechOpen"/>
    <w:rsid w:val="000F32B6"/>
    <w:rPr>
      <w:rFonts w:ascii="FS Brabo" w:eastAsia="Calibri" w:hAnsi="FS Brabo" w:cs="Times New Roman"/>
      <w:sz w:val="20"/>
      <w:szCs w:val="22"/>
      <w:lang w:val="en-US" w:eastAsia="en-US"/>
    </w:rPr>
  </w:style>
  <w:style w:type="paragraph" w:styleId="Prrafodelista">
    <w:name w:val="List Paragraph"/>
    <w:basedOn w:val="Normal"/>
    <w:uiPriority w:val="34"/>
    <w:qFormat/>
    <w:rsid w:val="000F32B6"/>
    <w:pPr>
      <w:ind w:left="720"/>
      <w:contextualSpacing/>
    </w:pPr>
    <w:rPr>
      <w:rFonts w:ascii="Times New Roman" w:eastAsia="Calibri" w:hAnsi="Times New Roman" w:cs="Times New Roman"/>
      <w:lang w:eastAsia="es-ES_tradnl"/>
    </w:rPr>
  </w:style>
  <w:style w:type="paragraph" w:styleId="Textodeglobo">
    <w:name w:val="Balloon Text"/>
    <w:basedOn w:val="Normal"/>
    <w:link w:val="TextodegloboCar"/>
    <w:uiPriority w:val="99"/>
    <w:semiHidden/>
    <w:unhideWhenUsed/>
    <w:rsid w:val="00DE790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E79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2070</Characters>
  <Application>Microsoft Macintosh Word</Application>
  <DocSecurity>0</DocSecurity>
  <Lines>17</Lines>
  <Paragraphs>4</Paragraphs>
  <ScaleCrop>false</ScaleCrop>
  <Company>UNAM</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Cassab</dc:creator>
  <cp:keywords/>
  <dc:description/>
  <cp:lastModifiedBy>Usuario de Microsoft Office</cp:lastModifiedBy>
  <cp:revision>2</cp:revision>
  <dcterms:created xsi:type="dcterms:W3CDTF">2021-08-16T16:44:00Z</dcterms:created>
  <dcterms:modified xsi:type="dcterms:W3CDTF">2021-08-16T16:44:00Z</dcterms:modified>
</cp:coreProperties>
</file>