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9F2A" w14:textId="77777777" w:rsidR="00916108" w:rsidRDefault="00916108" w:rsidP="00916108">
      <w:pPr>
        <w:spacing w:line="240" w:lineRule="auto"/>
        <w:rPr>
          <w:rFonts w:ascii="Arial" w:hAnsi="Arial" w:cs="Arial"/>
          <w:sz w:val="20"/>
        </w:rPr>
      </w:pPr>
      <w:r w:rsidRPr="00786866">
        <w:rPr>
          <w:rFonts w:ascii="Arial" w:hAnsi="Arial" w:cs="Arial"/>
          <w:b/>
          <w:sz w:val="20"/>
          <w:szCs w:val="20"/>
        </w:rPr>
        <w:t>Supplementary</w:t>
      </w:r>
      <w:r>
        <w:rPr>
          <w:rFonts w:ascii="Arial" w:hAnsi="Arial" w:cs="Arial"/>
          <w:sz w:val="20"/>
          <w:szCs w:val="20"/>
        </w:rPr>
        <w:t xml:space="preserve"> </w:t>
      </w:r>
      <w:r w:rsidRPr="002A3046">
        <w:rPr>
          <w:rFonts w:ascii="Arial" w:hAnsi="Arial" w:cs="Arial"/>
          <w:b/>
          <w:sz w:val="20"/>
          <w:szCs w:val="20"/>
        </w:rPr>
        <w:t>t</w:t>
      </w:r>
      <w:r w:rsidRPr="001862C7">
        <w:rPr>
          <w:rFonts w:ascii="Arial" w:hAnsi="Arial" w:cs="Arial"/>
          <w:b/>
          <w:sz w:val="20"/>
        </w:rPr>
        <w:t>able</w:t>
      </w:r>
      <w:r w:rsidRPr="00A6562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1.</w:t>
      </w:r>
      <w:r w:rsidRPr="004E646B">
        <w:rPr>
          <w:rFonts w:ascii="Arial" w:hAnsi="Arial" w:cs="Arial"/>
          <w:b/>
          <w:sz w:val="20"/>
        </w:rPr>
        <w:t xml:space="preserve"> Empty </w:t>
      </w:r>
      <w:r>
        <w:rPr>
          <w:rFonts w:ascii="Arial" w:hAnsi="Arial" w:cs="Arial"/>
          <w:b/>
          <w:sz w:val="20"/>
        </w:rPr>
        <w:t>SEP and DEP</w:t>
      </w:r>
      <w:r w:rsidRPr="004E646B">
        <w:rPr>
          <w:rFonts w:ascii="Arial" w:hAnsi="Arial" w:cs="Arial"/>
          <w:b/>
          <w:sz w:val="20"/>
        </w:rPr>
        <w:t xml:space="preserve"> do not induce relevant immune activation. </w:t>
      </w:r>
      <w:r w:rsidRPr="004E646B">
        <w:rPr>
          <w:rFonts w:ascii="Arial" w:hAnsi="Arial" w:cs="Arial"/>
          <w:sz w:val="20"/>
        </w:rPr>
        <w:t xml:space="preserve">MFI of the activation marker CD25, CD80 expression by monocytes, and cytokine levels in the culture supernatant following incubation of PBMCs with control </w:t>
      </w:r>
      <w:r>
        <w:rPr>
          <w:rFonts w:ascii="Arial" w:hAnsi="Arial" w:cs="Arial"/>
          <w:sz w:val="20"/>
        </w:rPr>
        <w:t>DEP</w:t>
      </w:r>
      <w:r w:rsidRPr="004E646B">
        <w:rPr>
          <w:rFonts w:ascii="Arial" w:hAnsi="Arial" w:cs="Arial"/>
          <w:sz w:val="20"/>
        </w:rPr>
        <w:t xml:space="preserve"> and control </w:t>
      </w:r>
      <w:r>
        <w:rPr>
          <w:rFonts w:ascii="Arial" w:hAnsi="Arial" w:cs="Arial"/>
          <w:sz w:val="20"/>
        </w:rPr>
        <w:t>SEP</w:t>
      </w:r>
      <w:r w:rsidRPr="004E646B">
        <w:rPr>
          <w:rFonts w:ascii="Arial" w:hAnsi="Arial" w:cs="Arial"/>
          <w:sz w:val="20"/>
        </w:rPr>
        <w:t>. Concentrations are equivalent to the lowest and highest tested concentrations of the R848-loaded NPs, respectively. Mean ± SD of at least three independent experiments; *</w:t>
      </w:r>
      <w:r>
        <w:rPr>
          <w:rFonts w:ascii="Arial" w:hAnsi="Arial" w:cs="Arial"/>
          <w:sz w:val="20"/>
        </w:rPr>
        <w:t>all replicates</w:t>
      </w:r>
      <w:r w:rsidRPr="004E646B">
        <w:rPr>
          <w:rFonts w:ascii="Arial" w:hAnsi="Arial" w:cs="Arial"/>
          <w:sz w:val="20"/>
        </w:rPr>
        <w:t xml:space="preserve"> below lower limit of quantitation, as determined by Legendplex Software</w:t>
      </w:r>
    </w:p>
    <w:tbl>
      <w:tblPr>
        <w:tblW w:w="87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7"/>
        <w:gridCol w:w="957"/>
        <w:gridCol w:w="1552"/>
        <w:gridCol w:w="1553"/>
        <w:gridCol w:w="315"/>
        <w:gridCol w:w="1534"/>
        <w:gridCol w:w="1553"/>
      </w:tblGrid>
      <w:tr w:rsidR="00916108" w:rsidRPr="008232CA" w14:paraId="32DB1DAA" w14:textId="77777777" w:rsidTr="00EB5FC6">
        <w:trPr>
          <w:trHeight w:val="117"/>
        </w:trPr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7055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3E65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78EDD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de-DE"/>
              </w:rPr>
              <w:t xml:space="preserve">control PLGA-DEP </w:t>
            </w:r>
          </w:p>
        </w:tc>
        <w:tc>
          <w:tcPr>
            <w:tcW w:w="3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07B2B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1F403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de-DE"/>
              </w:rPr>
              <w:t>control PLGA-SEP</w:t>
            </w:r>
          </w:p>
        </w:tc>
      </w:tr>
      <w:tr w:rsidR="00916108" w:rsidRPr="008232CA" w14:paraId="1107D6C8" w14:textId="77777777" w:rsidTr="00EB5FC6">
        <w:trPr>
          <w:trHeight w:val="12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DBEE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25E77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EE94D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  <w:r w:rsidRPr="00335343">
              <w:rPr>
                <w:rFonts w:ascii="Arial" w:hAnsi="Arial" w:cs="Arial"/>
                <w:b/>
                <w:bCs/>
                <w:sz w:val="18"/>
                <w:lang w:val="de-DE"/>
              </w:rPr>
              <w:t>c</w:t>
            </w:r>
            <w:r w:rsidRPr="00335343">
              <w:rPr>
                <w:rFonts w:ascii="Arial" w:hAnsi="Arial" w:cs="Arial"/>
                <w:b/>
                <w:bCs/>
                <w:sz w:val="18"/>
                <w:vertAlign w:val="subscript"/>
                <w:lang w:val="de-DE"/>
              </w:rPr>
              <w:t>low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9025F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  <w:r w:rsidRPr="00335343">
              <w:rPr>
                <w:rFonts w:ascii="Arial" w:hAnsi="Arial" w:cs="Arial"/>
                <w:b/>
                <w:bCs/>
                <w:sz w:val="18"/>
                <w:lang w:val="de-DE"/>
              </w:rPr>
              <w:t>c</w:t>
            </w:r>
            <w:r w:rsidRPr="00335343">
              <w:rPr>
                <w:rFonts w:ascii="Arial" w:hAnsi="Arial" w:cs="Arial"/>
                <w:b/>
                <w:bCs/>
                <w:sz w:val="18"/>
                <w:vertAlign w:val="subscript"/>
                <w:lang w:val="de-DE"/>
              </w:rPr>
              <w:t>high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CB05B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67597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  <w:r w:rsidRPr="00335343">
              <w:rPr>
                <w:rFonts w:ascii="Arial" w:hAnsi="Arial" w:cs="Arial"/>
                <w:b/>
                <w:bCs/>
                <w:sz w:val="18"/>
                <w:lang w:val="de-DE"/>
              </w:rPr>
              <w:t>c</w:t>
            </w:r>
            <w:r w:rsidRPr="00335343">
              <w:rPr>
                <w:rFonts w:ascii="Arial" w:hAnsi="Arial" w:cs="Arial"/>
                <w:b/>
                <w:bCs/>
                <w:sz w:val="18"/>
                <w:vertAlign w:val="subscript"/>
                <w:lang w:val="de-DE"/>
              </w:rPr>
              <w:t>low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9F63A" w14:textId="77777777" w:rsidR="00916108" w:rsidRPr="00335343" w:rsidRDefault="00916108" w:rsidP="00EB5FC6">
            <w:pPr>
              <w:jc w:val="center"/>
              <w:rPr>
                <w:rFonts w:ascii="Arial" w:hAnsi="Arial" w:cs="Arial"/>
                <w:sz w:val="18"/>
              </w:rPr>
            </w:pPr>
            <w:r w:rsidRPr="00335343">
              <w:rPr>
                <w:rFonts w:ascii="Arial" w:hAnsi="Arial" w:cs="Arial"/>
                <w:b/>
                <w:bCs/>
                <w:sz w:val="18"/>
                <w:lang w:val="de-DE"/>
              </w:rPr>
              <w:t>c</w:t>
            </w:r>
            <w:r w:rsidRPr="00335343">
              <w:rPr>
                <w:rFonts w:ascii="Arial" w:hAnsi="Arial" w:cs="Arial"/>
                <w:b/>
                <w:bCs/>
                <w:sz w:val="18"/>
                <w:vertAlign w:val="subscript"/>
                <w:lang w:val="de-DE"/>
              </w:rPr>
              <w:t>high</w:t>
            </w:r>
          </w:p>
        </w:tc>
      </w:tr>
      <w:tr w:rsidR="00916108" w:rsidRPr="008232CA" w14:paraId="411EDECB" w14:textId="77777777" w:rsidTr="00EB5FC6">
        <w:trPr>
          <w:trHeight w:val="129"/>
        </w:trPr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7639C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median fluorescence intensity</w:t>
            </w: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[AU]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55747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CD25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1FF29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4744 ± 1189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67C7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5463 ± 410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2DB3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1C1D4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4447 ± 572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58F80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5378 ± 710</w:t>
            </w:r>
          </w:p>
        </w:tc>
      </w:tr>
      <w:tr w:rsidR="00916108" w:rsidRPr="008232CA" w14:paraId="35361489" w14:textId="77777777" w:rsidTr="00EB5FC6">
        <w:trPr>
          <w:trHeight w:val="129"/>
        </w:trPr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5DB8D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486D6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CD80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5BF0C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2238 ± 315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EFA37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2730 ± 33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1D511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7B2C8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2084 ± 749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990B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2580 ± 963</w:t>
            </w:r>
          </w:p>
        </w:tc>
      </w:tr>
      <w:tr w:rsidR="00916108" w:rsidRPr="008232CA" w14:paraId="15FB1ABA" w14:textId="77777777" w:rsidTr="00EB5FC6">
        <w:trPr>
          <w:trHeight w:val="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EA7E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D3F57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B3930B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CEDC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BC564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040BB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010A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6108" w:rsidRPr="008232CA" w14:paraId="7C0E1052" w14:textId="77777777" w:rsidTr="00EB5FC6">
        <w:trPr>
          <w:trHeight w:val="129"/>
        </w:trPr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D1F6B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335343">
              <w:rPr>
                <w:rFonts w:ascii="Arial" w:hAnsi="Arial" w:cs="Arial"/>
                <w:b/>
                <w:bCs/>
                <w:sz w:val="18"/>
                <w:lang w:val="de-DE"/>
              </w:rPr>
              <w:t>c</w:t>
            </w:r>
            <w:r w:rsidRPr="00335343">
              <w:rPr>
                <w:rFonts w:ascii="Arial" w:hAnsi="Arial" w:cs="Arial"/>
                <w:b/>
                <w:bCs/>
                <w:sz w:val="18"/>
                <w:vertAlign w:val="subscript"/>
                <w:lang w:val="de-DE"/>
              </w:rPr>
              <w:t>cytokine</w:t>
            </w:r>
            <w:r w:rsidRPr="008232CA">
              <w:rPr>
                <w:rFonts w:ascii="Arial" w:hAnsi="Arial" w:cs="Arial"/>
                <w:b/>
                <w:bCs/>
                <w:sz w:val="16"/>
                <w:vertAlign w:val="subscript"/>
                <w:lang w:val="de-DE"/>
              </w:rPr>
              <w:t xml:space="preserve"> </w:t>
            </w: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[pg/ml]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B4183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IL-1</w:t>
            </w:r>
            <w:r w:rsidRPr="008232CA">
              <w:rPr>
                <w:rFonts w:ascii="Arial" w:hAnsi="Arial" w:cs="Arial"/>
                <w:b/>
                <w:bCs/>
                <w:sz w:val="16"/>
                <w:lang w:val="el-GR"/>
              </w:rPr>
              <w:t>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3CF8CF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1FC36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7.4 ± 2.4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5636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2702F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89.8 ± 197.9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67CC9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73.5 ± 45.6</w:t>
            </w:r>
          </w:p>
        </w:tc>
      </w:tr>
      <w:tr w:rsidR="00916108" w:rsidRPr="008232CA" w14:paraId="3F4A1282" w14:textId="77777777" w:rsidTr="00EB5FC6">
        <w:trPr>
          <w:trHeight w:val="129"/>
        </w:trPr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9509CF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612F4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TNF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-</w:t>
            </w:r>
            <w:r w:rsidRPr="008232CA">
              <w:rPr>
                <w:rFonts w:ascii="Arial" w:hAnsi="Arial" w:cs="Arial"/>
                <w:b/>
                <w:bCs/>
                <w:sz w:val="16"/>
                <w:lang w:val="el-GR"/>
              </w:rPr>
              <w:t>α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202CC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2.2 ± 0.3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1EBA8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3.3 ± 1.3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A5190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7FF1A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21.1 ± 34.4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242D1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26.5 ± 21.9</w:t>
            </w:r>
          </w:p>
        </w:tc>
      </w:tr>
      <w:tr w:rsidR="00916108" w:rsidRPr="008232CA" w14:paraId="780D4FB3" w14:textId="77777777" w:rsidTr="00EB5FC6">
        <w:trPr>
          <w:trHeight w:val="129"/>
        </w:trPr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B4E31D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999D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IL-6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0945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43.1 ± 48.0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6C9E1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162.8 ± 228.3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BB081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F1C4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13.6 ± 6.1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DB533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493.0 ± 579.2</w:t>
            </w:r>
          </w:p>
        </w:tc>
      </w:tr>
      <w:tr w:rsidR="00916108" w:rsidRPr="008232CA" w14:paraId="47ECEEAC" w14:textId="77777777" w:rsidTr="00EB5FC6">
        <w:trPr>
          <w:trHeight w:val="129"/>
        </w:trPr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B76EA1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1BDFD7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IL-10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734A3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B42E3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1A0B5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F19F8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7.7 ± 6.9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40D3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5.5 ± 0.6</w:t>
            </w:r>
          </w:p>
        </w:tc>
      </w:tr>
      <w:tr w:rsidR="00916108" w:rsidRPr="008232CA" w14:paraId="38F0CF36" w14:textId="77777777" w:rsidTr="00EB5FC6">
        <w:trPr>
          <w:trHeight w:val="129"/>
        </w:trPr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8D0C95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890A3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IFN</w:t>
            </w:r>
            <w:r w:rsidRPr="008232CA">
              <w:rPr>
                <w:rFonts w:ascii="Arial" w:hAnsi="Arial" w:cs="Arial"/>
                <w:b/>
                <w:bCs/>
                <w:sz w:val="16"/>
                <w:lang w:val="el-GR"/>
              </w:rPr>
              <w:t>γ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1954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7C8DD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18F7D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A9A02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329.7 ± 792.3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31246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44.0 ± 71.4</w:t>
            </w:r>
          </w:p>
        </w:tc>
      </w:tr>
      <w:tr w:rsidR="00916108" w:rsidRPr="008232CA" w14:paraId="42163ADB" w14:textId="77777777" w:rsidTr="00EB5FC6">
        <w:trPr>
          <w:trHeight w:val="129"/>
        </w:trPr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4A24E9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6AD65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b/>
                <w:bCs/>
                <w:sz w:val="16"/>
                <w:lang w:val="de-DE"/>
              </w:rPr>
              <w:t>IL-12p70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70914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3B2E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F1160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A7C86" w14:textId="77777777" w:rsidR="00916108" w:rsidRPr="008232CA" w:rsidRDefault="00916108" w:rsidP="00EB5FC6">
            <w:pPr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i/>
                <w:iCs/>
                <w:sz w:val="16"/>
                <w:lang w:val="de-DE"/>
              </w:rPr>
              <w:t>&lt; LOQ*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7E2D7" w14:textId="77777777" w:rsidR="00916108" w:rsidRPr="008232CA" w:rsidRDefault="00916108" w:rsidP="00EB5FC6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8232CA">
              <w:rPr>
                <w:rFonts w:ascii="Arial" w:hAnsi="Arial" w:cs="Arial"/>
                <w:sz w:val="16"/>
                <w:lang w:val="de-DE"/>
              </w:rPr>
              <w:t>3.6 ± 0.3</w:t>
            </w:r>
          </w:p>
        </w:tc>
      </w:tr>
    </w:tbl>
    <w:p w14:paraId="69DCBAD9" w14:textId="77777777" w:rsidR="002D6E63" w:rsidRDefault="00450FD5"/>
    <w:sectPr w:rsidR="002D6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87"/>
    <w:rsid w:val="000E274C"/>
    <w:rsid w:val="00260622"/>
    <w:rsid w:val="002A3046"/>
    <w:rsid w:val="00450FD5"/>
    <w:rsid w:val="00567CBA"/>
    <w:rsid w:val="006B4ADC"/>
    <w:rsid w:val="008473F3"/>
    <w:rsid w:val="00892C37"/>
    <w:rsid w:val="008C38B3"/>
    <w:rsid w:val="00911764"/>
    <w:rsid w:val="00916108"/>
    <w:rsid w:val="009B36A9"/>
    <w:rsid w:val="00A328F5"/>
    <w:rsid w:val="00BB2687"/>
    <w:rsid w:val="00BE6533"/>
    <w:rsid w:val="00C22ACE"/>
    <w:rsid w:val="00C65888"/>
    <w:rsid w:val="00CC32A0"/>
    <w:rsid w:val="00E15E84"/>
    <w:rsid w:val="00E45DCF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A136"/>
  <w15:chartTrackingRefBased/>
  <w15:docId w15:val="{040987A7-9AC8-43F5-8019-22EE5D0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Pusch, Lennart</dc:creator>
  <cp:keywords/>
  <dc:description/>
  <cp:lastModifiedBy>Alice Bough</cp:lastModifiedBy>
  <cp:revision>2</cp:revision>
  <dcterms:created xsi:type="dcterms:W3CDTF">2021-07-20T15:29:00Z</dcterms:created>
  <dcterms:modified xsi:type="dcterms:W3CDTF">2021-07-20T15:29:00Z</dcterms:modified>
</cp:coreProperties>
</file>