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D2011" w14:textId="77777777" w:rsidR="00FC4F2A" w:rsidRPr="00FC4F2A" w:rsidRDefault="00FC4F2A" w:rsidP="00FC4F2A">
      <w:pPr>
        <w:keepNext/>
        <w:keepLines/>
        <w:spacing w:before="120" w:after="120" w:line="480" w:lineRule="auto"/>
        <w:outlineLvl w:val="2"/>
        <w:rPr>
          <w:rFonts w:ascii="Arial" w:eastAsia="Calibri" w:hAnsi="Arial" w:cs="Times New Roman"/>
          <w:b/>
          <w:sz w:val="24"/>
          <w:szCs w:val="24"/>
        </w:rPr>
      </w:pPr>
      <w:r w:rsidRPr="00FC4F2A">
        <w:rPr>
          <w:rFonts w:ascii="Arial" w:eastAsia="Calibri" w:hAnsi="Arial" w:cs="Times New Roman"/>
          <w:b/>
          <w:sz w:val="24"/>
          <w:szCs w:val="24"/>
        </w:rPr>
        <w:t>Supplementary Figure 1. PRISMA flowchart of literature review and identification of studies for inclusion in the NMA.</w:t>
      </w:r>
    </w:p>
    <w:p w14:paraId="1503E8B9" w14:textId="77777777" w:rsidR="00FC4F2A" w:rsidRPr="00FC4F2A" w:rsidRDefault="00FC4F2A" w:rsidP="00FC4F2A">
      <w:pPr>
        <w:spacing w:after="0" w:line="480" w:lineRule="auto"/>
        <w:rPr>
          <w:rFonts w:ascii="Arial" w:eastAsia="Calibri" w:hAnsi="Arial" w:cs="Times New Roman"/>
          <w:sz w:val="24"/>
        </w:rPr>
      </w:pPr>
    </w:p>
    <w:p w14:paraId="5203ABB1" w14:textId="77777777" w:rsidR="00FC4F2A" w:rsidRPr="00FC4F2A" w:rsidRDefault="00FC4F2A" w:rsidP="00FC4F2A">
      <w:pPr>
        <w:spacing w:after="0" w:line="480" w:lineRule="auto"/>
        <w:rPr>
          <w:rFonts w:ascii="Arial" w:eastAsia="Calibri" w:hAnsi="Arial" w:cs="Times New Roman"/>
          <w:sz w:val="20"/>
          <w:szCs w:val="20"/>
          <w:lang w:val="en-US"/>
        </w:rPr>
      </w:pPr>
      <w:r w:rsidRPr="00FC4F2A">
        <w:rPr>
          <w:rFonts w:ascii="Arial" w:eastAsia="Calibri" w:hAnsi="Arial" w:cs="Times New Roman"/>
          <w:noProof/>
          <w:sz w:val="20"/>
          <w:szCs w:val="20"/>
          <w:lang w:val="en-US"/>
        </w:rPr>
        <w:drawing>
          <wp:inline distT="0" distB="0" distL="0" distR="0" wp14:anchorId="69FD6FB4" wp14:editId="3AB32D59">
            <wp:extent cx="5694349" cy="4354717"/>
            <wp:effectExtent l="0" t="0" r="1905" b="8255"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03676" cy="436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4F2A">
        <w:rPr>
          <w:rFonts w:ascii="Arial" w:eastAsia="Calibri" w:hAnsi="Arial" w:cs="Times New Roman"/>
          <w:sz w:val="20"/>
          <w:szCs w:val="20"/>
          <w:lang w:val="en-US"/>
        </w:rPr>
        <w:t xml:space="preserve">NMA, network meta-analysis. </w:t>
      </w:r>
    </w:p>
    <w:p w14:paraId="71DE7EC3" w14:textId="77777777" w:rsidR="00FC4F2A" w:rsidRPr="00FC4F2A" w:rsidRDefault="00FC4F2A" w:rsidP="00FC4F2A">
      <w:pPr>
        <w:rPr>
          <w:rFonts w:ascii="Arial" w:eastAsia="Calibri" w:hAnsi="Arial" w:cs="Times New Roman"/>
          <w:sz w:val="20"/>
          <w:szCs w:val="20"/>
          <w:lang w:val="en-US"/>
        </w:rPr>
      </w:pPr>
      <w:r w:rsidRPr="00FC4F2A">
        <w:rPr>
          <w:rFonts w:ascii="Arial" w:eastAsia="Calibri" w:hAnsi="Arial" w:cs="Times New Roman"/>
          <w:sz w:val="24"/>
        </w:rPr>
        <w:br w:type="page"/>
      </w:r>
    </w:p>
    <w:p w14:paraId="7FB1FA65" w14:textId="77777777" w:rsidR="00FC4F2A" w:rsidRPr="00FC4F2A" w:rsidRDefault="00FC4F2A" w:rsidP="00FC4F2A">
      <w:pPr>
        <w:spacing w:after="0" w:line="480" w:lineRule="auto"/>
        <w:rPr>
          <w:rFonts w:ascii="Arial" w:eastAsia="Calibri" w:hAnsi="Arial" w:cs="Times New Roman"/>
          <w:sz w:val="20"/>
          <w:szCs w:val="20"/>
          <w:lang w:val="en-US"/>
        </w:rPr>
      </w:pPr>
    </w:p>
    <w:p w14:paraId="69DFE2C2" w14:textId="77777777" w:rsidR="00FC4F2A" w:rsidRPr="00FC4F2A" w:rsidRDefault="00FC4F2A" w:rsidP="00FC4F2A">
      <w:pPr>
        <w:keepNext/>
        <w:keepLines/>
        <w:spacing w:before="120" w:after="120" w:line="480" w:lineRule="auto"/>
        <w:outlineLvl w:val="2"/>
        <w:rPr>
          <w:rFonts w:ascii="Arial" w:eastAsia="Calibri" w:hAnsi="Arial" w:cs="Times New Roman"/>
          <w:b/>
          <w:sz w:val="24"/>
          <w:szCs w:val="24"/>
        </w:rPr>
      </w:pPr>
      <w:r w:rsidRPr="00FC4F2A">
        <w:rPr>
          <w:rFonts w:ascii="Arial" w:eastAsia="Calibri" w:hAnsi="Arial" w:cs="Times New Roman"/>
          <w:b/>
          <w:sz w:val="24"/>
          <w:szCs w:val="24"/>
        </w:rPr>
        <w:t>Supplementary Figure 2. Bayesian FE fractional polynomial estimates for (A) PFS by study arm; (B) PFS by treatment; (C) OS by study arm; (D) OS by treatment.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"/>
        <w:gridCol w:w="8981"/>
      </w:tblGrid>
      <w:tr w:rsidR="00FC4F2A" w:rsidRPr="00FC4F2A" w14:paraId="43C184E5" w14:textId="77777777" w:rsidTr="000620AE">
        <w:tc>
          <w:tcPr>
            <w:tcW w:w="567" w:type="dxa"/>
          </w:tcPr>
          <w:p w14:paraId="4D0B263C" w14:textId="77777777" w:rsidR="00FC4F2A" w:rsidRPr="00FC4F2A" w:rsidRDefault="00FC4F2A" w:rsidP="00FC4F2A">
            <w:pPr>
              <w:rPr>
                <w:rFonts w:ascii="Arial" w:eastAsia="Calibri" w:hAnsi="Arial" w:cs="Times New Roman"/>
                <w:b/>
                <w:sz w:val="24"/>
                <w:lang w:val="en-US"/>
              </w:rPr>
            </w:pPr>
            <w:r w:rsidRPr="00FC4F2A">
              <w:rPr>
                <w:rFonts w:ascii="Arial" w:eastAsia="Calibri" w:hAnsi="Arial" w:cs="Times New Roman"/>
                <w:b/>
                <w:sz w:val="24"/>
                <w:lang w:val="en-US"/>
              </w:rPr>
              <w:t>A</w:t>
            </w:r>
          </w:p>
        </w:tc>
        <w:tc>
          <w:tcPr>
            <w:tcW w:w="8766" w:type="dxa"/>
          </w:tcPr>
          <w:p w14:paraId="3FC6AC01" w14:textId="77777777" w:rsidR="00FC4F2A" w:rsidRPr="00FC4F2A" w:rsidRDefault="00FC4F2A" w:rsidP="00FC4F2A">
            <w:pPr>
              <w:rPr>
                <w:rFonts w:ascii="Arial" w:eastAsia="Calibri" w:hAnsi="Arial" w:cs="Times New Roman"/>
                <w:sz w:val="24"/>
                <w:lang w:val="en-US"/>
              </w:rPr>
            </w:pPr>
            <w:r w:rsidRPr="00FC4F2A">
              <w:rPr>
                <w:rFonts w:ascii="Arial" w:eastAsia="Calibri" w:hAnsi="Arial" w:cs="Times New Roman"/>
                <w:noProof/>
                <w:sz w:val="24"/>
                <w:lang w:val="en-US"/>
              </w:rPr>
              <w:drawing>
                <wp:inline distT="0" distB="0" distL="0" distR="0" wp14:anchorId="06DF8AD3" wp14:editId="48DD6BD0">
                  <wp:extent cx="5584188" cy="3275938"/>
                  <wp:effectExtent l="0" t="0" r="0" b="1270"/>
                  <wp:docPr id="13" name="Picture 13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Graphical user interface, application&#10;&#10;Description automatically generated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066" cy="329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F2A" w:rsidRPr="00FC4F2A" w14:paraId="4BA817D3" w14:textId="77777777" w:rsidTr="000620AE">
        <w:tc>
          <w:tcPr>
            <w:tcW w:w="567" w:type="dxa"/>
          </w:tcPr>
          <w:p w14:paraId="7214198F" w14:textId="77777777" w:rsidR="00FC4F2A" w:rsidRPr="00FC4F2A" w:rsidRDefault="00FC4F2A" w:rsidP="00FC4F2A">
            <w:pPr>
              <w:rPr>
                <w:rFonts w:ascii="Arial" w:eastAsia="Calibri" w:hAnsi="Arial" w:cs="Times New Roman"/>
                <w:b/>
                <w:sz w:val="24"/>
                <w:lang w:val="en-US"/>
              </w:rPr>
            </w:pPr>
            <w:r w:rsidRPr="00FC4F2A">
              <w:rPr>
                <w:rFonts w:ascii="Arial" w:eastAsia="Calibri" w:hAnsi="Arial" w:cs="Times New Roman"/>
                <w:b/>
                <w:sz w:val="24"/>
                <w:lang w:val="en-US"/>
              </w:rPr>
              <w:t>B</w:t>
            </w:r>
          </w:p>
        </w:tc>
        <w:tc>
          <w:tcPr>
            <w:tcW w:w="8766" w:type="dxa"/>
          </w:tcPr>
          <w:p w14:paraId="08257106" w14:textId="77777777" w:rsidR="00FC4F2A" w:rsidRPr="00FC4F2A" w:rsidRDefault="00FC4F2A" w:rsidP="00FC4F2A">
            <w:pPr>
              <w:rPr>
                <w:rFonts w:ascii="Arial" w:eastAsia="Calibri" w:hAnsi="Arial" w:cs="Times New Roman"/>
                <w:sz w:val="24"/>
                <w:lang w:val="en-US"/>
              </w:rPr>
            </w:pPr>
            <w:r w:rsidRPr="00FC4F2A">
              <w:rPr>
                <w:rFonts w:ascii="Arial" w:eastAsia="Calibri" w:hAnsi="Arial" w:cs="Times New Roman"/>
                <w:noProof/>
                <w:sz w:val="24"/>
                <w:lang w:val="en-US"/>
              </w:rPr>
              <w:drawing>
                <wp:inline distT="0" distB="0" distL="0" distR="0" wp14:anchorId="717DD603" wp14:editId="03882DED">
                  <wp:extent cx="5462546" cy="3290951"/>
                  <wp:effectExtent l="0" t="0" r="5080" b="5080"/>
                  <wp:docPr id="16" name="Picture 16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Graphical user interface, application&#10;&#10;Description automatically generated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9472" cy="3301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6DA037" w14:textId="77777777" w:rsidR="00FC4F2A" w:rsidRPr="00FC4F2A" w:rsidRDefault="00FC4F2A" w:rsidP="00FC4F2A">
            <w:pPr>
              <w:rPr>
                <w:rFonts w:ascii="Arial" w:eastAsia="Calibri" w:hAnsi="Arial" w:cs="Times New Roman"/>
                <w:sz w:val="24"/>
                <w:lang w:val="en-US"/>
              </w:rPr>
            </w:pPr>
          </w:p>
        </w:tc>
      </w:tr>
      <w:tr w:rsidR="00FC4F2A" w:rsidRPr="00FC4F2A" w14:paraId="15DE9C20" w14:textId="77777777" w:rsidTr="000620AE">
        <w:tc>
          <w:tcPr>
            <w:tcW w:w="567" w:type="dxa"/>
          </w:tcPr>
          <w:p w14:paraId="0AA6DC30" w14:textId="77777777" w:rsidR="00FC4F2A" w:rsidRPr="00FC4F2A" w:rsidRDefault="00FC4F2A" w:rsidP="00FC4F2A">
            <w:pPr>
              <w:rPr>
                <w:rFonts w:ascii="Arial" w:eastAsia="Calibri" w:hAnsi="Arial" w:cs="Times New Roman"/>
                <w:b/>
                <w:sz w:val="24"/>
                <w:lang w:val="en-US"/>
              </w:rPr>
            </w:pPr>
            <w:r w:rsidRPr="00FC4F2A">
              <w:rPr>
                <w:rFonts w:ascii="Arial" w:eastAsia="Calibri" w:hAnsi="Arial" w:cs="Times New Roman"/>
                <w:b/>
                <w:sz w:val="24"/>
                <w:lang w:val="en-US"/>
              </w:rPr>
              <w:lastRenderedPageBreak/>
              <w:t>C</w:t>
            </w:r>
          </w:p>
        </w:tc>
        <w:tc>
          <w:tcPr>
            <w:tcW w:w="8766" w:type="dxa"/>
          </w:tcPr>
          <w:p w14:paraId="3E59CB72" w14:textId="77777777" w:rsidR="00FC4F2A" w:rsidRPr="00FC4F2A" w:rsidRDefault="00FC4F2A" w:rsidP="00FC4F2A">
            <w:pPr>
              <w:rPr>
                <w:rFonts w:ascii="Arial" w:eastAsia="Calibri" w:hAnsi="Arial" w:cs="Times New Roman"/>
                <w:sz w:val="24"/>
                <w:lang w:val="en-US"/>
              </w:rPr>
            </w:pPr>
            <w:r w:rsidRPr="00FC4F2A">
              <w:rPr>
                <w:rFonts w:ascii="Arial" w:eastAsia="Calibri" w:hAnsi="Arial" w:cs="Times New Roman"/>
                <w:noProof/>
                <w:sz w:val="24"/>
                <w:lang w:val="en-US"/>
              </w:rPr>
              <w:drawing>
                <wp:inline distT="0" distB="0" distL="0" distR="0" wp14:anchorId="1A5681E4" wp14:editId="03C1C26D">
                  <wp:extent cx="5943600" cy="3568065"/>
                  <wp:effectExtent l="0" t="0" r="0" b="0"/>
                  <wp:docPr id="19" name="Picture 19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Graphical user interface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56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F2A" w:rsidRPr="00FC4F2A" w14:paraId="491899CD" w14:textId="77777777" w:rsidTr="000620AE">
        <w:tc>
          <w:tcPr>
            <w:tcW w:w="567" w:type="dxa"/>
          </w:tcPr>
          <w:p w14:paraId="18182496" w14:textId="77777777" w:rsidR="00FC4F2A" w:rsidRPr="00FC4F2A" w:rsidRDefault="00FC4F2A" w:rsidP="00FC4F2A">
            <w:pPr>
              <w:rPr>
                <w:rFonts w:ascii="Arial" w:eastAsia="Calibri" w:hAnsi="Arial" w:cs="Times New Roman"/>
                <w:b/>
                <w:sz w:val="24"/>
                <w:lang w:val="en-US"/>
              </w:rPr>
            </w:pPr>
            <w:r w:rsidRPr="00FC4F2A">
              <w:rPr>
                <w:rFonts w:ascii="Arial" w:eastAsia="Calibri" w:hAnsi="Arial" w:cs="Times New Roman"/>
                <w:b/>
                <w:sz w:val="24"/>
                <w:lang w:val="en-US"/>
              </w:rPr>
              <w:t>D</w:t>
            </w:r>
          </w:p>
        </w:tc>
        <w:tc>
          <w:tcPr>
            <w:tcW w:w="8766" w:type="dxa"/>
          </w:tcPr>
          <w:p w14:paraId="7140415E" w14:textId="77777777" w:rsidR="00FC4F2A" w:rsidRPr="00FC4F2A" w:rsidRDefault="00FC4F2A" w:rsidP="00FC4F2A">
            <w:pPr>
              <w:rPr>
                <w:rFonts w:ascii="Arial" w:eastAsia="Calibri" w:hAnsi="Arial" w:cs="Times New Roman"/>
                <w:sz w:val="24"/>
                <w:lang w:val="en-US"/>
              </w:rPr>
            </w:pPr>
            <w:r w:rsidRPr="00FC4F2A">
              <w:rPr>
                <w:rFonts w:ascii="Arial" w:eastAsia="Calibri" w:hAnsi="Arial" w:cs="Times New Roman"/>
                <w:noProof/>
                <w:sz w:val="24"/>
                <w:lang w:val="en-US"/>
              </w:rPr>
              <w:drawing>
                <wp:inline distT="0" distB="0" distL="0" distR="0" wp14:anchorId="3B4C84B9" wp14:editId="018C7EBC">
                  <wp:extent cx="5943600" cy="3622675"/>
                  <wp:effectExtent l="0" t="0" r="0" b="0"/>
                  <wp:docPr id="22" name="Picture 22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Graphical user interface, application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62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D1219E" w14:textId="77777777" w:rsidR="00FC4F2A" w:rsidRPr="00FC4F2A" w:rsidRDefault="00FC4F2A" w:rsidP="00FC4F2A">
      <w:pPr>
        <w:spacing w:after="0" w:line="480" w:lineRule="auto"/>
        <w:rPr>
          <w:rFonts w:ascii="Arial" w:eastAsia="Calibri" w:hAnsi="Arial" w:cs="Times New Roman"/>
          <w:sz w:val="20"/>
          <w:szCs w:val="20"/>
          <w:lang w:val="en-US"/>
        </w:rPr>
      </w:pPr>
      <w:r w:rsidRPr="00FC4F2A">
        <w:rPr>
          <w:rFonts w:ascii="Arial" w:eastAsia="Calibri" w:hAnsi="Arial" w:cs="Times New Roman"/>
          <w:sz w:val="20"/>
          <w:szCs w:val="20"/>
          <w:lang w:val="en-US"/>
        </w:rPr>
        <w:t>FE, fixed effects; OS, overall survival; PFS, progression-free survival; T-DM1, trastuzumab emtansine. Dotted line indicates reference treatment (lapatinib plus capecitabine)</w:t>
      </w:r>
    </w:p>
    <w:p w14:paraId="25038391" w14:textId="77777777" w:rsidR="00FC4F2A" w:rsidRPr="00FC4F2A" w:rsidRDefault="00FC4F2A" w:rsidP="00FC4F2A">
      <w:pPr>
        <w:rPr>
          <w:rFonts w:ascii="Arial" w:eastAsia="Calibri" w:hAnsi="Arial" w:cs="Times New Roman"/>
          <w:b/>
          <w:sz w:val="24"/>
          <w:szCs w:val="24"/>
          <w:lang w:val="en-US"/>
        </w:rPr>
      </w:pPr>
      <w:r w:rsidRPr="00FC4F2A">
        <w:rPr>
          <w:rFonts w:ascii="Arial" w:eastAsia="Calibri" w:hAnsi="Arial" w:cs="Times New Roman"/>
          <w:b/>
          <w:sz w:val="24"/>
          <w:szCs w:val="24"/>
          <w:lang w:val="en-US"/>
        </w:rPr>
        <w:br w:type="page"/>
      </w:r>
    </w:p>
    <w:p w14:paraId="12DB0B00" w14:textId="77777777" w:rsidR="00FC4F2A" w:rsidRPr="00FC4F2A" w:rsidRDefault="00FC4F2A" w:rsidP="00FC4F2A">
      <w:pPr>
        <w:keepNext/>
        <w:keepLines/>
        <w:spacing w:before="120" w:after="120" w:line="480" w:lineRule="auto"/>
        <w:outlineLvl w:val="2"/>
        <w:rPr>
          <w:rFonts w:ascii="Arial" w:eastAsia="Calibri" w:hAnsi="Arial" w:cs="Times New Roman"/>
          <w:b/>
          <w:sz w:val="24"/>
          <w:szCs w:val="24"/>
        </w:rPr>
      </w:pPr>
      <w:r w:rsidRPr="00FC4F2A">
        <w:rPr>
          <w:rFonts w:ascii="Arial" w:eastAsia="Calibri" w:hAnsi="Arial" w:cs="Times New Roman"/>
          <w:b/>
          <w:sz w:val="24"/>
          <w:szCs w:val="24"/>
        </w:rPr>
        <w:lastRenderedPageBreak/>
        <w:t xml:space="preserve">Supplementary Figure 3. Analyses of heterogeneity and inconsistency between included trials reporting PFS data. (A) Node-splitting analysis (inconsistency) of direct and indirect evidence </w:t>
      </w:r>
      <w:r w:rsidRPr="00FC4F2A">
        <w:rPr>
          <w:rFonts w:ascii="Arial" w:eastAsia="Calibri" w:hAnsi="Arial" w:cs="Times New Roman"/>
          <w:b/>
          <w:sz w:val="24"/>
          <w:szCs w:val="24"/>
        </w:rPr>
        <w:fldChar w:fldCharType="begin">
          <w:fldData xml:space="preserve">PEVuZE5vdGU+PENpdGU+PEF1dGhvcj52YW4gVmFsa2VuaG9lZjwvQXV0aG9yPjxZZWFyPjIwMTY8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</w:fldData>
        </w:fldChar>
      </w:r>
      <w:r w:rsidRPr="00FC4F2A">
        <w:rPr>
          <w:rFonts w:ascii="Arial" w:eastAsia="Calibri" w:hAnsi="Arial" w:cs="Times New Roman"/>
          <w:b/>
          <w:sz w:val="24"/>
          <w:szCs w:val="24"/>
        </w:rPr>
        <w:instrText xml:space="preserve"> ADDIN EN.CITE </w:instrText>
      </w:r>
      <w:r w:rsidRPr="00FC4F2A">
        <w:rPr>
          <w:rFonts w:ascii="Arial" w:eastAsia="Calibri" w:hAnsi="Arial" w:cs="Times New Roman"/>
          <w:b/>
          <w:sz w:val="24"/>
          <w:szCs w:val="24"/>
        </w:rPr>
        <w:fldChar w:fldCharType="begin">
          <w:fldData xml:space="preserve">PEVuZE5vdGU+PENpdGU+PEF1dGhvcj52YW4gVmFsa2VuaG9lZjwvQXV0aG9yPjxZZWFyPjIwMTY8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</w:fldData>
        </w:fldChar>
      </w:r>
      <w:r w:rsidRPr="00FC4F2A">
        <w:rPr>
          <w:rFonts w:ascii="Arial" w:eastAsia="Calibri" w:hAnsi="Arial" w:cs="Times New Roman"/>
          <w:b/>
          <w:sz w:val="24"/>
          <w:szCs w:val="24"/>
        </w:rPr>
        <w:instrText xml:space="preserve"> ADDIN EN.CITE.DATA </w:instrText>
      </w:r>
      <w:r w:rsidRPr="00FC4F2A">
        <w:rPr>
          <w:rFonts w:ascii="Arial" w:eastAsia="Calibri" w:hAnsi="Arial" w:cs="Times New Roman"/>
          <w:b/>
          <w:sz w:val="24"/>
          <w:szCs w:val="24"/>
        </w:rPr>
      </w:r>
      <w:r w:rsidRPr="00FC4F2A">
        <w:rPr>
          <w:rFonts w:ascii="Arial" w:eastAsia="Calibri" w:hAnsi="Arial" w:cs="Times New Roman"/>
          <w:b/>
          <w:sz w:val="24"/>
          <w:szCs w:val="24"/>
        </w:rPr>
        <w:fldChar w:fldCharType="end"/>
      </w:r>
      <w:r w:rsidRPr="00FC4F2A">
        <w:rPr>
          <w:rFonts w:ascii="Arial" w:eastAsia="Calibri" w:hAnsi="Arial" w:cs="Times New Roman"/>
          <w:b/>
          <w:sz w:val="24"/>
          <w:szCs w:val="24"/>
        </w:rPr>
      </w:r>
      <w:r w:rsidRPr="00FC4F2A">
        <w:rPr>
          <w:rFonts w:ascii="Arial" w:eastAsia="Calibri" w:hAnsi="Arial" w:cs="Times New Roman"/>
          <w:b/>
          <w:sz w:val="24"/>
          <w:szCs w:val="24"/>
        </w:rPr>
        <w:fldChar w:fldCharType="separate"/>
      </w:r>
      <w:r w:rsidRPr="00FC4F2A">
        <w:rPr>
          <w:rFonts w:ascii="Arial" w:eastAsia="Calibri" w:hAnsi="Arial" w:cs="Times New Roman"/>
          <w:b/>
          <w:sz w:val="24"/>
          <w:szCs w:val="24"/>
        </w:rPr>
        <w:t>[34,57]</w:t>
      </w:r>
      <w:r w:rsidRPr="00FC4F2A">
        <w:rPr>
          <w:rFonts w:ascii="Arial" w:eastAsia="Calibri" w:hAnsi="Arial" w:cs="Times New Roman"/>
          <w:b/>
          <w:sz w:val="24"/>
          <w:szCs w:val="24"/>
        </w:rPr>
        <w:fldChar w:fldCharType="end"/>
      </w:r>
      <w:r w:rsidRPr="00FC4F2A">
        <w:rPr>
          <w:rFonts w:ascii="Arial" w:eastAsia="Calibri" w:hAnsi="Arial" w:cs="Times New Roman"/>
          <w:b/>
          <w:sz w:val="24"/>
          <w:szCs w:val="24"/>
        </w:rPr>
        <w:t>. (B) Duplicate comparisons (heterogeneity).</w:t>
      </w:r>
    </w:p>
    <w:p w14:paraId="7841B0C0" w14:textId="77777777" w:rsidR="00FC4F2A" w:rsidRPr="00FC4F2A" w:rsidRDefault="00FC4F2A" w:rsidP="00FC4F2A">
      <w:pPr>
        <w:spacing w:after="0" w:line="480" w:lineRule="auto"/>
        <w:rPr>
          <w:rFonts w:ascii="Arial" w:eastAsia="Calibri" w:hAnsi="Arial" w:cs="Times New Roman"/>
          <w:sz w:val="20"/>
          <w:szCs w:val="20"/>
        </w:rPr>
      </w:pPr>
      <w:r w:rsidRPr="00FC4F2A">
        <w:rPr>
          <w:rFonts w:ascii="Arial" w:eastAsia="Calibri" w:hAnsi="Arial" w:cs="Times New Roman"/>
          <w:sz w:val="24"/>
        </w:rPr>
        <w:t xml:space="preserve"> </w:t>
      </w:r>
      <w:r w:rsidRPr="00FC4F2A">
        <w:rPr>
          <w:rFonts w:ascii="Arial" w:eastAsia="Calibri" w:hAnsi="Arial" w:cs="Times New Roman"/>
          <w:noProof/>
          <w:sz w:val="24"/>
        </w:rPr>
        <w:drawing>
          <wp:inline distT="0" distB="0" distL="0" distR="0" wp14:anchorId="05E69764" wp14:editId="7A4A876E">
            <wp:extent cx="5943600" cy="4321175"/>
            <wp:effectExtent l="0" t="0" r="0" b="3175"/>
            <wp:docPr id="21" name="Picture 21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, box and whisker ch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4F2A">
        <w:rPr>
          <w:rFonts w:ascii="Arial" w:eastAsia="Calibri" w:hAnsi="Arial" w:cs="Times New Roman"/>
          <w:sz w:val="20"/>
          <w:szCs w:val="20"/>
        </w:rPr>
        <w:t>Higgins I</w:t>
      </w:r>
      <w:r w:rsidRPr="00FC4F2A">
        <w:rPr>
          <w:rFonts w:ascii="Arial" w:eastAsia="Calibri" w:hAnsi="Arial" w:cs="Times New Roman"/>
          <w:sz w:val="20"/>
          <w:szCs w:val="20"/>
          <w:vertAlign w:val="superscript"/>
        </w:rPr>
        <w:t>2</w:t>
      </w:r>
      <w:r w:rsidRPr="00FC4F2A">
        <w:rPr>
          <w:rFonts w:ascii="Arial" w:eastAsia="Calibri" w:hAnsi="Arial" w:cs="Times New Roman"/>
          <w:sz w:val="20"/>
          <w:szCs w:val="20"/>
        </w:rPr>
        <w:t xml:space="preserve"> = 44.563%; Cochran’s Q = 1.804 (P = 0.179). </w:t>
      </w:r>
    </w:p>
    <w:p w14:paraId="0B26A6F8" w14:textId="77777777" w:rsidR="00FC4F2A" w:rsidRPr="00FC4F2A" w:rsidRDefault="00FC4F2A" w:rsidP="00FC4F2A">
      <w:pPr>
        <w:spacing w:after="0" w:line="480" w:lineRule="auto"/>
        <w:rPr>
          <w:rFonts w:ascii="Arial" w:eastAsia="Calibri" w:hAnsi="Arial" w:cs="Times New Roman"/>
          <w:sz w:val="20"/>
          <w:szCs w:val="20"/>
        </w:rPr>
      </w:pPr>
      <w:r w:rsidRPr="00FC4F2A">
        <w:rPr>
          <w:rFonts w:ascii="Arial" w:eastAsia="Calibri" w:hAnsi="Arial" w:cs="Times New Roman"/>
          <w:sz w:val="20"/>
          <w:szCs w:val="20"/>
        </w:rPr>
        <w:t>CI, credible interval; HR, hazard ratio; PFS, progression-free survival; RE, random effects; T-DM1, trastuzumab emtansine.</w:t>
      </w:r>
    </w:p>
    <w:p w14:paraId="64E03D40" w14:textId="77777777" w:rsidR="00FC4F2A" w:rsidRPr="00FC4F2A" w:rsidRDefault="00FC4F2A" w:rsidP="00FC4F2A">
      <w:pPr>
        <w:rPr>
          <w:rFonts w:ascii="Arial" w:eastAsia="Calibri" w:hAnsi="Arial" w:cs="Times New Roman"/>
          <w:sz w:val="24"/>
        </w:rPr>
      </w:pPr>
      <w:r w:rsidRPr="00FC4F2A">
        <w:rPr>
          <w:rFonts w:ascii="Arial" w:eastAsia="Calibri" w:hAnsi="Arial" w:cs="Times New Roman"/>
          <w:sz w:val="24"/>
        </w:rPr>
        <w:br w:type="page"/>
      </w:r>
    </w:p>
    <w:p w14:paraId="099AB332" w14:textId="77777777" w:rsidR="00FC4F2A" w:rsidRPr="00FC4F2A" w:rsidRDefault="00FC4F2A" w:rsidP="00FC4F2A">
      <w:pPr>
        <w:keepNext/>
        <w:keepLines/>
        <w:spacing w:before="120" w:after="120" w:line="480" w:lineRule="auto"/>
        <w:outlineLvl w:val="2"/>
        <w:rPr>
          <w:rFonts w:ascii="Arial" w:eastAsia="Calibri" w:hAnsi="Arial" w:cs="Times New Roman"/>
          <w:b/>
          <w:sz w:val="24"/>
          <w:szCs w:val="24"/>
        </w:rPr>
      </w:pPr>
      <w:r w:rsidRPr="00FC4F2A">
        <w:rPr>
          <w:rFonts w:ascii="Arial" w:eastAsia="Calibri" w:hAnsi="Arial" w:cs="Times New Roman"/>
          <w:b/>
          <w:sz w:val="24"/>
          <w:szCs w:val="24"/>
        </w:rPr>
        <w:lastRenderedPageBreak/>
        <w:t xml:space="preserve">Supplementary Figure 4. SUCRA scores for Bayesian fixed-effects analysis of (A) PFS hazard ratios and (B) differences in mean PFS based on fractional polynomial NMA (with anchoring).  </w:t>
      </w:r>
      <w:r w:rsidRPr="00FC4F2A">
        <w:rPr>
          <w:rFonts w:ascii="Arial" w:eastAsia="Calibri" w:hAnsi="Arial" w:cs="Times New Roman"/>
          <w:b/>
          <w:noProof/>
          <w:sz w:val="24"/>
          <w:szCs w:val="24"/>
        </w:rPr>
        <w:drawing>
          <wp:inline distT="0" distB="0" distL="0" distR="0" wp14:anchorId="183A83D4" wp14:editId="17E00FCB">
            <wp:extent cx="4616687" cy="5962956"/>
            <wp:effectExtent l="0" t="0" r="0" b="0"/>
            <wp:docPr id="2" name="Picture 2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bar char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6687" cy="596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92AB5" w14:textId="77777777" w:rsidR="00FC4F2A" w:rsidRPr="00FC4F2A" w:rsidRDefault="00FC4F2A" w:rsidP="00FC4F2A">
      <w:pPr>
        <w:spacing w:after="0" w:line="480" w:lineRule="auto"/>
        <w:rPr>
          <w:rFonts w:ascii="Arial" w:eastAsia="Calibri" w:hAnsi="Arial" w:cs="Times New Roman"/>
          <w:sz w:val="20"/>
          <w:szCs w:val="20"/>
          <w:lang w:val="en-US"/>
        </w:rPr>
      </w:pPr>
      <w:r w:rsidRPr="00FC4F2A">
        <w:rPr>
          <w:rFonts w:ascii="Arial" w:eastAsia="Calibri" w:hAnsi="Arial" w:cs="Times New Roman"/>
          <w:sz w:val="20"/>
          <w:szCs w:val="20"/>
          <w:lang w:val="en-US"/>
        </w:rPr>
        <w:t xml:space="preserve">NMA, network meta-analysis; PFS, progression-free survival; SUCRA, surface under the cumulative </w:t>
      </w:r>
      <w:proofErr w:type="spellStart"/>
      <w:r w:rsidRPr="00FC4F2A">
        <w:rPr>
          <w:rFonts w:ascii="Arial" w:eastAsia="Calibri" w:hAnsi="Arial" w:cs="Times New Roman"/>
          <w:sz w:val="20"/>
          <w:szCs w:val="20"/>
          <w:lang w:val="en-US"/>
        </w:rPr>
        <w:t>rankogram</w:t>
      </w:r>
      <w:proofErr w:type="spellEnd"/>
      <w:r w:rsidRPr="00FC4F2A">
        <w:rPr>
          <w:rFonts w:ascii="Arial" w:eastAsia="Calibri" w:hAnsi="Arial" w:cs="Times New Roman"/>
          <w:sz w:val="20"/>
          <w:szCs w:val="20"/>
          <w:lang w:val="en-US"/>
        </w:rPr>
        <w:t xml:space="preserve">; T-DM1, trastuzumab emtansine. </w:t>
      </w:r>
    </w:p>
    <w:p w14:paraId="3C48154E" w14:textId="77777777" w:rsidR="00FC4F2A" w:rsidRPr="00FC4F2A" w:rsidRDefault="00FC4F2A" w:rsidP="00FC4F2A">
      <w:pPr>
        <w:rPr>
          <w:rFonts w:ascii="Arial" w:eastAsia="Calibri" w:hAnsi="Arial" w:cs="Times New Roman"/>
          <w:sz w:val="20"/>
          <w:szCs w:val="20"/>
          <w:lang w:val="en-US"/>
        </w:rPr>
      </w:pPr>
      <w:r w:rsidRPr="00FC4F2A">
        <w:rPr>
          <w:rFonts w:ascii="Arial" w:eastAsia="Calibri" w:hAnsi="Arial" w:cs="Times New Roman"/>
          <w:sz w:val="24"/>
        </w:rPr>
        <w:br w:type="page"/>
      </w:r>
    </w:p>
    <w:p w14:paraId="346629FA" w14:textId="77777777" w:rsidR="00FC4F2A" w:rsidRPr="00FC4F2A" w:rsidRDefault="00FC4F2A" w:rsidP="00FC4F2A">
      <w:pPr>
        <w:keepNext/>
        <w:keepLines/>
        <w:spacing w:before="120" w:after="120" w:line="480" w:lineRule="auto"/>
        <w:outlineLvl w:val="2"/>
        <w:rPr>
          <w:rFonts w:ascii="Arial" w:eastAsia="Calibri" w:hAnsi="Arial" w:cs="Times New Roman"/>
          <w:b/>
          <w:sz w:val="24"/>
          <w:szCs w:val="24"/>
        </w:rPr>
      </w:pPr>
      <w:r w:rsidRPr="00FC4F2A">
        <w:rPr>
          <w:rFonts w:ascii="Arial" w:eastAsia="Calibri" w:hAnsi="Arial" w:cs="Times New Roman"/>
          <w:b/>
          <w:sz w:val="24"/>
          <w:szCs w:val="24"/>
        </w:rPr>
        <w:lastRenderedPageBreak/>
        <w:t xml:space="preserve">Supplementary Figure 5. Bayesian random-effects pairwise comparisons. (A) PFS hazard ratios. (B) Differences in mean PFS based on fractional polynomial NMA (with anchoring). </w:t>
      </w:r>
    </w:p>
    <w:p w14:paraId="4E653117" w14:textId="77777777" w:rsidR="00FC4F2A" w:rsidRPr="00FC4F2A" w:rsidRDefault="00FC4F2A" w:rsidP="00FC4F2A">
      <w:pPr>
        <w:spacing w:after="0" w:line="480" w:lineRule="auto"/>
        <w:rPr>
          <w:rFonts w:ascii="Arial" w:eastAsia="Calibri" w:hAnsi="Arial" w:cs="Times New Roman"/>
          <w:sz w:val="20"/>
          <w:szCs w:val="20"/>
          <w:lang w:val="en-US"/>
        </w:rPr>
      </w:pPr>
      <w:r w:rsidRPr="00FC4F2A">
        <w:rPr>
          <w:rFonts w:ascii="Arial" w:eastAsia="Calibri" w:hAnsi="Arial" w:cs="Times New Roman"/>
          <w:noProof/>
          <w:sz w:val="20"/>
          <w:szCs w:val="20"/>
          <w:lang w:val="en-US"/>
        </w:rPr>
        <w:drawing>
          <wp:inline distT="0" distB="0" distL="0" distR="0" wp14:anchorId="09CAA5EE" wp14:editId="3E4C645E">
            <wp:extent cx="4945711" cy="4316061"/>
            <wp:effectExtent l="0" t="0" r="7620" b="8890"/>
            <wp:docPr id="26" name="Picture 26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5622" cy="43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90DF5" w14:textId="77777777" w:rsidR="00FC4F2A" w:rsidRPr="00FC4F2A" w:rsidRDefault="00FC4F2A" w:rsidP="00FC4F2A">
      <w:pPr>
        <w:spacing w:after="0" w:line="480" w:lineRule="auto"/>
        <w:rPr>
          <w:rFonts w:ascii="Arial" w:eastAsia="Calibri" w:hAnsi="Arial" w:cs="Times New Roman"/>
          <w:sz w:val="20"/>
          <w:szCs w:val="20"/>
          <w:lang w:val="en-US"/>
        </w:rPr>
      </w:pPr>
      <w:r w:rsidRPr="00FC4F2A">
        <w:rPr>
          <w:rFonts w:ascii="Arial" w:eastAsia="Calibri" w:hAnsi="Arial" w:cs="Times New Roman"/>
          <w:sz w:val="20"/>
          <w:szCs w:val="20"/>
          <w:lang w:val="en-US"/>
        </w:rPr>
        <w:lastRenderedPageBreak/>
        <w:t xml:space="preserve"> </w:t>
      </w:r>
      <w:r w:rsidRPr="00FC4F2A">
        <w:rPr>
          <w:rFonts w:ascii="Arial" w:eastAsia="Calibri" w:hAnsi="Arial" w:cs="Times New Roman"/>
          <w:noProof/>
          <w:sz w:val="20"/>
          <w:szCs w:val="20"/>
          <w:lang w:val="en-US"/>
        </w:rPr>
        <w:drawing>
          <wp:inline distT="0" distB="0" distL="0" distR="0" wp14:anchorId="13B339E0" wp14:editId="5DC0040A">
            <wp:extent cx="5835950" cy="5131064"/>
            <wp:effectExtent l="0" t="0" r="0" b="0"/>
            <wp:docPr id="28" name="Picture 28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char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35950" cy="5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9383D" w14:textId="77777777" w:rsidR="00FC4F2A" w:rsidRPr="00FC4F2A" w:rsidRDefault="00FC4F2A" w:rsidP="00FC4F2A">
      <w:pPr>
        <w:spacing w:after="0" w:line="480" w:lineRule="auto"/>
        <w:rPr>
          <w:rFonts w:ascii="Arial" w:eastAsia="Calibri" w:hAnsi="Arial" w:cs="Times New Roman"/>
          <w:sz w:val="20"/>
          <w:szCs w:val="20"/>
          <w:lang w:val="en-US"/>
        </w:rPr>
      </w:pPr>
      <w:r w:rsidRPr="00FC4F2A">
        <w:rPr>
          <w:rFonts w:ascii="Arial" w:eastAsia="Calibri" w:hAnsi="Arial" w:cs="Times New Roman"/>
          <w:sz w:val="20"/>
          <w:szCs w:val="20"/>
          <w:lang w:val="en-US"/>
        </w:rPr>
        <w:t xml:space="preserve">NMA, network meta-analysis; PFS, progression-free survival; T-DM1, trastuzumab emtansine. </w:t>
      </w:r>
    </w:p>
    <w:p w14:paraId="4D2F3388" w14:textId="77777777" w:rsidR="00FC4F2A" w:rsidRPr="00FC4F2A" w:rsidRDefault="00FC4F2A" w:rsidP="00FC4F2A">
      <w:pPr>
        <w:keepNext/>
        <w:keepLines/>
        <w:spacing w:before="120" w:after="120" w:line="480" w:lineRule="auto"/>
        <w:outlineLvl w:val="2"/>
        <w:rPr>
          <w:rFonts w:ascii="Arial" w:eastAsia="Calibri" w:hAnsi="Arial" w:cs="Times New Roman"/>
          <w:b/>
          <w:sz w:val="24"/>
          <w:szCs w:val="24"/>
        </w:rPr>
      </w:pPr>
      <w:r w:rsidRPr="00FC4F2A">
        <w:rPr>
          <w:rFonts w:ascii="Arial" w:eastAsia="Calibri" w:hAnsi="Arial" w:cs="Times New Roman"/>
          <w:b/>
          <w:sz w:val="24"/>
          <w:szCs w:val="24"/>
        </w:rPr>
        <w:br w:type="page"/>
      </w:r>
      <w:r w:rsidRPr="00FC4F2A">
        <w:rPr>
          <w:rFonts w:ascii="Arial" w:eastAsia="Calibri" w:hAnsi="Arial" w:cs="Times New Roman"/>
          <w:b/>
          <w:sz w:val="24"/>
          <w:szCs w:val="24"/>
        </w:rPr>
        <w:lastRenderedPageBreak/>
        <w:t xml:space="preserve">Supplementary Figure 6. Log(-log(survival)) plots and tests of non-proportionality for trials included in the fractional polynomial NMAs for (A) PFS and (B) OS. </w:t>
      </w:r>
    </w:p>
    <w:p w14:paraId="26D8CB2A" w14:textId="77777777" w:rsidR="00FC4F2A" w:rsidRPr="00FC4F2A" w:rsidRDefault="00FC4F2A" w:rsidP="00FC4F2A">
      <w:pPr>
        <w:spacing w:after="0" w:line="480" w:lineRule="auto"/>
        <w:rPr>
          <w:rFonts w:ascii="Arial" w:eastAsia="Calibri" w:hAnsi="Arial" w:cs="Times New Roman"/>
          <w:sz w:val="24"/>
        </w:rPr>
      </w:pPr>
      <w:r w:rsidRPr="00FC4F2A">
        <w:rPr>
          <w:rFonts w:ascii="Arial" w:eastAsia="Calibri" w:hAnsi="Arial" w:cs="Times New Roman"/>
          <w:b/>
          <w:sz w:val="24"/>
        </w:rPr>
        <w:t>A</w:t>
      </w:r>
      <w:r w:rsidRPr="00FC4F2A">
        <w:rPr>
          <w:rFonts w:ascii="Arial" w:eastAsia="Calibri" w:hAnsi="Arial" w:cs="Times New Roman"/>
          <w:b/>
          <w:noProof/>
          <w:sz w:val="24"/>
        </w:rPr>
        <w:drawing>
          <wp:inline distT="0" distB="0" distL="0" distR="0" wp14:anchorId="2A67E048" wp14:editId="6E13EC2A">
            <wp:extent cx="5943600" cy="3470910"/>
            <wp:effectExtent l="0" t="0" r="0" b="0"/>
            <wp:docPr id="29" name="Picture 29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char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4F2A">
        <w:rPr>
          <w:rFonts w:ascii="Arial" w:eastAsia="Calibri" w:hAnsi="Arial" w:cs="Times New Roman"/>
          <w:b/>
          <w:sz w:val="24"/>
        </w:rPr>
        <w:t>B</w:t>
      </w:r>
      <w:r w:rsidRPr="00FC4F2A">
        <w:rPr>
          <w:rFonts w:ascii="Arial" w:eastAsia="Calibri" w:hAnsi="Arial" w:cs="Times New Roman"/>
          <w:b/>
          <w:noProof/>
          <w:sz w:val="24"/>
        </w:rPr>
        <w:drawing>
          <wp:inline distT="0" distB="0" distL="0" distR="0" wp14:anchorId="0D580870" wp14:editId="054869DD">
            <wp:extent cx="5943600" cy="3540125"/>
            <wp:effectExtent l="0" t="0" r="0" b="3175"/>
            <wp:docPr id="30" name="Picture 30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Chart, scatter char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6CD2B" w14:textId="77777777" w:rsidR="00FC4F2A" w:rsidRPr="00FC4F2A" w:rsidRDefault="00FC4F2A" w:rsidP="00FC4F2A">
      <w:pPr>
        <w:spacing w:after="0" w:line="480" w:lineRule="auto"/>
        <w:rPr>
          <w:rFonts w:ascii="Arial" w:eastAsia="Calibri" w:hAnsi="Arial" w:cs="Times New Roman"/>
          <w:sz w:val="20"/>
          <w:szCs w:val="20"/>
          <w:lang w:val="en-US"/>
        </w:rPr>
      </w:pPr>
      <w:r w:rsidRPr="00FC4F2A">
        <w:rPr>
          <w:rFonts w:ascii="Arial" w:eastAsia="Calibri" w:hAnsi="Arial" w:cs="Times New Roman"/>
          <w:sz w:val="20"/>
          <w:szCs w:val="20"/>
          <w:lang w:val="en-US"/>
        </w:rPr>
        <w:lastRenderedPageBreak/>
        <w:t>Data that meet the proportional hazards assumption will produce approximately parallel survival curves. Additionally, chi-squared tests of proportional hazards assumption are shown on each plot; comparisons that violated this assumption are indicated in red.  OS, overall survival; PFS, progression-free survival; T-DM1, trastuzumab emtansine.</w:t>
      </w:r>
      <w:r w:rsidRPr="00FC4F2A">
        <w:rPr>
          <w:rFonts w:ascii="Arial" w:eastAsia="Calibri" w:hAnsi="Arial" w:cs="Times New Roman"/>
          <w:sz w:val="20"/>
          <w:szCs w:val="20"/>
          <w:lang w:val="en-US"/>
        </w:rPr>
        <w:br w:type="page"/>
      </w:r>
    </w:p>
    <w:p w14:paraId="4829CC54" w14:textId="77777777" w:rsidR="00FC4F2A" w:rsidRPr="00FC4F2A" w:rsidRDefault="00FC4F2A" w:rsidP="00FC4F2A">
      <w:pPr>
        <w:keepNext/>
        <w:keepLines/>
        <w:spacing w:before="120" w:after="120" w:line="480" w:lineRule="auto"/>
        <w:outlineLvl w:val="2"/>
        <w:rPr>
          <w:rFonts w:ascii="Arial" w:eastAsia="Calibri" w:hAnsi="Arial" w:cs="Times New Roman"/>
          <w:b/>
          <w:sz w:val="24"/>
          <w:szCs w:val="24"/>
        </w:rPr>
      </w:pPr>
      <w:r w:rsidRPr="00FC4F2A">
        <w:rPr>
          <w:rFonts w:ascii="Arial" w:eastAsia="Calibri" w:hAnsi="Arial" w:cs="Times New Roman"/>
          <w:b/>
          <w:sz w:val="24"/>
          <w:szCs w:val="24"/>
        </w:rPr>
        <w:lastRenderedPageBreak/>
        <w:t>Supplementary Figure 7. Mean survival estimates based on fractional polynomial analysis. (A) fixed-effects estimates for PFS; (B) random-effects estimates for PFS; (C) fixed-effects estimates for OS; (D) random-effects estimates for OS.</w:t>
      </w:r>
    </w:p>
    <w:p w14:paraId="069086F7" w14:textId="77777777" w:rsidR="00FC4F2A" w:rsidRPr="00FC4F2A" w:rsidRDefault="00FC4F2A" w:rsidP="00FC4F2A">
      <w:pPr>
        <w:spacing w:after="0" w:line="480" w:lineRule="auto"/>
        <w:rPr>
          <w:rFonts w:ascii="Arial" w:eastAsia="Calibri" w:hAnsi="Arial" w:cs="Times New Roman"/>
          <w:b/>
          <w:sz w:val="24"/>
        </w:rPr>
      </w:pPr>
      <w:r w:rsidRPr="00FC4F2A">
        <w:rPr>
          <w:rFonts w:ascii="Arial" w:eastAsia="Calibri" w:hAnsi="Arial" w:cs="Times New Roman"/>
          <w:b/>
          <w:sz w:val="24"/>
        </w:rPr>
        <w:t>A</w:t>
      </w:r>
    </w:p>
    <w:p w14:paraId="71965A0A" w14:textId="77777777" w:rsidR="00FC4F2A" w:rsidRPr="00FC4F2A" w:rsidRDefault="00FC4F2A" w:rsidP="00FC4F2A">
      <w:pPr>
        <w:spacing w:after="0" w:line="480" w:lineRule="auto"/>
        <w:rPr>
          <w:rFonts w:ascii="Arial" w:eastAsia="Calibri" w:hAnsi="Arial" w:cs="Times New Roman"/>
          <w:sz w:val="24"/>
        </w:rPr>
      </w:pPr>
      <w:r w:rsidRPr="00FC4F2A">
        <w:rPr>
          <w:rFonts w:ascii="Arial" w:eastAsia="Calibri" w:hAnsi="Arial" w:cs="Times New Roman"/>
          <w:noProof/>
          <w:sz w:val="24"/>
        </w:rPr>
        <w:drawing>
          <wp:inline distT="0" distB="0" distL="0" distR="0" wp14:anchorId="4611E71A" wp14:editId="37DBA38B">
            <wp:extent cx="4961614" cy="3197485"/>
            <wp:effectExtent l="0" t="0" r="0" b="3175"/>
            <wp:docPr id="1" name="Picture 1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bar char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67430" cy="320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92732" w14:textId="77777777" w:rsidR="00FC4F2A" w:rsidRPr="00FC4F2A" w:rsidRDefault="00FC4F2A" w:rsidP="00FC4F2A">
      <w:pPr>
        <w:spacing w:after="0" w:line="480" w:lineRule="auto"/>
        <w:rPr>
          <w:rFonts w:ascii="Arial" w:eastAsia="Calibri" w:hAnsi="Arial" w:cs="Times New Roman"/>
          <w:b/>
          <w:sz w:val="24"/>
        </w:rPr>
      </w:pPr>
      <w:r w:rsidRPr="00FC4F2A">
        <w:rPr>
          <w:rFonts w:ascii="Arial" w:eastAsia="Calibri" w:hAnsi="Arial" w:cs="Times New Roman"/>
          <w:b/>
          <w:sz w:val="24"/>
        </w:rPr>
        <w:t>B</w:t>
      </w:r>
    </w:p>
    <w:p w14:paraId="6A3182DA" w14:textId="77777777" w:rsidR="00FC4F2A" w:rsidRPr="00FC4F2A" w:rsidRDefault="00FC4F2A" w:rsidP="00FC4F2A">
      <w:pPr>
        <w:spacing w:after="0" w:line="480" w:lineRule="auto"/>
        <w:rPr>
          <w:rFonts w:ascii="Arial" w:eastAsia="Calibri" w:hAnsi="Arial" w:cs="Times New Roman"/>
          <w:sz w:val="24"/>
        </w:rPr>
      </w:pPr>
      <w:r w:rsidRPr="00FC4F2A">
        <w:rPr>
          <w:rFonts w:ascii="Arial" w:eastAsia="Calibri" w:hAnsi="Arial" w:cs="Times New Roman"/>
          <w:noProof/>
          <w:sz w:val="24"/>
        </w:rPr>
        <w:drawing>
          <wp:inline distT="0" distB="0" distL="0" distR="0" wp14:anchorId="001DCFD6" wp14:editId="12BAEB09">
            <wp:extent cx="5079398" cy="3291840"/>
            <wp:effectExtent l="0" t="0" r="6985" b="3810"/>
            <wp:docPr id="47" name="Picture 47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Chart, bar char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1407" cy="329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5CF4C" w14:textId="77777777" w:rsidR="00FC4F2A" w:rsidRPr="00FC4F2A" w:rsidRDefault="00FC4F2A" w:rsidP="00FC4F2A">
      <w:pPr>
        <w:spacing w:after="0" w:line="480" w:lineRule="auto"/>
        <w:rPr>
          <w:rFonts w:ascii="Arial" w:eastAsia="Calibri" w:hAnsi="Arial" w:cs="Times New Roman"/>
          <w:b/>
          <w:sz w:val="24"/>
        </w:rPr>
      </w:pPr>
      <w:r w:rsidRPr="00FC4F2A">
        <w:rPr>
          <w:rFonts w:ascii="Arial" w:eastAsia="Calibri" w:hAnsi="Arial" w:cs="Times New Roman"/>
          <w:b/>
          <w:sz w:val="24"/>
        </w:rPr>
        <w:t>C</w:t>
      </w:r>
    </w:p>
    <w:p w14:paraId="2A9E51E1" w14:textId="77777777" w:rsidR="00FC4F2A" w:rsidRPr="00FC4F2A" w:rsidRDefault="00FC4F2A" w:rsidP="00FC4F2A">
      <w:pPr>
        <w:spacing w:after="0" w:line="480" w:lineRule="auto"/>
        <w:rPr>
          <w:rFonts w:ascii="Arial" w:eastAsia="Calibri" w:hAnsi="Arial" w:cs="Times New Roman"/>
          <w:sz w:val="24"/>
        </w:rPr>
      </w:pPr>
      <w:r w:rsidRPr="00FC4F2A">
        <w:rPr>
          <w:rFonts w:ascii="Arial" w:eastAsia="Calibri" w:hAnsi="Arial" w:cs="Times New Roman"/>
          <w:noProof/>
          <w:sz w:val="24"/>
        </w:rPr>
        <w:lastRenderedPageBreak/>
        <w:drawing>
          <wp:inline distT="0" distB="0" distL="0" distR="0" wp14:anchorId="27D764C8" wp14:editId="0D420A75">
            <wp:extent cx="4874150" cy="3207253"/>
            <wp:effectExtent l="0" t="0" r="3175" b="0"/>
            <wp:docPr id="44" name="Picture 44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Chart, bar char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6691" cy="32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7F238" w14:textId="77777777" w:rsidR="00FC4F2A" w:rsidRPr="00FC4F2A" w:rsidRDefault="00FC4F2A" w:rsidP="00FC4F2A">
      <w:pPr>
        <w:spacing w:after="0" w:line="480" w:lineRule="auto"/>
        <w:rPr>
          <w:rFonts w:ascii="Arial" w:eastAsia="Calibri" w:hAnsi="Arial" w:cs="Times New Roman"/>
          <w:b/>
          <w:sz w:val="24"/>
        </w:rPr>
      </w:pPr>
      <w:r w:rsidRPr="00FC4F2A">
        <w:rPr>
          <w:rFonts w:ascii="Arial" w:eastAsia="Calibri" w:hAnsi="Arial" w:cs="Times New Roman"/>
          <w:b/>
          <w:sz w:val="24"/>
        </w:rPr>
        <w:t>D</w:t>
      </w:r>
    </w:p>
    <w:p w14:paraId="29D3FAC7" w14:textId="77777777" w:rsidR="00FC4F2A" w:rsidRPr="00FC4F2A" w:rsidRDefault="00FC4F2A" w:rsidP="00FC4F2A">
      <w:pPr>
        <w:spacing w:after="0" w:line="480" w:lineRule="auto"/>
        <w:rPr>
          <w:rFonts w:ascii="Arial" w:eastAsia="Calibri" w:hAnsi="Arial" w:cs="Times New Roman"/>
          <w:b/>
          <w:sz w:val="24"/>
        </w:rPr>
      </w:pPr>
      <w:r w:rsidRPr="00FC4F2A">
        <w:rPr>
          <w:rFonts w:ascii="Arial" w:eastAsia="Calibri" w:hAnsi="Arial" w:cs="Times New Roman"/>
          <w:noProof/>
          <w:sz w:val="24"/>
        </w:rPr>
        <w:drawing>
          <wp:inline distT="0" distB="0" distL="0" distR="0" wp14:anchorId="3997E03A" wp14:editId="1281F3FB">
            <wp:extent cx="4873625" cy="3155360"/>
            <wp:effectExtent l="0" t="0" r="3175" b="6985"/>
            <wp:docPr id="43" name="Picture 43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Chart, bar char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81074" cy="316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4F2A">
        <w:rPr>
          <w:rFonts w:ascii="Arial" w:eastAsia="Calibri" w:hAnsi="Arial" w:cs="Times New Roman"/>
          <w:sz w:val="24"/>
        </w:rPr>
        <w:br w:type="page"/>
      </w:r>
    </w:p>
    <w:p w14:paraId="4448731E" w14:textId="77777777" w:rsidR="00FC4F2A" w:rsidRPr="00FC4F2A" w:rsidRDefault="00FC4F2A" w:rsidP="00FC4F2A">
      <w:pPr>
        <w:keepNext/>
        <w:keepLines/>
        <w:spacing w:before="120" w:after="120" w:line="480" w:lineRule="auto"/>
        <w:outlineLvl w:val="2"/>
        <w:rPr>
          <w:rFonts w:ascii="Arial" w:eastAsia="Calibri" w:hAnsi="Arial" w:cs="Times New Roman"/>
          <w:b/>
          <w:sz w:val="24"/>
          <w:szCs w:val="24"/>
        </w:rPr>
      </w:pPr>
      <w:r w:rsidRPr="00FC4F2A">
        <w:rPr>
          <w:rFonts w:ascii="Arial" w:eastAsia="Calibri" w:hAnsi="Arial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1E798EAC" wp14:editId="38630F96">
            <wp:simplePos x="0" y="0"/>
            <wp:positionH relativeFrom="column">
              <wp:posOffset>117544</wp:posOffset>
            </wp:positionH>
            <wp:positionV relativeFrom="paragraph">
              <wp:posOffset>526855</wp:posOffset>
            </wp:positionV>
            <wp:extent cx="5054400" cy="1587600"/>
            <wp:effectExtent l="0" t="0" r="0" b="0"/>
            <wp:wrapTopAndBottom/>
            <wp:docPr id="25" name="Picture 25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hart, box and whisker char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400" cy="15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4F2A">
        <w:rPr>
          <w:rFonts w:ascii="Arial" w:eastAsia="Calibri" w:hAnsi="Arial" w:cs="Times New Roman"/>
          <w:b/>
          <w:sz w:val="24"/>
          <w:szCs w:val="24"/>
        </w:rPr>
        <w:t xml:space="preserve">Supplementary Figure 8. Analysis of heterogeneity between duplicate comparisons of OS.  </w:t>
      </w:r>
    </w:p>
    <w:p w14:paraId="2A752309" w14:textId="77777777" w:rsidR="00FC4F2A" w:rsidRPr="00FC4F2A" w:rsidRDefault="00FC4F2A" w:rsidP="00FC4F2A">
      <w:pPr>
        <w:spacing w:after="0" w:line="480" w:lineRule="auto"/>
        <w:rPr>
          <w:rFonts w:ascii="Arial" w:eastAsia="Calibri" w:hAnsi="Arial" w:cs="Times New Roman"/>
          <w:sz w:val="20"/>
          <w:szCs w:val="20"/>
          <w:lang w:val="en-US"/>
        </w:rPr>
      </w:pPr>
      <w:r w:rsidRPr="00FC4F2A">
        <w:rPr>
          <w:rFonts w:ascii="Arial" w:eastAsia="Calibri" w:hAnsi="Arial" w:cs="Times New Roman"/>
          <w:sz w:val="20"/>
          <w:szCs w:val="20"/>
          <w:lang w:val="en-US"/>
        </w:rPr>
        <w:t>Higgins I2 = 63.738%; Cochran’s Q = 2.758 (P = 0.097). OS, overall survival; T-DM1, trastuzumab emtansine.</w:t>
      </w:r>
    </w:p>
    <w:p w14:paraId="6ACDE1A4" w14:textId="77777777" w:rsidR="00FC4F2A" w:rsidRPr="00FC4F2A" w:rsidRDefault="00FC4F2A" w:rsidP="00FC4F2A">
      <w:pPr>
        <w:rPr>
          <w:rFonts w:ascii="Arial" w:eastAsia="Calibri" w:hAnsi="Arial" w:cs="Times New Roman"/>
          <w:sz w:val="20"/>
          <w:szCs w:val="20"/>
          <w:lang w:val="en-US"/>
        </w:rPr>
      </w:pPr>
      <w:r w:rsidRPr="00FC4F2A">
        <w:rPr>
          <w:rFonts w:ascii="Arial" w:eastAsia="Calibri" w:hAnsi="Arial" w:cs="Times New Roman"/>
          <w:sz w:val="24"/>
        </w:rPr>
        <w:br w:type="page"/>
      </w:r>
    </w:p>
    <w:p w14:paraId="77563474" w14:textId="77777777" w:rsidR="00FC4F2A" w:rsidRPr="00FC4F2A" w:rsidRDefault="00FC4F2A" w:rsidP="00FC4F2A">
      <w:pPr>
        <w:keepNext/>
        <w:keepLines/>
        <w:spacing w:before="120" w:after="120" w:line="480" w:lineRule="auto"/>
        <w:outlineLvl w:val="2"/>
        <w:rPr>
          <w:rFonts w:ascii="Arial" w:eastAsia="Calibri" w:hAnsi="Arial" w:cs="Times New Roman"/>
          <w:b/>
          <w:sz w:val="24"/>
          <w:szCs w:val="24"/>
        </w:rPr>
      </w:pPr>
      <w:r w:rsidRPr="00FC4F2A">
        <w:rPr>
          <w:rFonts w:ascii="Arial" w:eastAsia="Calibri" w:hAnsi="Arial" w:cs="Times New Roman"/>
          <w:b/>
          <w:sz w:val="24"/>
          <w:szCs w:val="24"/>
        </w:rPr>
        <w:lastRenderedPageBreak/>
        <w:t xml:space="preserve">Supplementary Figure 9. SUCRA scores for Bayesian fixed-effects analysis of (A) OS hazard ratios and (B) differences in mean OS based on fractional polynomial NMA (with anchoring). </w:t>
      </w:r>
      <w:r w:rsidRPr="00FC4F2A">
        <w:rPr>
          <w:rFonts w:ascii="Arial" w:eastAsia="Calibri" w:hAnsi="Arial" w:cs="Times New Roman"/>
          <w:b/>
          <w:noProof/>
          <w:sz w:val="24"/>
          <w:szCs w:val="24"/>
        </w:rPr>
        <w:drawing>
          <wp:inline distT="0" distB="0" distL="0" distR="0" wp14:anchorId="4B59C2AF" wp14:editId="4D8EA192">
            <wp:extent cx="4643562" cy="2984083"/>
            <wp:effectExtent l="0" t="0" r="5080" b="6985"/>
            <wp:docPr id="48" name="Picture 48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Chart, bar char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53299" cy="2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74B4A" w14:textId="77777777" w:rsidR="00FC4F2A" w:rsidRPr="00FC4F2A" w:rsidRDefault="00FC4F2A" w:rsidP="00FC4F2A">
      <w:pPr>
        <w:spacing w:after="0" w:line="480" w:lineRule="auto"/>
        <w:rPr>
          <w:rFonts w:ascii="Arial" w:eastAsia="Calibri" w:hAnsi="Arial" w:cs="Times New Roman"/>
          <w:sz w:val="24"/>
        </w:rPr>
      </w:pPr>
      <w:r w:rsidRPr="00FC4F2A">
        <w:rPr>
          <w:rFonts w:ascii="Arial" w:eastAsia="Calibri" w:hAnsi="Arial" w:cs="Times New Roman"/>
          <w:noProof/>
          <w:sz w:val="24"/>
        </w:rPr>
        <w:drawing>
          <wp:inline distT="0" distB="0" distL="0" distR="0" wp14:anchorId="73D92A63" wp14:editId="6D3C1BB0">
            <wp:extent cx="4715123" cy="3093040"/>
            <wp:effectExtent l="0" t="0" r="0" b="0"/>
            <wp:docPr id="49" name="Picture 49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Chart, bar char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29259" cy="310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0272F" w14:textId="77777777" w:rsidR="00FC4F2A" w:rsidRPr="00FC4F2A" w:rsidRDefault="00FC4F2A" w:rsidP="00FC4F2A">
      <w:pPr>
        <w:spacing w:after="0" w:line="480" w:lineRule="auto"/>
        <w:rPr>
          <w:rFonts w:ascii="Arial" w:eastAsia="Calibri" w:hAnsi="Arial" w:cs="Times New Roman"/>
          <w:sz w:val="20"/>
          <w:szCs w:val="20"/>
          <w:lang w:val="en-US"/>
        </w:rPr>
      </w:pPr>
      <w:r w:rsidRPr="00FC4F2A">
        <w:rPr>
          <w:rFonts w:ascii="Arial" w:eastAsia="Calibri" w:hAnsi="Arial" w:cs="Times New Roman"/>
          <w:sz w:val="20"/>
          <w:szCs w:val="20"/>
          <w:lang w:val="en-US"/>
        </w:rPr>
        <w:t xml:space="preserve">NMA, network meta-analysis; OS, overall survival; PFS, progression-free survival; SUCRA, surface under the cumulative </w:t>
      </w:r>
      <w:proofErr w:type="spellStart"/>
      <w:r w:rsidRPr="00FC4F2A">
        <w:rPr>
          <w:rFonts w:ascii="Arial" w:eastAsia="Calibri" w:hAnsi="Arial" w:cs="Times New Roman"/>
          <w:sz w:val="20"/>
          <w:szCs w:val="20"/>
          <w:lang w:val="en-US"/>
        </w:rPr>
        <w:t>rankogram</w:t>
      </w:r>
      <w:proofErr w:type="spellEnd"/>
      <w:r w:rsidRPr="00FC4F2A">
        <w:rPr>
          <w:rFonts w:ascii="Arial" w:eastAsia="Calibri" w:hAnsi="Arial" w:cs="Times New Roman"/>
          <w:sz w:val="20"/>
          <w:szCs w:val="20"/>
          <w:lang w:val="en-US"/>
        </w:rPr>
        <w:t xml:space="preserve">; T-DM1, trastuzumab emtansine. </w:t>
      </w:r>
    </w:p>
    <w:p w14:paraId="1E6BECA0" w14:textId="77777777" w:rsidR="00FC4F2A" w:rsidRPr="00FC4F2A" w:rsidRDefault="00FC4F2A" w:rsidP="00FC4F2A">
      <w:pPr>
        <w:rPr>
          <w:rFonts w:ascii="Arial" w:eastAsia="Calibri" w:hAnsi="Arial" w:cs="Times New Roman"/>
          <w:b/>
          <w:sz w:val="24"/>
          <w:szCs w:val="24"/>
        </w:rPr>
      </w:pPr>
      <w:r w:rsidRPr="00FC4F2A">
        <w:rPr>
          <w:rFonts w:ascii="Arial" w:eastAsia="Calibri" w:hAnsi="Arial" w:cs="Times New Roman"/>
          <w:sz w:val="24"/>
        </w:rPr>
        <w:br w:type="page"/>
      </w:r>
    </w:p>
    <w:p w14:paraId="2D617298" w14:textId="77777777" w:rsidR="00FC4F2A" w:rsidRPr="00FC4F2A" w:rsidRDefault="00FC4F2A" w:rsidP="00FC4F2A">
      <w:pPr>
        <w:keepNext/>
        <w:keepLines/>
        <w:spacing w:before="120" w:after="120" w:line="480" w:lineRule="auto"/>
        <w:outlineLvl w:val="2"/>
        <w:rPr>
          <w:rFonts w:ascii="Arial" w:eastAsia="Calibri" w:hAnsi="Arial" w:cs="Times New Roman"/>
          <w:b/>
          <w:sz w:val="24"/>
          <w:szCs w:val="24"/>
          <w:lang w:val="en-US"/>
        </w:rPr>
      </w:pPr>
      <w:r w:rsidRPr="00FC4F2A">
        <w:rPr>
          <w:rFonts w:ascii="Arial" w:eastAsia="Calibri" w:hAnsi="Arial" w:cs="Times New Roman"/>
          <w:b/>
          <w:sz w:val="24"/>
          <w:szCs w:val="24"/>
          <w:lang w:val="en-US"/>
        </w:rPr>
        <w:lastRenderedPageBreak/>
        <w:t xml:space="preserve">Supplementary Figure 10. Bayesian random-effects pairwise comparisons.  (A) OS hazard ratios. (B) Differences in mean OS based on fractional polynomial NMA (with anchoring). </w:t>
      </w:r>
    </w:p>
    <w:p w14:paraId="0E75FB1A" w14:textId="77777777" w:rsidR="00FC4F2A" w:rsidRPr="00FC4F2A" w:rsidRDefault="00FC4F2A" w:rsidP="00FC4F2A">
      <w:pPr>
        <w:spacing w:after="0" w:line="480" w:lineRule="auto"/>
        <w:rPr>
          <w:rFonts w:ascii="Arial" w:eastAsia="Calibri" w:hAnsi="Arial" w:cs="Times New Roman"/>
          <w:sz w:val="24"/>
          <w:lang w:val="en-US"/>
        </w:rPr>
      </w:pPr>
      <w:r w:rsidRPr="00FC4F2A">
        <w:rPr>
          <w:rFonts w:ascii="Arial" w:eastAsia="Calibri" w:hAnsi="Arial" w:cs="Times New Roman"/>
          <w:noProof/>
          <w:sz w:val="24"/>
          <w:lang w:val="en-US"/>
        </w:rPr>
        <w:drawing>
          <wp:inline distT="0" distB="0" distL="0" distR="0" wp14:anchorId="35FF155E" wp14:editId="15E37651">
            <wp:extent cx="5848651" cy="5131064"/>
            <wp:effectExtent l="0" t="0" r="0" b="0"/>
            <wp:docPr id="34" name="Picture 34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application, tabl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48651" cy="5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ECBAA" w14:textId="77777777" w:rsidR="00FC4F2A" w:rsidRPr="00FC4F2A" w:rsidRDefault="00FC4F2A" w:rsidP="00FC4F2A">
      <w:pPr>
        <w:spacing w:after="0" w:line="480" w:lineRule="auto"/>
        <w:rPr>
          <w:rFonts w:ascii="Arial" w:eastAsia="Calibri" w:hAnsi="Arial" w:cs="Times New Roman"/>
          <w:sz w:val="24"/>
          <w:lang w:val="en-US"/>
        </w:rPr>
      </w:pPr>
      <w:r w:rsidRPr="00FC4F2A">
        <w:rPr>
          <w:rFonts w:ascii="Arial" w:eastAsia="Calibri" w:hAnsi="Arial" w:cs="Times New Roman"/>
          <w:noProof/>
          <w:sz w:val="24"/>
          <w:lang w:val="en-US"/>
        </w:rPr>
        <w:lastRenderedPageBreak/>
        <w:drawing>
          <wp:inline distT="0" distB="0" distL="0" distR="0" wp14:anchorId="523EB99F" wp14:editId="4B63EB71">
            <wp:extent cx="5848651" cy="4858000"/>
            <wp:effectExtent l="0" t="0" r="0" b="0"/>
            <wp:docPr id="42" name="Picture 42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tabl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48651" cy="4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4F2A">
        <w:rPr>
          <w:rFonts w:ascii="Arial" w:eastAsia="Calibri" w:hAnsi="Arial" w:cs="Times New Roman"/>
          <w:sz w:val="24"/>
          <w:lang w:val="en-US"/>
        </w:rPr>
        <w:t xml:space="preserve"> </w:t>
      </w:r>
    </w:p>
    <w:p w14:paraId="214833F1" w14:textId="77777777" w:rsidR="00FC4F2A" w:rsidRPr="00FC4F2A" w:rsidRDefault="00FC4F2A" w:rsidP="00FC4F2A">
      <w:pPr>
        <w:spacing w:after="0" w:line="480" w:lineRule="auto"/>
        <w:rPr>
          <w:rFonts w:ascii="Arial" w:eastAsia="Calibri" w:hAnsi="Arial" w:cs="Times New Roman"/>
          <w:sz w:val="20"/>
          <w:szCs w:val="20"/>
          <w:lang w:val="en-US"/>
        </w:rPr>
      </w:pPr>
      <w:r w:rsidRPr="00FC4F2A">
        <w:rPr>
          <w:rFonts w:ascii="Arial" w:eastAsia="Calibri" w:hAnsi="Arial" w:cs="Times New Roman"/>
          <w:sz w:val="20"/>
          <w:szCs w:val="20"/>
          <w:lang w:val="en-US"/>
        </w:rPr>
        <w:t xml:space="preserve">NMA, network meta-analysis; OS, overall survival. </w:t>
      </w:r>
    </w:p>
    <w:p w14:paraId="73AA50EF" w14:textId="77777777" w:rsidR="00F42F9E" w:rsidRDefault="00F42F9E"/>
    <w:sectPr w:rsidR="00F42F9E">
      <w:pgSz w:w="12240" w:h="15840"/>
      <w:pgMar w:top="1009" w:right="1440" w:bottom="720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F2A"/>
    <w:rsid w:val="00F42F9E"/>
    <w:rsid w:val="00FC4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A0C2C"/>
  <w15:chartTrackingRefBased/>
  <w15:docId w15:val="{8259F0D3-74F9-4EA8-A506-4878133D4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4F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464</Words>
  <Characters>2651</Characters>
  <Application>Microsoft Office Word</Application>
  <DocSecurity>0</DocSecurity>
  <Lines>22</Lines>
  <Paragraphs>6</Paragraphs>
  <ScaleCrop>false</ScaleCrop>
  <Company/>
  <LinksUpToDate>false</LinksUpToDate>
  <CharactersWithSpaces>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Todd</dc:creator>
  <cp:keywords/>
  <dc:description/>
  <cp:lastModifiedBy>Johanna Todd</cp:lastModifiedBy>
  <cp:revision>1</cp:revision>
  <dcterms:created xsi:type="dcterms:W3CDTF">2021-08-06T10:57:00Z</dcterms:created>
  <dcterms:modified xsi:type="dcterms:W3CDTF">2021-08-06T10:57:00Z</dcterms:modified>
</cp:coreProperties>
</file>