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1E74" w14:textId="77777777" w:rsidR="00A72739" w:rsidRPr="00A72739" w:rsidRDefault="00A72739" w:rsidP="00A72739">
      <w:pPr>
        <w:spacing w:before="240" w:after="0"/>
        <w:rPr>
          <w:b/>
          <w:bCs/>
        </w:rPr>
      </w:pPr>
      <w:r w:rsidRPr="00A72739">
        <w:rPr>
          <w:b/>
          <w:bCs/>
        </w:rPr>
        <mc:AlternateContent>
          <mc:Choice Requires="wps">
            <w:drawing>
              <wp:anchor distT="0" distB="0" distL="114300" distR="114300" simplePos="0" relativeHeight="251659264" behindDoc="0" locked="0" layoutInCell="1" allowOverlap="1" wp14:anchorId="20AA21AF" wp14:editId="39DAEC60">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708FDE" id="Rectangle 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w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o&#10;MUzjEz2iaMyslSC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biexw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Pr="00A72739">
        <w:rPr>
          <w:b/>
          <w:bCs/>
        </w:rPr>
        <w:t>Supplementary Resources for The Future of Oncology Care Requires Integration of Patient Engagement and Equity into Practice</w:t>
      </w:r>
    </w:p>
    <w:p w14:paraId="4E76952E" w14:textId="77777777" w:rsidR="00A72739" w:rsidRDefault="00A72739" w:rsidP="00627259">
      <w:pPr>
        <w:spacing w:before="240" w:after="0"/>
        <w:ind w:left="720" w:hanging="360"/>
      </w:pPr>
    </w:p>
    <w:p w14:paraId="2A6E3257" w14:textId="6A5185BD" w:rsidR="00DE3E34" w:rsidRPr="00A62478" w:rsidRDefault="00DE3E34" w:rsidP="00627259">
      <w:pPr>
        <w:pStyle w:val="ListParagraph"/>
        <w:numPr>
          <w:ilvl w:val="0"/>
          <w:numId w:val="1"/>
        </w:numPr>
        <w:spacing w:before="240" w:after="0"/>
        <w:contextualSpacing w:val="0"/>
        <w:rPr>
          <w:rFonts w:cstheme="minorHAnsi"/>
        </w:rPr>
      </w:pPr>
      <w:r w:rsidRPr="00A62478">
        <w:rPr>
          <w:rFonts w:cstheme="minorHAnsi"/>
        </w:rPr>
        <w:t>Co-Creating Global Capacity for Systematic Patient Engagement, DIA Global Forum</w:t>
      </w:r>
    </w:p>
    <w:p w14:paraId="54849061" w14:textId="394EB88D" w:rsidR="00DE3E34" w:rsidRPr="00A62478" w:rsidRDefault="00DE3E34" w:rsidP="00627259">
      <w:pPr>
        <w:pStyle w:val="ListParagraph"/>
        <w:spacing w:before="240" w:after="0"/>
        <w:contextualSpacing w:val="0"/>
        <w:rPr>
          <w:rFonts w:cstheme="minorHAnsi"/>
        </w:rPr>
      </w:pPr>
      <w:r w:rsidRPr="00A62478">
        <w:rPr>
          <w:rFonts w:cstheme="minorHAnsi"/>
        </w:rPr>
        <w:t xml:space="preserve">Summary of global training programs/tools and toolkits focused on patient engagement in drug development </w:t>
      </w:r>
      <w:hyperlink r:id="rId7" w:history="1">
        <w:r w:rsidRPr="00A62478">
          <w:rPr>
            <w:rStyle w:val="Hyperlink"/>
            <w:rFonts w:cstheme="minorHAnsi"/>
          </w:rPr>
          <w:t>https://globalforum.diaglobal.org/issue/april-2021/co-creating-global-capacity-for-systematic-patient-engagement/</w:t>
        </w:r>
      </w:hyperlink>
    </w:p>
    <w:p w14:paraId="215F5376" w14:textId="0BED50E0" w:rsidR="008B10FD" w:rsidRPr="00A62478" w:rsidRDefault="008B10FD" w:rsidP="00627259">
      <w:pPr>
        <w:pStyle w:val="ListParagraph"/>
        <w:numPr>
          <w:ilvl w:val="0"/>
          <w:numId w:val="1"/>
        </w:numPr>
        <w:spacing w:before="240" w:after="0"/>
        <w:contextualSpacing w:val="0"/>
        <w:rPr>
          <w:rFonts w:cstheme="minorHAnsi"/>
          <w:i/>
          <w:iCs/>
        </w:rPr>
      </w:pPr>
      <w:r w:rsidRPr="00A62478">
        <w:rPr>
          <w:rFonts w:cstheme="minorHAnsi"/>
          <w:i/>
          <w:iCs/>
        </w:rPr>
        <w:t>Racial Healing Handbook</w:t>
      </w:r>
    </w:p>
    <w:p w14:paraId="2A445514" w14:textId="2CDBCF1C" w:rsidR="008B10FD" w:rsidRPr="00A62478" w:rsidRDefault="008B10FD" w:rsidP="00627259">
      <w:pPr>
        <w:pStyle w:val="ListParagraph"/>
        <w:spacing w:before="240" w:after="0"/>
        <w:contextualSpacing w:val="0"/>
        <w:rPr>
          <w:rFonts w:cstheme="minorHAnsi"/>
        </w:rPr>
      </w:pPr>
      <w:r w:rsidRPr="00A62478">
        <w:rPr>
          <w:rFonts w:cstheme="minorHAnsi"/>
        </w:rPr>
        <w:t xml:space="preserve">Practical Activities to Help You Challenge Privilege, Confront Systemic Racism, and Engage in Collective Healing </w:t>
      </w:r>
      <w:hyperlink r:id="rId8" w:history="1">
        <w:r w:rsidRPr="00A62478">
          <w:rPr>
            <w:rStyle w:val="Hyperlink"/>
            <w:rFonts w:cstheme="minorHAnsi"/>
          </w:rPr>
          <w:t>https://www.newharbinger.com/9781684032709/the-racial-healing-handbook/</w:t>
        </w:r>
      </w:hyperlink>
    </w:p>
    <w:p w14:paraId="1D1F68E4" w14:textId="77777777" w:rsidR="008B10FD" w:rsidRPr="00A62478" w:rsidRDefault="008B10FD" w:rsidP="00627259">
      <w:pPr>
        <w:pStyle w:val="ListParagraph"/>
        <w:numPr>
          <w:ilvl w:val="0"/>
          <w:numId w:val="1"/>
        </w:numPr>
        <w:spacing w:before="240" w:after="0"/>
        <w:contextualSpacing w:val="0"/>
        <w:rPr>
          <w:rFonts w:cstheme="minorHAnsi"/>
        </w:rPr>
      </w:pPr>
      <w:r w:rsidRPr="00A62478">
        <w:rPr>
          <w:rFonts w:cstheme="minorHAnsi"/>
          <w:i/>
          <w:iCs/>
        </w:rPr>
        <w:t>Me and White Supremacy</w:t>
      </w:r>
      <w:r w:rsidRPr="00A62478">
        <w:rPr>
          <w:rFonts w:cstheme="minorHAnsi"/>
        </w:rPr>
        <w:t>, Layla F. Saad. Workbook “leads readers through a journey of understanding their white privilege and participation in white supremacy, so that they can stop (often unconsciously) inflicting damage on Black, Indigenous and People of Color, and in turn, help other white people do better, too.” https://www.meandwhitesupremacybook.com/</w:t>
      </w:r>
    </w:p>
    <w:p w14:paraId="57F37357" w14:textId="3873FC14" w:rsidR="000A0E0D" w:rsidRPr="00A62478" w:rsidRDefault="000A0E0D" w:rsidP="00627259">
      <w:pPr>
        <w:pStyle w:val="ListParagraph"/>
        <w:numPr>
          <w:ilvl w:val="0"/>
          <w:numId w:val="1"/>
        </w:numPr>
        <w:spacing w:before="240" w:after="0"/>
        <w:contextualSpacing w:val="0"/>
        <w:rPr>
          <w:rFonts w:cstheme="minorHAnsi"/>
        </w:rPr>
      </w:pPr>
      <w:r w:rsidRPr="00A62478">
        <w:rPr>
          <w:rFonts w:cstheme="minorHAnsi"/>
          <w:i/>
          <w:iCs/>
        </w:rPr>
        <w:t>Caste</w:t>
      </w:r>
      <w:r w:rsidRPr="00A62478">
        <w:rPr>
          <w:rFonts w:cstheme="minorHAnsi"/>
        </w:rPr>
        <w:t xml:space="preserve">, Isabel Wilkerson. History of the structure of “unspoken system of human ranking” in today’s society. </w:t>
      </w:r>
      <w:hyperlink r:id="rId9" w:history="1">
        <w:r w:rsidRPr="00A62478">
          <w:rPr>
            <w:rStyle w:val="Hyperlink"/>
            <w:rFonts w:cstheme="minorHAnsi"/>
          </w:rPr>
          <w:t>https://www.isabelwilkerson.com</w:t>
        </w:r>
      </w:hyperlink>
    </w:p>
    <w:p w14:paraId="2D63627F" w14:textId="2943BCD2" w:rsidR="000A0E0D" w:rsidRPr="00A62478" w:rsidRDefault="000A0E0D" w:rsidP="00627259">
      <w:pPr>
        <w:pStyle w:val="ListParagraph"/>
        <w:numPr>
          <w:ilvl w:val="0"/>
          <w:numId w:val="1"/>
        </w:numPr>
        <w:spacing w:before="240" w:after="0"/>
        <w:contextualSpacing w:val="0"/>
        <w:rPr>
          <w:rFonts w:cstheme="minorHAnsi"/>
        </w:rPr>
      </w:pPr>
      <w:r w:rsidRPr="00A62478">
        <w:rPr>
          <w:rFonts w:cstheme="minorHAnsi"/>
          <w:i/>
          <w:iCs/>
        </w:rPr>
        <w:t>Medical Apartheid,</w:t>
      </w:r>
      <w:r w:rsidRPr="00A62478">
        <w:rPr>
          <w:rFonts w:cstheme="minorHAnsi"/>
        </w:rPr>
        <w:t xml:space="preserve"> Harriet Washington. </w:t>
      </w:r>
      <w:r w:rsidR="00C5484A" w:rsidRPr="00A62478">
        <w:rPr>
          <w:rFonts w:cstheme="minorHAnsi"/>
        </w:rPr>
        <w:t>History of medical experimentation on Black Americans. https://www.penguinrandomhouse.com/books/185986/medical-apartheid-by-harriet-a-washington/</w:t>
      </w:r>
    </w:p>
    <w:p w14:paraId="25463567" w14:textId="2A2E4CEA" w:rsidR="00B97B29" w:rsidRDefault="00B97B29" w:rsidP="00627259">
      <w:pPr>
        <w:pStyle w:val="ListParagraph"/>
        <w:numPr>
          <w:ilvl w:val="0"/>
          <w:numId w:val="1"/>
        </w:numPr>
        <w:spacing w:before="240" w:after="0"/>
        <w:contextualSpacing w:val="0"/>
        <w:rPr>
          <w:rFonts w:cstheme="minorHAnsi"/>
        </w:rPr>
      </w:pPr>
      <w:r w:rsidRPr="00B97B29">
        <w:rPr>
          <w:rFonts w:cstheme="minorHAnsi"/>
        </w:rPr>
        <w:t xml:space="preserve">Sine S, de Bruin A, Getz K. Patient Engagement Initiatives in Clinical Trials: Recent Trends and Implications. </w:t>
      </w:r>
      <w:proofErr w:type="spellStart"/>
      <w:r w:rsidRPr="000C3B75">
        <w:rPr>
          <w:rFonts w:cstheme="minorHAnsi"/>
          <w:i/>
          <w:iCs/>
        </w:rPr>
        <w:t>Ther</w:t>
      </w:r>
      <w:proofErr w:type="spellEnd"/>
      <w:r w:rsidRPr="000C3B75">
        <w:rPr>
          <w:rFonts w:cstheme="minorHAnsi"/>
          <w:i/>
          <w:iCs/>
        </w:rPr>
        <w:t xml:space="preserve"> </w:t>
      </w:r>
      <w:proofErr w:type="spellStart"/>
      <w:r w:rsidRPr="000C3B75">
        <w:rPr>
          <w:rFonts w:cstheme="minorHAnsi"/>
          <w:i/>
          <w:iCs/>
        </w:rPr>
        <w:t>Innov</w:t>
      </w:r>
      <w:proofErr w:type="spellEnd"/>
      <w:r w:rsidRPr="000C3B75">
        <w:rPr>
          <w:rFonts w:cstheme="minorHAnsi"/>
          <w:i/>
          <w:iCs/>
        </w:rPr>
        <w:t xml:space="preserve"> </w:t>
      </w:r>
      <w:proofErr w:type="spellStart"/>
      <w:r w:rsidRPr="000C3B75">
        <w:rPr>
          <w:rFonts w:cstheme="minorHAnsi"/>
          <w:i/>
          <w:iCs/>
        </w:rPr>
        <w:t>Regul</w:t>
      </w:r>
      <w:proofErr w:type="spellEnd"/>
      <w:r w:rsidRPr="000C3B75">
        <w:rPr>
          <w:rFonts w:cstheme="minorHAnsi"/>
          <w:i/>
          <w:iCs/>
        </w:rPr>
        <w:t xml:space="preserve"> Sci</w:t>
      </w:r>
      <w:r w:rsidRPr="00B97B29">
        <w:rPr>
          <w:rFonts w:cstheme="minorHAnsi"/>
        </w:rPr>
        <w:t xml:space="preserve">. </w:t>
      </w:r>
      <w:proofErr w:type="spellStart"/>
      <w:r w:rsidR="000C3B75" w:rsidRPr="000C3B75">
        <w:rPr>
          <w:rFonts w:cstheme="minorHAnsi"/>
        </w:rPr>
        <w:t>doi</w:t>
      </w:r>
      <w:proofErr w:type="spellEnd"/>
      <w:r w:rsidR="000C3B75" w:rsidRPr="000C3B75">
        <w:rPr>
          <w:rFonts w:cstheme="minorHAnsi"/>
        </w:rPr>
        <w:t>: 10.1007/s43441-021-00306-</w:t>
      </w:r>
      <w:r w:rsidR="000C3B75">
        <w:rPr>
          <w:rFonts w:cstheme="minorHAnsi"/>
        </w:rPr>
        <w:t>8</w:t>
      </w:r>
      <w:r w:rsidR="000C3B75" w:rsidRPr="000C3B75">
        <w:rPr>
          <w:rFonts w:cstheme="minorHAnsi"/>
        </w:rPr>
        <w:t xml:space="preserve"> </w:t>
      </w:r>
      <w:r w:rsidR="000C3B75">
        <w:rPr>
          <w:rFonts w:cstheme="minorHAnsi"/>
        </w:rPr>
        <w:t>(2021) (</w:t>
      </w:r>
      <w:proofErr w:type="spellStart"/>
      <w:r w:rsidR="000C3B75">
        <w:rPr>
          <w:rFonts w:cstheme="minorHAnsi"/>
        </w:rPr>
        <w:t>Epub</w:t>
      </w:r>
      <w:proofErr w:type="spellEnd"/>
      <w:r w:rsidR="000C3B75">
        <w:rPr>
          <w:rFonts w:cstheme="minorHAnsi"/>
        </w:rPr>
        <w:t xml:space="preserve"> ahead of print).</w:t>
      </w:r>
    </w:p>
    <w:p w14:paraId="390624D4" w14:textId="5ED17A1B" w:rsidR="008B10FD" w:rsidRPr="00A62478" w:rsidRDefault="008B10FD" w:rsidP="00627259">
      <w:pPr>
        <w:pStyle w:val="ListParagraph"/>
        <w:numPr>
          <w:ilvl w:val="0"/>
          <w:numId w:val="1"/>
        </w:numPr>
        <w:spacing w:before="240" w:after="0"/>
        <w:contextualSpacing w:val="0"/>
        <w:rPr>
          <w:rFonts w:cstheme="minorHAnsi"/>
        </w:rPr>
      </w:pPr>
      <w:r w:rsidRPr="00A62478">
        <w:rPr>
          <w:rFonts w:cstheme="minorHAnsi"/>
        </w:rPr>
        <w:t>Enhancing the Diversity of Clinical Trial Populations — Eligibility Criteria, Enrollment Practices, and Trial Designs, FDA Guidance for Industry</w:t>
      </w:r>
    </w:p>
    <w:p w14:paraId="3BBF9D47" w14:textId="77777777" w:rsidR="008B10FD" w:rsidRPr="00A62478" w:rsidRDefault="008B10FD" w:rsidP="00627259">
      <w:pPr>
        <w:pStyle w:val="ListParagraph"/>
        <w:spacing w:before="240" w:after="0"/>
        <w:contextualSpacing w:val="0"/>
        <w:rPr>
          <w:rFonts w:cstheme="minorHAnsi"/>
        </w:rPr>
      </w:pPr>
      <w:r w:rsidRPr="00A62478">
        <w:rPr>
          <w:rFonts w:cstheme="minorHAnsi"/>
        </w:rPr>
        <w:t xml:space="preserve">Recommended approaches that sponsors of clinical trials intended to support a new drug application or a biologics license application can take to increase enrollment of underrepresented populations in their clinical trials. </w:t>
      </w:r>
      <w:hyperlink r:id="rId10" w:history="1">
        <w:r w:rsidRPr="00A62478">
          <w:rPr>
            <w:rStyle w:val="Hyperlink"/>
            <w:rFonts w:cstheme="minorHAnsi"/>
          </w:rPr>
          <w:t>https://www.fda.gov/regulatory-information/search-fda-guidance-documents/enhancing-diversity-clinical-trial-populations-eligibility-criteria-enrollment-practices-and-trial</w:t>
        </w:r>
      </w:hyperlink>
    </w:p>
    <w:p w14:paraId="6F91894F" w14:textId="676E3C55" w:rsidR="008B10FD" w:rsidRPr="00A62478" w:rsidRDefault="008B10FD" w:rsidP="00627259">
      <w:pPr>
        <w:pStyle w:val="ListParagraph"/>
        <w:numPr>
          <w:ilvl w:val="0"/>
          <w:numId w:val="1"/>
        </w:numPr>
        <w:spacing w:before="240" w:after="0"/>
        <w:contextualSpacing w:val="0"/>
        <w:rPr>
          <w:rFonts w:cstheme="minorHAnsi"/>
        </w:rPr>
      </w:pPr>
      <w:r w:rsidRPr="00A62478">
        <w:rPr>
          <w:rFonts w:cstheme="minorHAnsi"/>
        </w:rPr>
        <w:t xml:space="preserve">2020, Multi-Regional Clinical Trials Center: </w:t>
      </w:r>
      <w:proofErr w:type="spellStart"/>
      <w:r w:rsidRPr="00A62478">
        <w:rPr>
          <w:rFonts w:cstheme="minorHAnsi"/>
        </w:rPr>
        <w:t>Bierer</w:t>
      </w:r>
      <w:proofErr w:type="spellEnd"/>
      <w:r w:rsidRPr="00A62478">
        <w:rPr>
          <w:rFonts w:cstheme="minorHAnsi"/>
        </w:rPr>
        <w:t xml:space="preserve"> B.E., White S.A., </w:t>
      </w:r>
      <w:proofErr w:type="spellStart"/>
      <w:r w:rsidRPr="00A62478">
        <w:rPr>
          <w:rFonts w:cstheme="minorHAnsi"/>
        </w:rPr>
        <w:t>Meloney</w:t>
      </w:r>
      <w:proofErr w:type="spellEnd"/>
      <w:r w:rsidRPr="00A62478">
        <w:rPr>
          <w:rFonts w:cstheme="minorHAnsi"/>
        </w:rPr>
        <w:t xml:space="preserve"> L.G., Ahmed H.R., Strauss D.H., Clark L.T., (2021). Achieving Diversity, Inclusion, and Equity in Clinical Research Guidance Document Version 1.1. Cambridge and Boston, MA: Multi-Regional Clinical Trials </w:t>
      </w:r>
      <w:r w:rsidRPr="00A62478">
        <w:rPr>
          <w:rFonts w:cstheme="minorHAnsi"/>
        </w:rPr>
        <w:lastRenderedPageBreak/>
        <w:t xml:space="preserve">Center of Brigham and Women’s Hospital and Harvard (MRCT Center). Available at: </w:t>
      </w:r>
      <w:hyperlink r:id="rId11" w:history="1">
        <w:r w:rsidR="00FF37A8" w:rsidRPr="00A62478">
          <w:rPr>
            <w:rStyle w:val="Hyperlink"/>
            <w:rFonts w:cstheme="minorHAnsi"/>
          </w:rPr>
          <w:t>https://mrctcenter.org/diversity-in-clinical-trials</w:t>
        </w:r>
      </w:hyperlink>
    </w:p>
    <w:p w14:paraId="7E423F46" w14:textId="2ADA5CF3" w:rsidR="00FF37A8" w:rsidRPr="00A62478" w:rsidRDefault="00FF37A8" w:rsidP="00627259">
      <w:pPr>
        <w:pStyle w:val="ListParagraph"/>
        <w:numPr>
          <w:ilvl w:val="0"/>
          <w:numId w:val="1"/>
        </w:numPr>
        <w:spacing w:before="240" w:after="0"/>
        <w:contextualSpacing w:val="0"/>
        <w:rPr>
          <w:rFonts w:cstheme="minorHAnsi"/>
        </w:rPr>
      </w:pPr>
      <w:r w:rsidRPr="00A62478">
        <w:rPr>
          <w:rFonts w:cstheme="minorHAnsi"/>
        </w:rPr>
        <w:t xml:space="preserve">Women of Color in Pharma (WOCIP). Association for professional development. </w:t>
      </w:r>
      <w:hyperlink r:id="rId12" w:history="1">
        <w:r w:rsidRPr="00A62478">
          <w:rPr>
            <w:rStyle w:val="Hyperlink"/>
            <w:rFonts w:cstheme="minorHAnsi"/>
          </w:rPr>
          <w:t>https://wocip.org/</w:t>
        </w:r>
      </w:hyperlink>
    </w:p>
    <w:p w14:paraId="4B8776F4" w14:textId="77777777" w:rsidR="00A62478" w:rsidRPr="00A62478" w:rsidRDefault="00A62478" w:rsidP="00627259">
      <w:pPr>
        <w:pStyle w:val="ListParagraph"/>
        <w:numPr>
          <w:ilvl w:val="0"/>
          <w:numId w:val="1"/>
        </w:numPr>
        <w:shd w:val="clear" w:color="auto" w:fill="FFFFFF"/>
        <w:spacing w:before="240" w:after="0" w:line="240" w:lineRule="auto"/>
        <w:contextualSpacing w:val="0"/>
        <w:rPr>
          <w:rFonts w:cstheme="minorHAnsi"/>
        </w:rPr>
      </w:pPr>
      <w:r w:rsidRPr="00A62478">
        <w:rPr>
          <w:rFonts w:cstheme="minorHAnsi"/>
        </w:rPr>
        <w:t xml:space="preserve">National Minority Quality Forum’s Diverse Cancer Communities Working Group. </w:t>
      </w:r>
    </w:p>
    <w:p w14:paraId="7962ACA5" w14:textId="4F7B4FF8" w:rsidR="00A62478" w:rsidRPr="00A62478" w:rsidRDefault="000C3B75" w:rsidP="00627259">
      <w:pPr>
        <w:pStyle w:val="ListParagraph"/>
        <w:shd w:val="clear" w:color="auto" w:fill="FFFFFF"/>
        <w:spacing w:before="240" w:after="0" w:line="240" w:lineRule="auto"/>
        <w:contextualSpacing w:val="0"/>
        <w:rPr>
          <w:rFonts w:cstheme="minorHAnsi"/>
          <w:color w:val="222222"/>
          <w:shd w:val="clear" w:color="auto" w:fill="FFFFFF"/>
        </w:rPr>
      </w:pPr>
      <w:r>
        <w:rPr>
          <w:rFonts w:cstheme="minorHAnsi"/>
          <w:color w:val="222222"/>
          <w:shd w:val="clear" w:color="auto" w:fill="FFFFFF"/>
        </w:rPr>
        <w:t>Open Access a</w:t>
      </w:r>
      <w:r w:rsidR="00A62478" w:rsidRPr="00A62478">
        <w:rPr>
          <w:rFonts w:cstheme="minorHAnsi"/>
          <w:color w:val="222222"/>
          <w:shd w:val="clear" w:color="auto" w:fill="FFFFFF"/>
        </w:rPr>
        <w:t xml:space="preserve">rticle summarizes recommendations from experts around the country who share ‘real world’ strategies that have successfully moved the needle and improved health equity in their communities across the cancer continuum of care, including clinical trials. See chart in appendix for clinical trial practices. </w:t>
      </w:r>
    </w:p>
    <w:p w14:paraId="136EBF45" w14:textId="74B8D54F" w:rsidR="00A62478" w:rsidRPr="000C3B75" w:rsidRDefault="000C3B75" w:rsidP="00627259">
      <w:pPr>
        <w:pStyle w:val="ListParagraph"/>
        <w:shd w:val="clear" w:color="auto" w:fill="FFFFFF"/>
        <w:spacing w:before="240" w:after="0" w:line="240" w:lineRule="auto"/>
        <w:contextualSpacing w:val="0"/>
        <w:rPr>
          <w:rFonts w:cstheme="minorHAnsi"/>
          <w:color w:val="222222"/>
          <w:shd w:val="clear" w:color="auto" w:fill="FFFFFF"/>
        </w:rPr>
      </w:pPr>
      <w:proofErr w:type="spellStart"/>
      <w:r>
        <w:rPr>
          <w:rFonts w:cstheme="minorHAnsi"/>
        </w:rPr>
        <w:t>Winkfield</w:t>
      </w:r>
      <w:proofErr w:type="spellEnd"/>
      <w:r>
        <w:rPr>
          <w:rFonts w:cstheme="minorHAnsi"/>
        </w:rPr>
        <w:t xml:space="preserve"> KM, </w:t>
      </w:r>
      <w:proofErr w:type="spellStart"/>
      <w:r>
        <w:rPr>
          <w:rFonts w:cstheme="minorHAnsi"/>
        </w:rPr>
        <w:t>Regnante</w:t>
      </w:r>
      <w:proofErr w:type="spellEnd"/>
      <w:r>
        <w:rPr>
          <w:rFonts w:cstheme="minorHAnsi"/>
        </w:rPr>
        <w:t xml:space="preserve"> JM, Miller-</w:t>
      </w:r>
      <w:proofErr w:type="spellStart"/>
      <w:r>
        <w:rPr>
          <w:rFonts w:cstheme="minorHAnsi"/>
        </w:rPr>
        <w:t>Sonet</w:t>
      </w:r>
      <w:proofErr w:type="spellEnd"/>
      <w:r>
        <w:rPr>
          <w:rFonts w:cstheme="minorHAnsi"/>
        </w:rPr>
        <w:t xml:space="preserve"> E, Gonzalez ET, Freund KM, </w:t>
      </w:r>
      <w:proofErr w:type="spellStart"/>
      <w:r>
        <w:rPr>
          <w:rFonts w:cstheme="minorHAnsi"/>
        </w:rPr>
        <w:t>Doykos</w:t>
      </w:r>
      <w:proofErr w:type="spellEnd"/>
      <w:r>
        <w:rPr>
          <w:rFonts w:cstheme="minorHAnsi"/>
        </w:rPr>
        <w:t xml:space="preserve"> PM. </w:t>
      </w:r>
      <w:r w:rsidRPr="000C3B75">
        <w:rPr>
          <w:rFonts w:cstheme="minorHAnsi"/>
        </w:rPr>
        <w:t>Development of an Actionable Framework to Address Cancer Care Disparities in Medically Underserved Populations in the United States: Expert Roundtable Recommendations</w:t>
      </w:r>
      <w:r>
        <w:rPr>
          <w:rFonts w:cstheme="minorHAnsi"/>
        </w:rPr>
        <w:t xml:space="preserve">. </w:t>
      </w:r>
      <w:r>
        <w:rPr>
          <w:rFonts w:cstheme="minorHAnsi"/>
          <w:i/>
          <w:iCs/>
        </w:rPr>
        <w:t xml:space="preserve">JCO Oncol. </w:t>
      </w:r>
      <w:proofErr w:type="spellStart"/>
      <w:r>
        <w:rPr>
          <w:rFonts w:cstheme="minorHAnsi"/>
          <w:i/>
          <w:iCs/>
        </w:rPr>
        <w:t>Pract</w:t>
      </w:r>
      <w:proofErr w:type="spellEnd"/>
      <w:r>
        <w:rPr>
          <w:rFonts w:cstheme="minorHAnsi"/>
          <w:i/>
          <w:iCs/>
        </w:rPr>
        <w:t>.</w:t>
      </w:r>
      <w:r>
        <w:rPr>
          <w:rFonts w:cstheme="minorHAnsi"/>
        </w:rPr>
        <w:t xml:space="preserve"> 17(3), e278–e293 (2021).</w:t>
      </w:r>
    </w:p>
    <w:p w14:paraId="6296B5E0" w14:textId="4C89EC50" w:rsidR="00F35ED9" w:rsidRPr="00F35ED9" w:rsidRDefault="00F35ED9"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sidRPr="00F35ED9">
        <w:rPr>
          <w:rFonts w:cstheme="minorHAnsi"/>
        </w:rPr>
        <w:t xml:space="preserve">National Minority Quality Forum. “Late-Stage Diagnosis of Unscreened Cancer: </w:t>
      </w:r>
      <w:proofErr w:type="gramStart"/>
      <w:r w:rsidRPr="00F35ED9">
        <w:rPr>
          <w:rFonts w:cstheme="minorHAnsi"/>
        </w:rPr>
        <w:t>a</w:t>
      </w:r>
      <w:proofErr w:type="gramEnd"/>
      <w:r w:rsidRPr="00F35ED9">
        <w:rPr>
          <w:rFonts w:cstheme="minorHAnsi"/>
        </w:rPr>
        <w:t xml:space="preserve"> Health Disparity” (2021). </w:t>
      </w:r>
      <w:hyperlink r:id="rId13" w:history="1">
        <w:r w:rsidRPr="00F96EEE">
          <w:rPr>
            <w:rStyle w:val="Hyperlink"/>
            <w:rFonts w:cstheme="minorHAnsi"/>
          </w:rPr>
          <w:t>https://ai-healthnet.com/wp-content/uploads/2021/04/NMQF-GRAIL-Late-Stage-Diagnosis-of-Unscreened-Cancer-Paper-4-26-21.pdf</w:t>
        </w:r>
      </w:hyperlink>
      <w:r w:rsidRPr="00F35ED9">
        <w:rPr>
          <w:rFonts w:cstheme="minorHAnsi"/>
        </w:rPr>
        <w:t>.</w:t>
      </w:r>
    </w:p>
    <w:p w14:paraId="0A797668" w14:textId="6A5539C9" w:rsidR="00A62478" w:rsidRPr="00EF34EA" w:rsidRDefault="00A62478"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sidRPr="00A62478">
        <w:rPr>
          <w:rFonts w:cstheme="minorHAnsi"/>
        </w:rPr>
        <w:t>Early Detection of Cancer Conference</w:t>
      </w:r>
      <w:r>
        <w:rPr>
          <w:rFonts w:cstheme="minorHAnsi"/>
        </w:rPr>
        <w:t xml:space="preserve">. Virtual event about cancer early detection </w:t>
      </w:r>
      <w:proofErr w:type="spellStart"/>
      <w:r>
        <w:rPr>
          <w:rFonts w:cstheme="minorHAnsi"/>
        </w:rPr>
        <w:t>technlogies</w:t>
      </w:r>
      <w:proofErr w:type="spellEnd"/>
      <w:r w:rsidRPr="00A62478">
        <w:t xml:space="preserve"> </w:t>
      </w:r>
      <w:hyperlink r:id="rId14" w:history="1">
        <w:r w:rsidR="00EF34EA" w:rsidRPr="009C136E">
          <w:rPr>
            <w:rStyle w:val="Hyperlink"/>
            <w:rFonts w:cstheme="minorHAnsi"/>
          </w:rPr>
          <w:t>https://www.earlydetectionresearch.com/</w:t>
        </w:r>
      </w:hyperlink>
    </w:p>
    <w:p w14:paraId="32DD4598" w14:textId="77777777" w:rsidR="00EF34EA" w:rsidRDefault="00EF34EA"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sidRPr="00EF34EA">
        <w:rPr>
          <w:rFonts w:cstheme="minorHAnsi"/>
          <w:color w:val="222222"/>
          <w:shd w:val="clear" w:color="auto" w:fill="FFFFFF"/>
        </w:rPr>
        <w:t>2020 Society for Clinical Research Sites</w:t>
      </w:r>
      <w:r>
        <w:rPr>
          <w:rFonts w:cstheme="minorHAnsi"/>
          <w:color w:val="222222"/>
          <w:shd w:val="clear" w:color="auto" w:fill="FFFFFF"/>
        </w:rPr>
        <w:t xml:space="preserve"> (SCRS)</w:t>
      </w:r>
    </w:p>
    <w:p w14:paraId="184EB716" w14:textId="39ACEC17" w:rsidR="00EF34EA" w:rsidRDefault="00EF34EA" w:rsidP="00627259">
      <w:pPr>
        <w:pStyle w:val="ListParagraph"/>
        <w:shd w:val="clear" w:color="auto" w:fill="FFFFFF"/>
        <w:spacing w:before="240" w:after="0" w:line="240" w:lineRule="auto"/>
        <w:contextualSpacing w:val="0"/>
        <w:rPr>
          <w:rFonts w:cstheme="minorHAnsi"/>
          <w:color w:val="222222"/>
          <w:shd w:val="clear" w:color="auto" w:fill="FFFFFF"/>
        </w:rPr>
      </w:pPr>
      <w:r w:rsidRPr="00EF34EA">
        <w:rPr>
          <w:rFonts w:cstheme="minorHAnsi"/>
          <w:color w:val="222222"/>
          <w:shd w:val="clear" w:color="auto" w:fill="FFFFFF"/>
        </w:rPr>
        <w:t xml:space="preserve">Diversity Assessment Tool provides guidance for sites to improve their ability to recruit diverse patient populations </w:t>
      </w:r>
      <w:hyperlink r:id="rId15" w:history="1">
        <w:r w:rsidRPr="009C136E">
          <w:rPr>
            <w:rStyle w:val="Hyperlink"/>
            <w:rFonts w:cstheme="minorHAnsi"/>
            <w:shd w:val="clear" w:color="auto" w:fill="FFFFFF"/>
          </w:rPr>
          <w:t>https://myscrs.org/learning-campus/diversity-in-clinical-trials/</w:t>
        </w:r>
      </w:hyperlink>
    </w:p>
    <w:p w14:paraId="1A918CA7" w14:textId="77777777" w:rsidR="00EF34EA" w:rsidRDefault="00EF34EA"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sidRPr="00EF34EA">
        <w:rPr>
          <w:rFonts w:cstheme="minorHAnsi"/>
          <w:color w:val="222222"/>
          <w:shd w:val="clear" w:color="auto" w:fill="FFFFFF"/>
        </w:rPr>
        <w:t>ASCO and Friends of Cancer Research (FOCR) Clinical Trial Eligibility Criteria</w:t>
      </w:r>
    </w:p>
    <w:p w14:paraId="40A97E5D" w14:textId="7C735163" w:rsidR="00EF34EA" w:rsidRDefault="00EF34EA" w:rsidP="00627259">
      <w:pPr>
        <w:pStyle w:val="ListParagraph"/>
        <w:shd w:val="clear" w:color="auto" w:fill="FFFFFF"/>
        <w:spacing w:before="240" w:after="0" w:line="240" w:lineRule="auto"/>
        <w:contextualSpacing w:val="0"/>
        <w:rPr>
          <w:rFonts w:cstheme="minorHAnsi"/>
          <w:color w:val="222222"/>
          <w:shd w:val="clear" w:color="auto" w:fill="FFFFFF"/>
        </w:rPr>
      </w:pPr>
      <w:r w:rsidRPr="00EF34EA">
        <w:rPr>
          <w:rFonts w:cstheme="minorHAnsi"/>
          <w:color w:val="222222"/>
          <w:shd w:val="clear" w:color="auto" w:fill="FFFFFF"/>
        </w:rPr>
        <w:t xml:space="preserve">Guidance documents and publications related to expanding key </w:t>
      </w:r>
      <w:proofErr w:type="gramStart"/>
      <w:r w:rsidRPr="00EF34EA">
        <w:rPr>
          <w:rFonts w:cstheme="minorHAnsi"/>
          <w:color w:val="222222"/>
          <w:shd w:val="clear" w:color="auto" w:fill="FFFFFF"/>
        </w:rPr>
        <w:t>criterial</w:t>
      </w:r>
      <w:proofErr w:type="gramEnd"/>
      <w:r w:rsidRPr="00EF34EA">
        <w:rPr>
          <w:rFonts w:cstheme="minorHAnsi"/>
          <w:color w:val="222222"/>
          <w:shd w:val="clear" w:color="auto" w:fill="FFFFFF"/>
        </w:rPr>
        <w:t xml:space="preserve"> in cancer clinical trials to improve clinical trial representation and care. </w:t>
      </w:r>
      <w:hyperlink r:id="rId16" w:history="1">
        <w:r w:rsidRPr="009C136E">
          <w:rPr>
            <w:rStyle w:val="Hyperlink"/>
            <w:rFonts w:cstheme="minorHAnsi"/>
            <w:shd w:val="clear" w:color="auto" w:fill="FFFFFF"/>
          </w:rPr>
          <w:t>https://www.asco.org/research-guidelines/clinical-trials/clinical-trial-eligibility-criteria</w:t>
        </w:r>
      </w:hyperlink>
    </w:p>
    <w:p w14:paraId="015634CF" w14:textId="77777777" w:rsidR="00EF34EA" w:rsidRDefault="00EF34EA"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Pr>
          <w:rFonts w:cstheme="minorHAnsi"/>
          <w:color w:val="222222"/>
          <w:shd w:val="clear" w:color="auto" w:fill="FFFFFF"/>
        </w:rPr>
        <w:t>Digital Medicine Society (</w:t>
      </w:r>
      <w:proofErr w:type="spellStart"/>
      <w:r>
        <w:rPr>
          <w:rFonts w:cstheme="minorHAnsi"/>
          <w:color w:val="222222"/>
          <w:shd w:val="clear" w:color="auto" w:fill="FFFFFF"/>
        </w:rPr>
        <w:t>DiME</w:t>
      </w:r>
      <w:proofErr w:type="spellEnd"/>
      <w:r>
        <w:rPr>
          <w:rFonts w:cstheme="minorHAnsi"/>
          <w:color w:val="222222"/>
          <w:shd w:val="clear" w:color="auto" w:fill="FFFFFF"/>
        </w:rPr>
        <w:t xml:space="preserve">) Playbook </w:t>
      </w:r>
    </w:p>
    <w:p w14:paraId="280336F4" w14:textId="5259CD2B" w:rsidR="00EF34EA" w:rsidRDefault="00EF34EA" w:rsidP="00627259">
      <w:pPr>
        <w:pStyle w:val="ListParagraph"/>
        <w:shd w:val="clear" w:color="auto" w:fill="FFFFFF"/>
        <w:spacing w:before="240" w:after="0" w:line="240" w:lineRule="auto"/>
        <w:contextualSpacing w:val="0"/>
        <w:rPr>
          <w:rFonts w:cstheme="minorHAnsi"/>
          <w:color w:val="222222"/>
          <w:shd w:val="clear" w:color="auto" w:fill="FFFFFF"/>
        </w:rPr>
      </w:pPr>
      <w:r>
        <w:rPr>
          <w:rFonts w:cstheme="minorHAnsi"/>
          <w:color w:val="222222"/>
          <w:shd w:val="clear" w:color="auto" w:fill="FFFFFF"/>
        </w:rPr>
        <w:t>G</w:t>
      </w:r>
      <w:r w:rsidRPr="00EF34EA">
        <w:rPr>
          <w:rFonts w:cstheme="minorHAnsi"/>
          <w:color w:val="222222"/>
          <w:shd w:val="clear" w:color="auto" w:fill="FFFFFF"/>
        </w:rPr>
        <w:t>uide for developing patient-centered digital measures and endpoints</w:t>
      </w:r>
      <w:r>
        <w:rPr>
          <w:rFonts w:cstheme="minorHAnsi"/>
          <w:color w:val="222222"/>
          <w:shd w:val="clear" w:color="auto" w:fill="FFFFFF"/>
        </w:rPr>
        <w:t xml:space="preserve"> </w:t>
      </w:r>
      <w:hyperlink r:id="rId17" w:history="1">
        <w:r w:rsidRPr="009C136E">
          <w:rPr>
            <w:rStyle w:val="Hyperlink"/>
            <w:rFonts w:cstheme="minorHAnsi"/>
            <w:shd w:val="clear" w:color="auto" w:fill="FFFFFF"/>
          </w:rPr>
          <w:t>https://playbook.dimesociety.org/</w:t>
        </w:r>
      </w:hyperlink>
    </w:p>
    <w:p w14:paraId="19E1DD76" w14:textId="3316372A" w:rsidR="00627259" w:rsidRDefault="00EF34EA" w:rsidP="00627259">
      <w:pPr>
        <w:pStyle w:val="ListParagraph"/>
        <w:numPr>
          <w:ilvl w:val="0"/>
          <w:numId w:val="1"/>
        </w:numPr>
        <w:shd w:val="clear" w:color="auto" w:fill="FFFFFF"/>
        <w:spacing w:before="240" w:after="0" w:line="240" w:lineRule="auto"/>
        <w:contextualSpacing w:val="0"/>
        <w:rPr>
          <w:rFonts w:cstheme="minorHAnsi"/>
          <w:color w:val="222222"/>
          <w:shd w:val="clear" w:color="auto" w:fill="FFFFFF"/>
        </w:rPr>
      </w:pPr>
      <w:r w:rsidRPr="00EF34EA">
        <w:rPr>
          <w:rFonts w:cstheme="minorHAnsi"/>
          <w:color w:val="222222"/>
          <w:shd w:val="clear" w:color="auto" w:fill="FFFFFF"/>
        </w:rPr>
        <w:t xml:space="preserve">Chapman CH, </w:t>
      </w:r>
      <w:proofErr w:type="spellStart"/>
      <w:r w:rsidRPr="00EF34EA">
        <w:rPr>
          <w:rFonts w:cstheme="minorHAnsi"/>
          <w:color w:val="222222"/>
          <w:shd w:val="clear" w:color="auto" w:fill="FFFFFF"/>
        </w:rPr>
        <w:t>Gabeau</w:t>
      </w:r>
      <w:proofErr w:type="spellEnd"/>
      <w:r w:rsidRPr="00EF34EA">
        <w:rPr>
          <w:rFonts w:cstheme="minorHAnsi"/>
          <w:color w:val="222222"/>
          <w:shd w:val="clear" w:color="auto" w:fill="FFFFFF"/>
        </w:rPr>
        <w:t xml:space="preserve"> D, </w:t>
      </w:r>
      <w:proofErr w:type="spellStart"/>
      <w:r w:rsidRPr="00EF34EA">
        <w:rPr>
          <w:rFonts w:cstheme="minorHAnsi"/>
          <w:color w:val="222222"/>
          <w:shd w:val="clear" w:color="auto" w:fill="FFFFFF"/>
        </w:rPr>
        <w:t>Pinnix</w:t>
      </w:r>
      <w:proofErr w:type="spellEnd"/>
      <w:r w:rsidRPr="00EF34EA">
        <w:rPr>
          <w:rFonts w:cstheme="minorHAnsi"/>
          <w:color w:val="222222"/>
          <w:shd w:val="clear" w:color="auto" w:fill="FFFFFF"/>
        </w:rPr>
        <w:t xml:space="preserve"> CC, Deville C Jr, Gibbs IC, </w:t>
      </w:r>
      <w:proofErr w:type="spellStart"/>
      <w:r w:rsidRPr="00EF34EA">
        <w:rPr>
          <w:rFonts w:cstheme="minorHAnsi"/>
          <w:color w:val="222222"/>
          <w:shd w:val="clear" w:color="auto" w:fill="FFFFFF"/>
        </w:rPr>
        <w:t>Winkfield</w:t>
      </w:r>
      <w:proofErr w:type="spellEnd"/>
      <w:r w:rsidRPr="00EF34EA">
        <w:rPr>
          <w:rFonts w:cstheme="minorHAnsi"/>
          <w:color w:val="222222"/>
          <w:shd w:val="clear" w:color="auto" w:fill="FFFFFF"/>
        </w:rPr>
        <w:t xml:space="preserve"> KM. Why Racial Justice Matters in Radiation Oncology. </w:t>
      </w:r>
      <w:r w:rsidRPr="000C3B75">
        <w:rPr>
          <w:rFonts w:cstheme="minorHAnsi"/>
          <w:i/>
          <w:iCs/>
          <w:color w:val="222222"/>
          <w:shd w:val="clear" w:color="auto" w:fill="FFFFFF"/>
        </w:rPr>
        <w:t xml:space="preserve">Adv </w:t>
      </w:r>
      <w:proofErr w:type="spellStart"/>
      <w:r w:rsidRPr="000C3B75">
        <w:rPr>
          <w:rFonts w:cstheme="minorHAnsi"/>
          <w:i/>
          <w:iCs/>
          <w:color w:val="222222"/>
          <w:shd w:val="clear" w:color="auto" w:fill="FFFFFF"/>
        </w:rPr>
        <w:t>Radiat</w:t>
      </w:r>
      <w:proofErr w:type="spellEnd"/>
      <w:r w:rsidRPr="000C3B75">
        <w:rPr>
          <w:rFonts w:cstheme="minorHAnsi"/>
          <w:i/>
          <w:iCs/>
          <w:color w:val="222222"/>
          <w:shd w:val="clear" w:color="auto" w:fill="FFFFFF"/>
        </w:rPr>
        <w:t xml:space="preserve"> Oncol</w:t>
      </w:r>
      <w:r w:rsidRPr="00EF34EA">
        <w:rPr>
          <w:rFonts w:cstheme="minorHAnsi"/>
          <w:color w:val="222222"/>
          <w:shd w:val="clear" w:color="auto" w:fill="FFFFFF"/>
        </w:rPr>
        <w:t>.</w:t>
      </w:r>
      <w:r w:rsidR="000C3B75">
        <w:rPr>
          <w:rFonts w:cstheme="minorHAnsi"/>
          <w:color w:val="222222"/>
          <w:shd w:val="clear" w:color="auto" w:fill="FFFFFF"/>
        </w:rPr>
        <w:t xml:space="preserve"> </w:t>
      </w:r>
      <w:r w:rsidRPr="00EF34EA">
        <w:rPr>
          <w:rFonts w:cstheme="minorHAnsi"/>
          <w:color w:val="222222"/>
          <w:shd w:val="clear" w:color="auto" w:fill="FFFFFF"/>
        </w:rPr>
        <w:t>5(5)</w:t>
      </w:r>
      <w:r w:rsidR="000C3B75">
        <w:rPr>
          <w:rFonts w:cstheme="minorHAnsi"/>
          <w:color w:val="222222"/>
          <w:shd w:val="clear" w:color="auto" w:fill="FFFFFF"/>
        </w:rPr>
        <w:t xml:space="preserve">, </w:t>
      </w:r>
      <w:r w:rsidRPr="00EF34EA">
        <w:rPr>
          <w:rFonts w:cstheme="minorHAnsi"/>
          <w:color w:val="222222"/>
          <w:shd w:val="clear" w:color="auto" w:fill="FFFFFF"/>
        </w:rPr>
        <w:t>783-790</w:t>
      </w:r>
      <w:r w:rsidR="000C3B75">
        <w:rPr>
          <w:rFonts w:cstheme="minorHAnsi"/>
          <w:color w:val="222222"/>
          <w:shd w:val="clear" w:color="auto" w:fill="FFFFFF"/>
        </w:rPr>
        <w:t xml:space="preserve"> (2020)</w:t>
      </w:r>
    </w:p>
    <w:p w14:paraId="764F24BE" w14:textId="29EACE3D" w:rsidR="000C3B75" w:rsidRDefault="000C3B75" w:rsidP="000C3B75">
      <w:pPr>
        <w:pStyle w:val="ListParagraph"/>
        <w:shd w:val="clear" w:color="auto" w:fill="FFFFFF"/>
        <w:spacing w:before="240" w:after="0" w:line="240" w:lineRule="auto"/>
        <w:contextualSpacing w:val="0"/>
        <w:rPr>
          <w:rFonts w:cstheme="minorHAnsi"/>
          <w:color w:val="222222"/>
          <w:shd w:val="clear" w:color="auto" w:fill="FFFFFF"/>
        </w:rPr>
      </w:pPr>
      <w:r>
        <w:rPr>
          <w:rFonts w:cstheme="minorHAnsi"/>
          <w:color w:val="222222"/>
          <w:shd w:val="clear" w:color="auto" w:fill="FFFFFF"/>
        </w:rPr>
        <w:t>This article is open access.</w:t>
      </w:r>
    </w:p>
    <w:p w14:paraId="7E4E417D" w14:textId="77777777" w:rsidR="00627259" w:rsidRPr="00627259" w:rsidRDefault="00627259" w:rsidP="00627259">
      <w:pPr>
        <w:pStyle w:val="ListParagraph"/>
        <w:shd w:val="clear" w:color="auto" w:fill="FFFFFF"/>
        <w:spacing w:before="240" w:after="0" w:line="240" w:lineRule="auto"/>
        <w:contextualSpacing w:val="0"/>
        <w:rPr>
          <w:rFonts w:cstheme="minorHAnsi"/>
          <w:color w:val="222222"/>
          <w:shd w:val="clear" w:color="auto" w:fill="FFFFFF"/>
        </w:rPr>
      </w:pPr>
    </w:p>
    <w:p w14:paraId="1AB69724" w14:textId="41617EEA" w:rsidR="00EF34EA" w:rsidRPr="00627259" w:rsidRDefault="00EF34EA" w:rsidP="00627259">
      <w:pPr>
        <w:shd w:val="clear" w:color="auto" w:fill="FFFFFF"/>
        <w:spacing w:before="240" w:after="0" w:line="240" w:lineRule="auto"/>
        <w:ind w:left="360"/>
        <w:rPr>
          <w:rFonts w:cstheme="minorHAnsi"/>
          <w:color w:val="222222"/>
          <w:shd w:val="clear" w:color="auto" w:fill="FFFFFF"/>
        </w:rPr>
      </w:pPr>
    </w:p>
    <w:sectPr w:rsidR="00EF34EA" w:rsidRPr="00627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95CB" w14:textId="77777777" w:rsidR="00211DF6" w:rsidRDefault="00211DF6" w:rsidP="003E08F5">
      <w:pPr>
        <w:spacing w:after="0" w:line="240" w:lineRule="auto"/>
      </w:pPr>
      <w:r>
        <w:separator/>
      </w:r>
    </w:p>
  </w:endnote>
  <w:endnote w:type="continuationSeparator" w:id="0">
    <w:p w14:paraId="62A985CE" w14:textId="77777777" w:rsidR="00211DF6" w:rsidRDefault="00211DF6" w:rsidP="003E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5F07" w14:textId="77777777" w:rsidR="00211DF6" w:rsidRDefault="00211DF6" w:rsidP="003E08F5">
      <w:pPr>
        <w:spacing w:after="0" w:line="240" w:lineRule="auto"/>
      </w:pPr>
      <w:r>
        <w:separator/>
      </w:r>
    </w:p>
  </w:footnote>
  <w:footnote w:type="continuationSeparator" w:id="0">
    <w:p w14:paraId="22B2D0A3" w14:textId="77777777" w:rsidR="00211DF6" w:rsidRDefault="00211DF6" w:rsidP="003E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9C0"/>
    <w:multiLevelType w:val="hybridMultilevel"/>
    <w:tmpl w:val="F2E25206"/>
    <w:lvl w:ilvl="0" w:tplc="4AE6B95E">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93E26"/>
    <w:multiLevelType w:val="hybridMultilevel"/>
    <w:tmpl w:val="649A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34"/>
    <w:rsid w:val="0007301A"/>
    <w:rsid w:val="000A0E0D"/>
    <w:rsid w:val="000C3B75"/>
    <w:rsid w:val="00127BD8"/>
    <w:rsid w:val="001A16C5"/>
    <w:rsid w:val="00211DF6"/>
    <w:rsid w:val="003E08F5"/>
    <w:rsid w:val="004D4B7E"/>
    <w:rsid w:val="00627259"/>
    <w:rsid w:val="006A78E7"/>
    <w:rsid w:val="008B10FD"/>
    <w:rsid w:val="00A62478"/>
    <w:rsid w:val="00A72739"/>
    <w:rsid w:val="00B3154A"/>
    <w:rsid w:val="00B87DE5"/>
    <w:rsid w:val="00B97B29"/>
    <w:rsid w:val="00C5484A"/>
    <w:rsid w:val="00DE3E34"/>
    <w:rsid w:val="00EF34EA"/>
    <w:rsid w:val="00F35ED9"/>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C6ED"/>
  <w15:chartTrackingRefBased/>
  <w15:docId w15:val="{39D7E72A-B669-4AAD-9247-A80FCB12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E34"/>
    <w:pPr>
      <w:ind w:left="720"/>
      <w:contextualSpacing/>
    </w:pPr>
  </w:style>
  <w:style w:type="character" w:styleId="Hyperlink">
    <w:name w:val="Hyperlink"/>
    <w:basedOn w:val="DefaultParagraphFont"/>
    <w:uiPriority w:val="99"/>
    <w:unhideWhenUsed/>
    <w:rsid w:val="00DE3E34"/>
    <w:rPr>
      <w:color w:val="0563C1" w:themeColor="hyperlink"/>
      <w:u w:val="single"/>
    </w:rPr>
  </w:style>
  <w:style w:type="character" w:styleId="UnresolvedMention">
    <w:name w:val="Unresolved Mention"/>
    <w:basedOn w:val="DefaultParagraphFont"/>
    <w:uiPriority w:val="99"/>
    <w:semiHidden/>
    <w:unhideWhenUsed/>
    <w:rsid w:val="00DE3E34"/>
    <w:rPr>
      <w:color w:val="605E5C"/>
      <w:shd w:val="clear" w:color="auto" w:fill="E1DFDD"/>
    </w:rPr>
  </w:style>
  <w:style w:type="paragraph" w:styleId="Header">
    <w:name w:val="header"/>
    <w:basedOn w:val="Normal"/>
    <w:link w:val="HeaderChar"/>
    <w:uiPriority w:val="99"/>
    <w:unhideWhenUsed/>
    <w:rsid w:val="003E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F5"/>
  </w:style>
  <w:style w:type="paragraph" w:styleId="Footer">
    <w:name w:val="footer"/>
    <w:basedOn w:val="Normal"/>
    <w:link w:val="FooterChar"/>
    <w:uiPriority w:val="99"/>
    <w:unhideWhenUsed/>
    <w:rsid w:val="003E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rbinger.com/9781684032709/the-racial-healing-handbook/" TargetMode="External"/><Relationship Id="rId13" Type="http://schemas.openxmlformats.org/officeDocument/2006/relationships/hyperlink" Target="https://ai-healthnet.com/wp-content/uploads/2021/04/NMQF-GRAIL-Late-Stage-Diagnosis-of-Unscreened-Cancer-Paper-4-26-2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forum.diaglobal.org/issue/april-2021/co-creating-global-capacity-for-systematic-patient-engagement/" TargetMode="External"/><Relationship Id="rId12" Type="http://schemas.openxmlformats.org/officeDocument/2006/relationships/hyperlink" Target="https://wocip.org/" TargetMode="External"/><Relationship Id="rId17" Type="http://schemas.openxmlformats.org/officeDocument/2006/relationships/hyperlink" Target="https://playbook.dimesociety.org/" TargetMode="External"/><Relationship Id="rId2" Type="http://schemas.openxmlformats.org/officeDocument/2006/relationships/styles" Target="styles.xml"/><Relationship Id="rId16" Type="http://schemas.openxmlformats.org/officeDocument/2006/relationships/hyperlink" Target="https://www.asco.org/research-guidelines/clinical-trials/clinical-trial-eligibility-crite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ctcenter.org/diversity-in-clinical-trials" TargetMode="External"/><Relationship Id="rId5" Type="http://schemas.openxmlformats.org/officeDocument/2006/relationships/footnotes" Target="footnotes.xml"/><Relationship Id="rId15" Type="http://schemas.openxmlformats.org/officeDocument/2006/relationships/hyperlink" Target="https://myscrs.org/learning-campus/diversity-in-clinical-trials/" TargetMode="External"/><Relationship Id="rId10" Type="http://schemas.openxmlformats.org/officeDocument/2006/relationships/hyperlink" Target="https://www.fda.gov/regulatory-information/search-fda-guidance-documents/enhancing-diversity-clinical-trial-populations-eligibility-criteria-enrollment-practices-and-t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abelwilkerson.com" TargetMode="External"/><Relationship Id="rId14" Type="http://schemas.openxmlformats.org/officeDocument/2006/relationships/hyperlink" Target="https://www.earlydetection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D2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Murray</dc:creator>
  <cp:keywords/>
  <dc:description/>
  <cp:lastModifiedBy>Louis Gautier</cp:lastModifiedBy>
  <cp:revision>4</cp:revision>
  <dcterms:created xsi:type="dcterms:W3CDTF">2021-07-20T21:26:00Z</dcterms:created>
  <dcterms:modified xsi:type="dcterms:W3CDTF">2021-07-21T10:56:00Z</dcterms:modified>
</cp:coreProperties>
</file>