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B127" w14:textId="77777777" w:rsidR="007038E6" w:rsidRPr="00493FF1" w:rsidRDefault="007038E6" w:rsidP="007038E6">
      <w:pPr>
        <w:keepNext/>
        <w:keepLines/>
        <w:widowControl w:val="0"/>
        <w:tabs>
          <w:tab w:val="left" w:pos="5520"/>
        </w:tabs>
        <w:spacing w:after="0" w:line="240" w:lineRule="auto"/>
        <w:ind w:right="-48"/>
        <w:jc w:val="both"/>
        <w:rPr>
          <w:rFonts w:asciiTheme="minorHAnsi" w:hAnsiTheme="minorHAnsi"/>
          <w:i/>
          <w:iCs/>
          <w:lang w:val="en-US"/>
        </w:rPr>
      </w:pPr>
    </w:p>
    <w:p w14:paraId="67EAFCD0" w14:textId="77777777" w:rsidR="003B0924" w:rsidRPr="00214918" w:rsidRDefault="003B0924" w:rsidP="003B0924">
      <w:pPr>
        <w:jc w:val="both"/>
        <w:rPr>
          <w:b/>
          <w:lang w:val="en-US"/>
        </w:rPr>
      </w:pPr>
      <w:proofErr w:type="spellStart"/>
      <w:r w:rsidRPr="00214918">
        <w:rPr>
          <w:b/>
          <w:lang w:val="en-US"/>
        </w:rPr>
        <w:t>Licochalcone</w:t>
      </w:r>
      <w:proofErr w:type="spellEnd"/>
      <w:r w:rsidRPr="00214918">
        <w:rPr>
          <w:b/>
          <w:lang w:val="en-US"/>
        </w:rPr>
        <w:t xml:space="preserve"> A-loaded solid lipid nanoparticles improve </w:t>
      </w:r>
      <w:proofErr w:type="spellStart"/>
      <w:r w:rsidRPr="00214918">
        <w:rPr>
          <w:b/>
          <w:lang w:val="en-US"/>
        </w:rPr>
        <w:t>antischistosomal</w:t>
      </w:r>
      <w:proofErr w:type="spellEnd"/>
      <w:r w:rsidRPr="00214918">
        <w:rPr>
          <w:b/>
          <w:lang w:val="en-US"/>
        </w:rPr>
        <w:t xml:space="preserve"> activity </w:t>
      </w:r>
      <w:r w:rsidRPr="00214918">
        <w:rPr>
          <w:b/>
          <w:i/>
          <w:iCs/>
          <w:lang w:val="en-US"/>
        </w:rPr>
        <w:t>in vitro</w:t>
      </w:r>
      <w:r w:rsidRPr="00214918">
        <w:rPr>
          <w:b/>
          <w:lang w:val="en-US"/>
        </w:rPr>
        <w:t xml:space="preserve"> and </w:t>
      </w:r>
      <w:proofErr w:type="gramStart"/>
      <w:r w:rsidRPr="00214918">
        <w:rPr>
          <w:b/>
          <w:i/>
          <w:iCs/>
          <w:lang w:val="en-US"/>
        </w:rPr>
        <w:t>in vivo</w:t>
      </w:r>
      <w:proofErr w:type="gramEnd"/>
    </w:p>
    <w:p w14:paraId="1AA314BD" w14:textId="77777777" w:rsidR="007038E6" w:rsidRPr="00493FF1" w:rsidRDefault="007038E6" w:rsidP="007038E6">
      <w:pPr>
        <w:keepNext/>
        <w:keepLines/>
        <w:widowControl w:val="0"/>
        <w:spacing w:after="0" w:line="240" w:lineRule="auto"/>
        <w:rPr>
          <w:rFonts w:asciiTheme="minorHAnsi" w:hAnsiTheme="minorHAnsi"/>
          <w:lang w:val="en-US"/>
        </w:rPr>
      </w:pPr>
    </w:p>
    <w:p w14:paraId="3FB74B4D" w14:textId="14CCC8A1" w:rsidR="002B6477" w:rsidRPr="00493FF1" w:rsidRDefault="007038E6" w:rsidP="007038E6">
      <w:pPr>
        <w:spacing w:after="0" w:line="480" w:lineRule="auto"/>
        <w:jc w:val="both"/>
        <w:rPr>
          <w:rFonts w:asciiTheme="minorHAnsi" w:hAnsiTheme="minorHAnsi"/>
          <w:bCs/>
          <w:lang w:val="en-US"/>
        </w:rPr>
      </w:pPr>
      <w:r w:rsidRPr="003B0924">
        <w:rPr>
          <w:rFonts w:asciiTheme="minorHAnsi" w:hAnsiTheme="minorHAnsi"/>
          <w:b/>
          <w:lang w:val="en-US"/>
        </w:rPr>
        <w:t xml:space="preserve">Supplementary </w:t>
      </w:r>
      <w:r w:rsidR="003B0924" w:rsidRPr="003B0924">
        <w:rPr>
          <w:rFonts w:asciiTheme="minorHAnsi" w:hAnsiTheme="minorHAnsi"/>
          <w:b/>
          <w:lang w:val="en-US"/>
        </w:rPr>
        <w:t xml:space="preserve">Methods: </w:t>
      </w:r>
      <w:r w:rsidRPr="00493FF1">
        <w:rPr>
          <w:rFonts w:asciiTheme="minorHAnsi" w:eastAsia="Yu Gothic" w:hAnsiTheme="minorHAnsi"/>
          <w:bCs/>
          <w:lang w:val="en-US"/>
        </w:rPr>
        <w:t xml:space="preserve">GC-MS analysis of </w:t>
      </w:r>
      <w:proofErr w:type="spellStart"/>
      <w:r w:rsidRPr="00493FF1">
        <w:rPr>
          <w:rFonts w:asciiTheme="minorHAnsi" w:eastAsia="Yu Gothic" w:hAnsiTheme="minorHAnsi"/>
          <w:bCs/>
          <w:lang w:val="en-US"/>
        </w:rPr>
        <w:t>cupuaçu</w:t>
      </w:r>
      <w:proofErr w:type="spellEnd"/>
      <w:r w:rsidRPr="00493FF1">
        <w:rPr>
          <w:rFonts w:asciiTheme="minorHAnsi" w:eastAsia="Yu Gothic" w:hAnsiTheme="minorHAnsi"/>
          <w:bCs/>
          <w:lang w:val="en-US"/>
        </w:rPr>
        <w:t xml:space="preserve"> (</w:t>
      </w:r>
      <w:r w:rsidRPr="00493FF1">
        <w:rPr>
          <w:rFonts w:asciiTheme="minorHAnsi" w:hAnsiTheme="minorHAnsi"/>
          <w:bCs/>
          <w:i/>
          <w:lang w:val="en-US"/>
        </w:rPr>
        <w:t>Theobroma grandiflorum</w:t>
      </w:r>
      <w:r w:rsidRPr="00493FF1">
        <w:rPr>
          <w:rFonts w:asciiTheme="minorHAnsi" w:hAnsiTheme="minorHAnsi"/>
          <w:bCs/>
          <w:iCs/>
          <w:lang w:val="en-US"/>
        </w:rPr>
        <w:t>) butter</w:t>
      </w:r>
      <w:r w:rsidR="002B6477" w:rsidRPr="00493FF1">
        <w:rPr>
          <w:rFonts w:asciiTheme="minorHAnsi" w:eastAsia="Yu Gothic" w:hAnsiTheme="minorHAnsi"/>
          <w:bCs/>
          <w:lang w:val="en-US"/>
        </w:rPr>
        <w:t xml:space="preserve"> </w:t>
      </w:r>
    </w:p>
    <w:p w14:paraId="07772637" w14:textId="15C48175" w:rsidR="007038E6" w:rsidRPr="00493FF1" w:rsidRDefault="007038E6" w:rsidP="003450D4">
      <w:pPr>
        <w:spacing w:after="160" w:line="480" w:lineRule="auto"/>
        <w:ind w:firstLine="709"/>
        <w:jc w:val="both"/>
        <w:rPr>
          <w:rFonts w:asciiTheme="minorHAnsi" w:hAnsiTheme="minorHAnsi"/>
          <w:lang w:val="en-US" w:eastAsia="pt-BR"/>
        </w:rPr>
      </w:pPr>
      <w:r w:rsidRPr="00493FF1">
        <w:rPr>
          <w:rFonts w:asciiTheme="minorHAnsi" w:hAnsiTheme="minorHAnsi"/>
          <w:lang w:val="en-US" w:eastAsia="pt-BR"/>
        </w:rPr>
        <w:t xml:space="preserve">The </w:t>
      </w:r>
      <w:proofErr w:type="spellStart"/>
      <w:r w:rsidRPr="00493FF1">
        <w:rPr>
          <w:rFonts w:asciiTheme="minorHAnsi" w:eastAsia="Yu Gothic" w:hAnsiTheme="minorHAnsi"/>
          <w:bCs/>
          <w:lang w:val="en-US"/>
        </w:rPr>
        <w:t>cupuaçu</w:t>
      </w:r>
      <w:proofErr w:type="spellEnd"/>
      <w:r w:rsidRPr="00493FF1">
        <w:rPr>
          <w:rFonts w:asciiTheme="minorHAnsi" w:eastAsia="Yu Gothic" w:hAnsiTheme="minorHAnsi"/>
          <w:bCs/>
          <w:lang w:val="en-US"/>
        </w:rPr>
        <w:t xml:space="preserve"> (</w:t>
      </w:r>
      <w:r w:rsidRPr="00493FF1">
        <w:rPr>
          <w:rFonts w:asciiTheme="minorHAnsi" w:hAnsiTheme="minorHAnsi"/>
          <w:bCs/>
          <w:i/>
          <w:lang w:val="en-US"/>
        </w:rPr>
        <w:t>Theobroma grandiflorum</w:t>
      </w:r>
      <w:r w:rsidRPr="00493FF1">
        <w:rPr>
          <w:rFonts w:asciiTheme="minorHAnsi" w:hAnsiTheme="minorHAnsi"/>
          <w:bCs/>
          <w:iCs/>
          <w:lang w:val="en-US"/>
        </w:rPr>
        <w:t>) butter</w:t>
      </w:r>
      <w:r w:rsidRPr="00493FF1">
        <w:rPr>
          <w:rFonts w:asciiTheme="minorHAnsi" w:eastAsia="Yu Gothic" w:hAnsiTheme="minorHAnsi"/>
          <w:b/>
          <w:lang w:val="en-US"/>
        </w:rPr>
        <w:t xml:space="preserve"> </w:t>
      </w:r>
      <w:r w:rsidRPr="00493FF1">
        <w:rPr>
          <w:rFonts w:asciiTheme="minorHAnsi" w:hAnsiTheme="minorHAnsi"/>
          <w:lang w:val="en-US" w:eastAsia="pt-BR"/>
        </w:rPr>
        <w:t xml:space="preserve">was analyzed by GC/MS analysis using a Shimadzu QP2010 Plus (Shimadzu Corporation, Kyoto, Japan) system equipped with an AOC-20i autosampler and a </w:t>
      </w:r>
      <w:proofErr w:type="spellStart"/>
      <w:r w:rsidRPr="00493FF1">
        <w:rPr>
          <w:rFonts w:asciiTheme="minorHAnsi" w:hAnsiTheme="minorHAnsi"/>
          <w:lang w:val="en-US" w:eastAsia="pt-BR"/>
        </w:rPr>
        <w:t>Restek</w:t>
      </w:r>
      <w:proofErr w:type="spellEnd"/>
      <w:r w:rsidRPr="00493FF1">
        <w:rPr>
          <w:rFonts w:asciiTheme="minorHAnsi" w:hAnsiTheme="minorHAnsi"/>
          <w:lang w:val="en-US" w:eastAsia="pt-BR"/>
        </w:rPr>
        <w:t xml:space="preserve"> Rtx-5MS fused-silica capillary column (5% phenyl-, 95% </w:t>
      </w:r>
      <w:proofErr w:type="spellStart"/>
      <w:proofErr w:type="gramStart"/>
      <w:r w:rsidRPr="00493FF1">
        <w:rPr>
          <w:rFonts w:asciiTheme="minorHAnsi" w:hAnsiTheme="minorHAnsi"/>
          <w:lang w:val="en-US" w:eastAsia="pt-BR"/>
        </w:rPr>
        <w:t>methylpolysiloxane</w:t>
      </w:r>
      <w:proofErr w:type="spellEnd"/>
      <w:r w:rsidRPr="00493FF1">
        <w:rPr>
          <w:rFonts w:asciiTheme="minorHAnsi" w:hAnsiTheme="minorHAnsi"/>
          <w:lang w:val="en-US" w:eastAsia="pt-BR"/>
        </w:rPr>
        <w:t>;</w:t>
      </w:r>
      <w:proofErr w:type="gramEnd"/>
      <w:r w:rsidRPr="00493FF1">
        <w:rPr>
          <w:rFonts w:asciiTheme="minorHAnsi" w:hAnsiTheme="minorHAnsi"/>
          <w:lang w:val="en-US" w:eastAsia="pt-BR"/>
        </w:rPr>
        <w:t xml:space="preserve"> </w:t>
      </w:r>
      <w:smartTag w:uri="urn:schemas-microsoft-com:office:smarttags" w:element="metricconverter">
        <w:smartTagPr>
          <w:attr w:name="ProductID" w:val="30 m"/>
        </w:smartTagPr>
        <w:r w:rsidRPr="00493FF1">
          <w:rPr>
            <w:rFonts w:asciiTheme="minorHAnsi" w:hAnsiTheme="minorHAnsi"/>
            <w:lang w:val="en-US" w:eastAsia="pt-BR"/>
          </w:rPr>
          <w:t>30 m</w:t>
        </w:r>
      </w:smartTag>
      <w:r w:rsidRPr="00493FF1">
        <w:rPr>
          <w:rFonts w:asciiTheme="minorHAnsi" w:hAnsiTheme="minorHAnsi"/>
          <w:lang w:val="en-US" w:eastAsia="pt-BR"/>
        </w:rPr>
        <w:t xml:space="preserve"> x </w:t>
      </w:r>
      <w:smartTag w:uri="urn:schemas-microsoft-com:office:smarttags" w:element="metricconverter">
        <w:smartTagPr>
          <w:attr w:name="ProductID" w:val="0.25 mm"/>
        </w:smartTagPr>
        <w:r w:rsidRPr="00493FF1">
          <w:rPr>
            <w:rFonts w:asciiTheme="minorHAnsi" w:hAnsiTheme="minorHAnsi"/>
            <w:lang w:val="en-US" w:eastAsia="pt-BR"/>
          </w:rPr>
          <w:t>0.25 mm</w:t>
        </w:r>
      </w:smartTag>
      <w:r w:rsidRPr="00493FF1">
        <w:rPr>
          <w:rFonts w:asciiTheme="minorHAnsi" w:hAnsiTheme="minorHAnsi"/>
          <w:lang w:val="en-US" w:eastAsia="pt-BR"/>
        </w:rPr>
        <w:t xml:space="preserve"> i.d., film thickness 0.25 </w:t>
      </w:r>
      <w:proofErr w:type="spellStart"/>
      <w:r w:rsidRPr="00493FF1">
        <w:rPr>
          <w:rFonts w:asciiTheme="minorHAnsi" w:hAnsiTheme="minorHAnsi"/>
          <w:lang w:val="en-US" w:eastAsia="pt-BR"/>
        </w:rPr>
        <w:t>μm</w:t>
      </w:r>
      <w:proofErr w:type="spellEnd"/>
      <w:r w:rsidRPr="00493FF1">
        <w:rPr>
          <w:rFonts w:asciiTheme="minorHAnsi" w:hAnsiTheme="minorHAnsi"/>
          <w:lang w:val="en-US" w:eastAsia="pt-BR"/>
        </w:rPr>
        <w:t>) [1]. The oven temperature was programmed to increase from 60</w:t>
      </w:r>
      <w:r w:rsidRPr="00493FF1">
        <w:rPr>
          <w:rFonts w:asciiTheme="minorHAnsi" w:hAnsiTheme="minorHAnsi"/>
          <w:vertAlign w:val="superscript"/>
          <w:lang w:val="en-US" w:eastAsia="pt-BR"/>
        </w:rPr>
        <w:t xml:space="preserve"> </w:t>
      </w:r>
      <w:proofErr w:type="spellStart"/>
      <w:r w:rsidRPr="00493FF1">
        <w:rPr>
          <w:rFonts w:asciiTheme="minorHAnsi" w:hAnsiTheme="minorHAnsi"/>
          <w:vertAlign w:val="superscript"/>
          <w:lang w:val="en-US" w:eastAsia="pt-BR"/>
        </w:rPr>
        <w:t>o</w:t>
      </w:r>
      <w:r w:rsidRPr="00493FF1">
        <w:rPr>
          <w:rFonts w:asciiTheme="minorHAnsi" w:hAnsiTheme="minorHAnsi"/>
          <w:lang w:val="en-US" w:eastAsia="pt-BR"/>
        </w:rPr>
        <w:t>C</w:t>
      </w:r>
      <w:proofErr w:type="spellEnd"/>
      <w:r w:rsidRPr="00493FF1">
        <w:rPr>
          <w:rFonts w:asciiTheme="minorHAnsi" w:hAnsiTheme="minorHAnsi"/>
          <w:lang w:val="en-US" w:eastAsia="pt-BR"/>
        </w:rPr>
        <w:t xml:space="preserve"> to 240 </w:t>
      </w:r>
      <w:proofErr w:type="spellStart"/>
      <w:r w:rsidRPr="00493FF1">
        <w:rPr>
          <w:rFonts w:asciiTheme="minorHAnsi" w:hAnsiTheme="minorHAnsi"/>
          <w:vertAlign w:val="superscript"/>
          <w:lang w:val="en-US" w:eastAsia="pt-BR"/>
        </w:rPr>
        <w:t>o</w:t>
      </w:r>
      <w:r w:rsidRPr="00493FF1">
        <w:rPr>
          <w:rFonts w:asciiTheme="minorHAnsi" w:hAnsiTheme="minorHAnsi"/>
          <w:lang w:val="en-US" w:eastAsia="pt-BR"/>
        </w:rPr>
        <w:t>C</w:t>
      </w:r>
      <w:proofErr w:type="spellEnd"/>
      <w:r w:rsidRPr="00493FF1">
        <w:rPr>
          <w:rFonts w:asciiTheme="minorHAnsi" w:hAnsiTheme="minorHAnsi"/>
          <w:lang w:val="en-US" w:eastAsia="pt-BR"/>
        </w:rPr>
        <w:t xml:space="preserve"> at 3 </w:t>
      </w:r>
      <w:proofErr w:type="spellStart"/>
      <w:r w:rsidRPr="00493FF1">
        <w:rPr>
          <w:rFonts w:asciiTheme="minorHAnsi" w:hAnsiTheme="minorHAnsi"/>
          <w:vertAlign w:val="superscript"/>
          <w:lang w:val="en-US" w:eastAsia="pt-BR"/>
        </w:rPr>
        <w:t>o</w:t>
      </w:r>
      <w:r w:rsidRPr="00493FF1">
        <w:rPr>
          <w:rFonts w:asciiTheme="minorHAnsi" w:hAnsiTheme="minorHAnsi"/>
          <w:lang w:val="en-US" w:eastAsia="pt-BR"/>
        </w:rPr>
        <w:t>C</w:t>
      </w:r>
      <w:proofErr w:type="spellEnd"/>
      <w:r w:rsidRPr="00493FF1">
        <w:rPr>
          <w:rFonts w:asciiTheme="minorHAnsi" w:hAnsiTheme="minorHAnsi"/>
          <w:lang w:val="en-US" w:eastAsia="pt-BR"/>
        </w:rPr>
        <w:t>/min; injector temperature, 150</w:t>
      </w:r>
      <w:r w:rsidRPr="00493FF1">
        <w:rPr>
          <w:rFonts w:asciiTheme="minorHAnsi" w:hAnsiTheme="minorHAnsi"/>
          <w:vertAlign w:val="superscript"/>
          <w:lang w:val="en-US" w:eastAsia="pt-BR"/>
        </w:rPr>
        <w:t xml:space="preserve"> </w:t>
      </w:r>
      <w:proofErr w:type="spellStart"/>
      <w:r w:rsidRPr="00493FF1">
        <w:rPr>
          <w:rFonts w:asciiTheme="minorHAnsi" w:hAnsiTheme="minorHAnsi"/>
          <w:vertAlign w:val="superscript"/>
          <w:lang w:val="en-US" w:eastAsia="pt-BR"/>
        </w:rPr>
        <w:t>o</w:t>
      </w:r>
      <w:r w:rsidRPr="00493FF1">
        <w:rPr>
          <w:rFonts w:asciiTheme="minorHAnsi" w:hAnsiTheme="minorHAnsi"/>
          <w:lang w:val="en-US" w:eastAsia="pt-BR"/>
        </w:rPr>
        <w:t>C</w:t>
      </w:r>
      <w:proofErr w:type="spellEnd"/>
      <w:r w:rsidRPr="00493FF1">
        <w:rPr>
          <w:rFonts w:asciiTheme="minorHAnsi" w:hAnsiTheme="minorHAnsi"/>
          <w:lang w:val="en-US" w:eastAsia="pt-BR"/>
        </w:rPr>
        <w:t>; ion-source temperature, 260</w:t>
      </w:r>
      <w:r w:rsidRPr="00493FF1">
        <w:rPr>
          <w:rFonts w:asciiTheme="minorHAnsi" w:hAnsiTheme="minorHAnsi"/>
          <w:vertAlign w:val="superscript"/>
          <w:lang w:val="en-US" w:eastAsia="pt-BR"/>
        </w:rPr>
        <w:t xml:space="preserve"> </w:t>
      </w:r>
      <w:proofErr w:type="spellStart"/>
      <w:r w:rsidRPr="00493FF1">
        <w:rPr>
          <w:rFonts w:asciiTheme="minorHAnsi" w:hAnsiTheme="minorHAnsi"/>
          <w:vertAlign w:val="superscript"/>
          <w:lang w:val="en-US" w:eastAsia="pt-BR"/>
        </w:rPr>
        <w:t>o</w:t>
      </w:r>
      <w:r w:rsidRPr="00493FF1">
        <w:rPr>
          <w:rFonts w:asciiTheme="minorHAnsi" w:hAnsiTheme="minorHAnsi"/>
          <w:lang w:val="en-US" w:eastAsia="pt-BR"/>
        </w:rPr>
        <w:t>C</w:t>
      </w:r>
      <w:proofErr w:type="spellEnd"/>
      <w:r w:rsidRPr="00493FF1">
        <w:rPr>
          <w:rFonts w:asciiTheme="minorHAnsi" w:hAnsiTheme="minorHAnsi"/>
          <w:lang w:val="en-US" w:eastAsia="pt-BR"/>
        </w:rPr>
        <w:t xml:space="preserve">; carrier gas, He (1.0 ml/min); split ratio, 1:10; injection volume, 0.1 </w:t>
      </w:r>
      <w:proofErr w:type="spellStart"/>
      <w:r w:rsidRPr="00493FF1">
        <w:rPr>
          <w:rFonts w:asciiTheme="minorHAnsi" w:hAnsiTheme="minorHAnsi"/>
          <w:lang w:val="en-US" w:eastAsia="pt-BR"/>
        </w:rPr>
        <w:t>μL</w:t>
      </w:r>
      <w:proofErr w:type="spellEnd"/>
      <w:r w:rsidRPr="00493FF1">
        <w:rPr>
          <w:rFonts w:asciiTheme="minorHAnsi" w:hAnsiTheme="minorHAnsi"/>
          <w:lang w:val="en-US" w:eastAsia="pt-BR"/>
        </w:rPr>
        <w:t xml:space="preserve">. The mass spectrometer was operated in the electron ionization mode (70 eV), and the spectra were taken with a scan interval of 0.5 s over the mass range 40-600 Da. The quantification of each TV-EO constituent was done by internal normalization (%). The identification of the </w:t>
      </w:r>
      <w:proofErr w:type="spellStart"/>
      <w:r w:rsidRPr="00493FF1">
        <w:rPr>
          <w:rFonts w:asciiTheme="minorHAnsi" w:eastAsia="Yu Gothic" w:hAnsiTheme="minorHAnsi"/>
          <w:bCs/>
          <w:lang w:val="en-US"/>
        </w:rPr>
        <w:t>cupuaçu</w:t>
      </w:r>
      <w:proofErr w:type="spellEnd"/>
      <w:r w:rsidRPr="00493FF1">
        <w:rPr>
          <w:rFonts w:asciiTheme="minorHAnsi" w:eastAsia="Yu Gothic" w:hAnsiTheme="minorHAnsi"/>
          <w:bCs/>
          <w:lang w:val="en-US"/>
        </w:rPr>
        <w:t xml:space="preserve"> (</w:t>
      </w:r>
      <w:r w:rsidRPr="00493FF1">
        <w:rPr>
          <w:rFonts w:asciiTheme="minorHAnsi" w:hAnsiTheme="minorHAnsi"/>
          <w:bCs/>
          <w:i/>
          <w:lang w:val="en-US"/>
        </w:rPr>
        <w:t>Theobroma grandiflorum</w:t>
      </w:r>
      <w:r w:rsidRPr="00493FF1">
        <w:rPr>
          <w:rFonts w:asciiTheme="minorHAnsi" w:hAnsiTheme="minorHAnsi"/>
          <w:bCs/>
          <w:iCs/>
          <w:lang w:val="en-US"/>
        </w:rPr>
        <w:t>)</w:t>
      </w:r>
      <w:r w:rsidRPr="00493FF1">
        <w:rPr>
          <w:rFonts w:asciiTheme="minorHAnsi" w:eastAsia="Yu Gothic" w:hAnsiTheme="minorHAnsi"/>
          <w:bCs/>
          <w:lang w:val="en-US"/>
        </w:rPr>
        <w:t xml:space="preserve"> butter </w:t>
      </w:r>
      <w:r w:rsidRPr="00493FF1">
        <w:rPr>
          <w:rFonts w:asciiTheme="minorHAnsi" w:hAnsiTheme="minorHAnsi"/>
          <w:bCs/>
          <w:lang w:val="en-US" w:eastAsia="pt-BR"/>
        </w:rPr>
        <w:t>components</w:t>
      </w:r>
      <w:r w:rsidRPr="00493FF1">
        <w:rPr>
          <w:rFonts w:asciiTheme="minorHAnsi" w:hAnsiTheme="minorHAnsi"/>
          <w:lang w:val="en-US" w:eastAsia="pt-BR"/>
        </w:rPr>
        <w:t xml:space="preserve"> was based on mass spectra with those of the </w:t>
      </w:r>
      <w:r w:rsidRPr="00493FF1">
        <w:rPr>
          <w:rFonts w:asciiTheme="minorHAnsi" w:hAnsiTheme="minorHAnsi"/>
          <w:i/>
          <w:lang w:val="en-US" w:eastAsia="pt-BR"/>
        </w:rPr>
        <w:t>Wiley 7</w:t>
      </w:r>
      <w:r w:rsidRPr="00493FF1">
        <w:rPr>
          <w:rFonts w:asciiTheme="minorHAnsi" w:hAnsiTheme="minorHAnsi"/>
          <w:lang w:val="en-US" w:eastAsia="pt-BR"/>
        </w:rPr>
        <w:t xml:space="preserve">, </w:t>
      </w:r>
      <w:r w:rsidRPr="00493FF1">
        <w:rPr>
          <w:rFonts w:asciiTheme="minorHAnsi" w:hAnsiTheme="minorHAnsi"/>
          <w:i/>
          <w:lang w:val="en-US" w:eastAsia="pt-BR"/>
        </w:rPr>
        <w:t>NIST 08</w:t>
      </w:r>
      <w:r w:rsidRPr="00493FF1">
        <w:rPr>
          <w:rFonts w:asciiTheme="minorHAnsi" w:hAnsiTheme="minorHAnsi"/>
          <w:lang w:val="en-US" w:eastAsia="pt-BR"/>
        </w:rPr>
        <w:t xml:space="preserve">, and </w:t>
      </w:r>
      <w:r w:rsidRPr="00493FF1">
        <w:rPr>
          <w:rFonts w:asciiTheme="minorHAnsi" w:hAnsiTheme="minorHAnsi"/>
          <w:i/>
          <w:lang w:val="en-US" w:eastAsia="pt-BR"/>
        </w:rPr>
        <w:t>FFNSC 1.2</w:t>
      </w:r>
      <w:r w:rsidRPr="00493FF1">
        <w:rPr>
          <w:rFonts w:asciiTheme="minorHAnsi" w:hAnsiTheme="minorHAnsi"/>
          <w:lang w:val="en-US" w:eastAsia="pt-BR"/>
        </w:rPr>
        <w:t xml:space="preserve"> spectral libraries [1].</w:t>
      </w:r>
    </w:p>
    <w:p w14:paraId="2EA71B14" w14:textId="77777777" w:rsidR="003450D4" w:rsidRPr="00493FF1" w:rsidRDefault="003450D4" w:rsidP="003450D4">
      <w:pPr>
        <w:spacing w:after="160" w:line="480" w:lineRule="auto"/>
        <w:ind w:firstLine="709"/>
        <w:jc w:val="both"/>
        <w:rPr>
          <w:rFonts w:asciiTheme="minorHAnsi" w:hAnsiTheme="minorHAnsi"/>
          <w:lang w:val="en-US"/>
        </w:rPr>
      </w:pPr>
    </w:p>
    <w:p w14:paraId="5DF8A7D8" w14:textId="77777777" w:rsidR="003B0924" w:rsidRPr="00493FF1" w:rsidRDefault="003B0924" w:rsidP="003B0924">
      <w:pPr>
        <w:pStyle w:val="ListParagraph"/>
        <w:keepNext/>
        <w:keepLines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493FF1">
        <w:rPr>
          <w:rFonts w:asciiTheme="minorHAnsi" w:hAnsiTheme="minorHAnsi"/>
          <w:lang w:val="en-US"/>
        </w:rPr>
        <w:t>Godinho</w:t>
      </w:r>
      <w:proofErr w:type="spellEnd"/>
      <w:r w:rsidRPr="00493FF1">
        <w:rPr>
          <w:rFonts w:asciiTheme="minorHAnsi" w:hAnsiTheme="minorHAnsi"/>
          <w:lang w:val="en-US"/>
        </w:rPr>
        <w:t xml:space="preserve"> LS, Carvalho LSA, Castro CCB </w:t>
      </w:r>
      <w:r w:rsidRPr="00493FF1">
        <w:rPr>
          <w:rFonts w:asciiTheme="minorHAnsi" w:hAnsiTheme="minorHAnsi"/>
          <w:i/>
          <w:iCs/>
          <w:lang w:val="en-US"/>
        </w:rPr>
        <w:t>et al.</w:t>
      </w:r>
      <w:r w:rsidRPr="00493FF1">
        <w:rPr>
          <w:rFonts w:asciiTheme="minorHAnsi" w:hAnsiTheme="minorHAnsi"/>
          <w:lang w:val="en-US"/>
        </w:rPr>
        <w:t xml:space="preserve"> Anthelmintic </w:t>
      </w:r>
      <w:r w:rsidRPr="00493FF1">
        <w:rPr>
          <w:lang w:val="en-US"/>
        </w:rPr>
        <w:t xml:space="preserve">activity of crude extract and essential oil </w:t>
      </w:r>
      <w:r w:rsidRPr="00493FF1">
        <w:rPr>
          <w:rFonts w:asciiTheme="minorHAnsi" w:hAnsiTheme="minorHAnsi"/>
          <w:lang w:val="en-US"/>
        </w:rPr>
        <w:t xml:space="preserve">of </w:t>
      </w:r>
      <w:r w:rsidRPr="004362C0">
        <w:rPr>
          <w:rFonts w:asciiTheme="minorHAnsi" w:hAnsiTheme="minorHAnsi"/>
          <w:i/>
          <w:iCs/>
          <w:lang w:val="en-US"/>
        </w:rPr>
        <w:t>Tanacetum vulgare</w:t>
      </w:r>
      <w:r w:rsidRPr="00493FF1">
        <w:rPr>
          <w:rFonts w:asciiTheme="minorHAnsi" w:hAnsiTheme="minorHAnsi"/>
          <w:lang w:val="en-US"/>
        </w:rPr>
        <w:t xml:space="preserve"> (Asteraceae) against </w:t>
      </w:r>
      <w:r w:rsidRPr="00493FF1">
        <w:rPr>
          <w:lang w:val="en-US"/>
        </w:rPr>
        <w:t>adult worm</w:t>
      </w:r>
      <w:r w:rsidRPr="00493FF1">
        <w:rPr>
          <w:rFonts w:asciiTheme="minorHAnsi" w:hAnsiTheme="minorHAnsi"/>
          <w:lang w:val="en-US"/>
        </w:rPr>
        <w:t xml:space="preserve">s of </w:t>
      </w:r>
      <w:r w:rsidRPr="004362C0">
        <w:rPr>
          <w:rFonts w:asciiTheme="minorHAnsi" w:hAnsiTheme="minorHAnsi"/>
          <w:i/>
          <w:iCs/>
          <w:lang w:val="en-US"/>
        </w:rPr>
        <w:t xml:space="preserve">Schistosoma </w:t>
      </w:r>
      <w:proofErr w:type="spellStart"/>
      <w:r w:rsidRPr="004362C0">
        <w:rPr>
          <w:rFonts w:asciiTheme="minorHAnsi" w:hAnsiTheme="minorHAnsi"/>
          <w:i/>
          <w:iCs/>
          <w:lang w:val="en-US"/>
        </w:rPr>
        <w:t>mansoni</w:t>
      </w:r>
      <w:proofErr w:type="spellEnd"/>
      <w:r w:rsidRPr="00493FF1">
        <w:rPr>
          <w:rFonts w:asciiTheme="minorHAnsi" w:hAnsiTheme="minorHAnsi"/>
          <w:lang w:val="en-US"/>
        </w:rPr>
        <w:t xml:space="preserve">. </w:t>
      </w:r>
      <w:r w:rsidRPr="00493FF1">
        <w:rPr>
          <w:rFonts w:asciiTheme="minorHAnsi" w:hAnsiTheme="minorHAnsi"/>
          <w:i/>
          <w:iCs/>
          <w:lang w:val="en-US"/>
        </w:rPr>
        <w:t>Sci</w:t>
      </w:r>
      <w:r>
        <w:rPr>
          <w:i/>
          <w:iCs/>
          <w:lang w:val="en-US"/>
        </w:rPr>
        <w:t>.</w:t>
      </w:r>
      <w:r w:rsidRPr="00493FF1">
        <w:rPr>
          <w:rFonts w:asciiTheme="minorHAnsi" w:hAnsiTheme="minorHAnsi"/>
          <w:i/>
          <w:iCs/>
          <w:lang w:val="en-US"/>
        </w:rPr>
        <w:t xml:space="preserve"> World J</w:t>
      </w:r>
      <w:r w:rsidRPr="00493FF1">
        <w:rPr>
          <w:rFonts w:asciiTheme="minorHAnsi" w:hAnsiTheme="minorHAnsi"/>
          <w:lang w:val="en-US"/>
        </w:rPr>
        <w:t xml:space="preserve">. 2014, </w:t>
      </w:r>
      <w:r w:rsidRPr="00F44F1E">
        <w:rPr>
          <w:lang w:val="en-US"/>
        </w:rPr>
        <w:t>460342</w:t>
      </w:r>
      <w:r w:rsidRPr="00493FF1">
        <w:rPr>
          <w:rFonts w:asciiTheme="minorHAnsi" w:hAnsiTheme="minorHAnsi"/>
          <w:lang w:val="en-US"/>
        </w:rPr>
        <w:t xml:space="preserve"> (2014).</w:t>
      </w:r>
    </w:p>
    <w:p w14:paraId="421EB907" w14:textId="638AC6C7" w:rsidR="00C35421" w:rsidRPr="003B0924" w:rsidRDefault="00C35421" w:rsidP="003B092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sectPr w:rsidR="00C35421" w:rsidRPr="003B0924" w:rsidSect="003B09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558A" w14:textId="77777777" w:rsidR="00641AF3" w:rsidRDefault="00641AF3" w:rsidP="003B1CDD">
      <w:pPr>
        <w:spacing w:after="0" w:line="240" w:lineRule="auto"/>
      </w:pPr>
      <w:r>
        <w:separator/>
      </w:r>
    </w:p>
  </w:endnote>
  <w:endnote w:type="continuationSeparator" w:id="0">
    <w:p w14:paraId="3729655D" w14:textId="77777777" w:rsidR="00641AF3" w:rsidRDefault="00641AF3" w:rsidP="003B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025857"/>
      <w:docPartObj>
        <w:docPartGallery w:val="Page Numbers (Bottom of Page)"/>
        <w:docPartUnique/>
      </w:docPartObj>
    </w:sdtPr>
    <w:sdtEndPr/>
    <w:sdtContent>
      <w:p w14:paraId="70196AED" w14:textId="2F4ED40D" w:rsidR="003B1CDD" w:rsidRDefault="003B1CDD">
        <w:pPr>
          <w:pStyle w:val="Footer"/>
          <w:jc w:val="right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7B076" w14:textId="77777777" w:rsidR="003B1CDD" w:rsidRDefault="003B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CF69" w14:textId="77777777" w:rsidR="00641AF3" w:rsidRDefault="00641AF3" w:rsidP="003B1CDD">
      <w:pPr>
        <w:spacing w:after="0" w:line="240" w:lineRule="auto"/>
      </w:pPr>
      <w:r>
        <w:separator/>
      </w:r>
    </w:p>
  </w:footnote>
  <w:footnote w:type="continuationSeparator" w:id="0">
    <w:p w14:paraId="629319DF" w14:textId="77777777" w:rsidR="00641AF3" w:rsidRDefault="00641AF3" w:rsidP="003B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E8C"/>
    <w:multiLevelType w:val="hybridMultilevel"/>
    <w:tmpl w:val="6414BDB6"/>
    <w:lvl w:ilvl="0" w:tplc="2B92F7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2364"/>
    <w:multiLevelType w:val="hybridMultilevel"/>
    <w:tmpl w:val="FEDCC610"/>
    <w:lvl w:ilvl="0" w:tplc="D5CC7DE6">
      <w:start w:val="1"/>
      <w:numFmt w:val="decimal"/>
      <w:lvlText w:val="[%1]"/>
      <w:lvlJc w:val="left"/>
      <w:pPr>
        <w:ind w:left="846" w:hanging="420"/>
      </w:pPr>
      <w:rPr>
        <w:rFonts w:ascii="Times New Roman" w:hAnsi="Times New Roman" w:cs="Times New Roman" w:hint="default"/>
        <w:b w:val="0"/>
        <w:i w:val="0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1E80"/>
    <w:multiLevelType w:val="hybridMultilevel"/>
    <w:tmpl w:val="49CC768E"/>
    <w:lvl w:ilvl="0" w:tplc="86563586">
      <w:start w:val="1"/>
      <w:numFmt w:val="decimal"/>
      <w:lvlText w:val="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1A7DDA"/>
    <w:multiLevelType w:val="hybridMultilevel"/>
    <w:tmpl w:val="217628F6"/>
    <w:lvl w:ilvl="0" w:tplc="ADDC59DA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lang w:val="en-US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A"/>
    <w:rsid w:val="00022101"/>
    <w:rsid w:val="0002791B"/>
    <w:rsid w:val="000430AB"/>
    <w:rsid w:val="00056297"/>
    <w:rsid w:val="00087280"/>
    <w:rsid w:val="00095A9F"/>
    <w:rsid w:val="000C6906"/>
    <w:rsid w:val="000D1DFF"/>
    <w:rsid w:val="000D60A2"/>
    <w:rsid w:val="001654AC"/>
    <w:rsid w:val="001866FC"/>
    <w:rsid w:val="001A0BAC"/>
    <w:rsid w:val="001D7877"/>
    <w:rsid w:val="00230C81"/>
    <w:rsid w:val="002B6477"/>
    <w:rsid w:val="002C514A"/>
    <w:rsid w:val="002D43C3"/>
    <w:rsid w:val="002E54BE"/>
    <w:rsid w:val="0031204A"/>
    <w:rsid w:val="00325D6C"/>
    <w:rsid w:val="003450D4"/>
    <w:rsid w:val="00396F28"/>
    <w:rsid w:val="003A34D3"/>
    <w:rsid w:val="003B0924"/>
    <w:rsid w:val="003B1CDD"/>
    <w:rsid w:val="003D1B7D"/>
    <w:rsid w:val="0049115F"/>
    <w:rsid w:val="00493FF1"/>
    <w:rsid w:val="004A4B6E"/>
    <w:rsid w:val="005230D3"/>
    <w:rsid w:val="0053760D"/>
    <w:rsid w:val="00641AF3"/>
    <w:rsid w:val="00673EB4"/>
    <w:rsid w:val="007038E6"/>
    <w:rsid w:val="00771969"/>
    <w:rsid w:val="007D7B00"/>
    <w:rsid w:val="008060E4"/>
    <w:rsid w:val="008D3A0E"/>
    <w:rsid w:val="008D56FD"/>
    <w:rsid w:val="00915D94"/>
    <w:rsid w:val="00A23B18"/>
    <w:rsid w:val="00A45F87"/>
    <w:rsid w:val="00B25547"/>
    <w:rsid w:val="00B60ED3"/>
    <w:rsid w:val="00C35421"/>
    <w:rsid w:val="00CB07A1"/>
    <w:rsid w:val="00CD0876"/>
    <w:rsid w:val="00CD498F"/>
    <w:rsid w:val="00D06C7C"/>
    <w:rsid w:val="00D4392B"/>
    <w:rsid w:val="00D87AD7"/>
    <w:rsid w:val="00E0717A"/>
    <w:rsid w:val="00E9521F"/>
    <w:rsid w:val="00ED0B54"/>
    <w:rsid w:val="00EF5F70"/>
    <w:rsid w:val="00F307DB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478636A7"/>
  <w15:chartTrackingRefBased/>
  <w15:docId w15:val="{B62748EB-3784-4BD0-A7D8-BB8EF37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C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14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4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1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30D3"/>
    <w:pPr>
      <w:ind w:left="720"/>
      <w:contextualSpacing/>
    </w:pPr>
  </w:style>
  <w:style w:type="character" w:customStyle="1" w:styleId="label">
    <w:name w:val="label"/>
    <w:basedOn w:val="DefaultParagraphFont"/>
    <w:rsid w:val="00C35421"/>
  </w:style>
  <w:style w:type="character" w:customStyle="1" w:styleId="EndNoteBibliographyChar">
    <w:name w:val="EndNote Bibliography Char"/>
    <w:link w:val="EndNoteBibliography"/>
    <w:qFormat/>
    <w:rsid w:val="003450D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3450D4"/>
    <w:pPr>
      <w:spacing w:after="160" w:line="240" w:lineRule="auto"/>
    </w:pPr>
    <w:rPr>
      <w:rFonts w:eastAsiaTheme="minorHAns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9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J-ArticleTitle">
    <w:name w:val="BJ-ArticleTitle"/>
    <w:basedOn w:val="Normal"/>
    <w:rsid w:val="00095A9F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Alves</dc:creator>
  <cp:keywords/>
  <dc:description/>
  <cp:lastModifiedBy>Alice Bough</cp:lastModifiedBy>
  <cp:revision>2</cp:revision>
  <dcterms:created xsi:type="dcterms:W3CDTF">2021-05-20T09:11:00Z</dcterms:created>
  <dcterms:modified xsi:type="dcterms:W3CDTF">2021-05-20T09:11:00Z</dcterms:modified>
</cp:coreProperties>
</file>