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1A" w:rsidRDefault="0044211A" w:rsidP="00FD5B45">
      <w:pPr>
        <w:spacing w:after="0" w:line="360" w:lineRule="auto"/>
        <w:jc w:val="both"/>
        <w:rPr>
          <w:rFonts w:ascii="Helvetica" w:hAnsi="Helvetica" w:cs="Times New Roman"/>
          <w:b/>
          <w:color w:val="000000" w:themeColor="text1"/>
          <w:sz w:val="23"/>
          <w:szCs w:val="23"/>
          <w:lang w:val="en-US"/>
        </w:rPr>
      </w:pPr>
      <w:r>
        <w:rPr>
          <w:rFonts w:ascii="Helvetica" w:hAnsi="Helvetica" w:cs="Times New Roman"/>
          <w:b/>
          <w:color w:val="000000" w:themeColor="text1"/>
          <w:sz w:val="23"/>
          <w:szCs w:val="23"/>
          <w:lang w:val="en-US"/>
        </w:rPr>
        <w:t xml:space="preserve">Supplementary information for: </w:t>
      </w:r>
    </w:p>
    <w:p w:rsidR="0044211A" w:rsidRDefault="0044211A" w:rsidP="006A3930">
      <w:pPr>
        <w:jc w:val="both"/>
        <w:rPr>
          <w:b/>
          <w:szCs w:val="18"/>
        </w:rPr>
      </w:pPr>
      <w:r>
        <w:rPr>
          <w:b/>
          <w:szCs w:val="18"/>
        </w:rPr>
        <w:t>A method for the temperature-controlled extraction of DNA from ancient bones</w:t>
      </w:r>
    </w:p>
    <w:p w:rsidR="0044211A" w:rsidRDefault="0044211A" w:rsidP="00FD5B45">
      <w:pPr>
        <w:spacing w:after="0" w:line="360" w:lineRule="auto"/>
        <w:jc w:val="both"/>
        <w:rPr>
          <w:rFonts w:ascii="Helvetica" w:hAnsi="Helvetica" w:cs="Times New Roman"/>
          <w:b/>
          <w:color w:val="000000" w:themeColor="text1"/>
          <w:sz w:val="23"/>
          <w:szCs w:val="23"/>
          <w:lang w:val="en-US"/>
        </w:rPr>
      </w:pPr>
    </w:p>
    <w:p w:rsidR="0044211A" w:rsidRDefault="0044211A" w:rsidP="00E54525">
      <w:pPr>
        <w:pStyle w:val="Default"/>
        <w:rPr>
          <w:color w:val="5B9BD5" w:themeColor="accent1"/>
          <w:lang w:val="en-US"/>
        </w:rPr>
      </w:pPr>
      <w:r w:rsidRPr="00F61DF0">
        <w:rPr>
          <w:rFonts w:ascii="Helvetica" w:hAnsi="Helvetica"/>
          <w:b/>
          <w:color w:val="5B9BD5" w:themeColor="accent1"/>
          <w:sz w:val="23"/>
          <w:szCs w:val="23"/>
          <w:lang w:val="en-US"/>
        </w:rPr>
        <w:t>Supplementary protocol on protocol.io:</w:t>
      </w:r>
      <w:r w:rsidRPr="00F61DF0">
        <w:rPr>
          <w:color w:val="5B9BD5" w:themeColor="accent1"/>
          <w:lang w:val="en-US"/>
        </w:rPr>
        <w:t xml:space="preserve"> </w:t>
      </w:r>
    </w:p>
    <w:p w:rsidR="0044211A" w:rsidRPr="00F61DF0" w:rsidRDefault="0044211A" w:rsidP="00E54525">
      <w:pPr>
        <w:pStyle w:val="Default"/>
        <w:rPr>
          <w:color w:val="5B9BD5" w:themeColor="accent1"/>
          <w:lang w:val="en-US"/>
        </w:rPr>
      </w:pPr>
      <w:r w:rsidRPr="00420A3F">
        <w:rPr>
          <w:color w:val="5B9BD5" w:themeColor="accent1"/>
          <w:lang w:val="en-US"/>
        </w:rPr>
        <w:t>dx.doi.org/10.17504/protocols.io.bje5kjg6</w:t>
      </w:r>
    </w:p>
    <w:p w:rsidR="0044211A" w:rsidRPr="00F61DF0" w:rsidRDefault="0044211A" w:rsidP="00E54525">
      <w:pPr>
        <w:pStyle w:val="Default"/>
        <w:rPr>
          <w:color w:val="5B9BD5" w:themeColor="accent1"/>
          <w:lang w:val="en-US"/>
        </w:rPr>
      </w:pPr>
      <w:r w:rsidRPr="00F61DF0">
        <w:rPr>
          <w:color w:val="5B9BD5" w:themeColor="accent1"/>
          <w:lang w:val="en-US"/>
        </w:rPr>
        <w:t xml:space="preserve"> </w:t>
      </w:r>
    </w:p>
    <w:p w:rsidR="0044211A" w:rsidRPr="00F61DF0" w:rsidRDefault="0044211A" w:rsidP="00F61DF0">
      <w:pPr>
        <w:spacing w:after="0" w:line="360" w:lineRule="auto"/>
        <w:jc w:val="both"/>
        <w:rPr>
          <w:rFonts w:ascii="Helvetica" w:hAnsi="Helvetica"/>
          <w:b/>
          <w:color w:val="5B9BD5" w:themeColor="accent1"/>
          <w:sz w:val="23"/>
          <w:szCs w:val="23"/>
          <w:lang w:val="en-US"/>
        </w:rPr>
      </w:pPr>
      <w:r w:rsidRPr="00F61DF0">
        <w:rPr>
          <w:rFonts w:ascii="Helvetica" w:hAnsi="Helvetica" w:cs="Times New Roman"/>
          <w:b/>
          <w:color w:val="5B9BD5" w:themeColor="accent1"/>
          <w:sz w:val="23"/>
          <w:szCs w:val="23"/>
          <w:lang w:val="en-US"/>
        </w:rPr>
        <w:t xml:space="preserve">Materials and methods: </w:t>
      </w:r>
    </w:p>
    <w:p w:rsidR="0044211A" w:rsidRPr="00F61DF0" w:rsidRDefault="0044211A" w:rsidP="00F61DF0">
      <w:pPr>
        <w:spacing w:after="0" w:line="360" w:lineRule="auto"/>
        <w:jc w:val="both"/>
        <w:rPr>
          <w:color w:val="5B9BD5" w:themeColor="accent1"/>
          <w:sz w:val="20"/>
          <w:szCs w:val="18"/>
        </w:rPr>
      </w:pPr>
      <w:r w:rsidRPr="00F61DF0">
        <w:rPr>
          <w:color w:val="5B9BD5" w:themeColor="accent1"/>
          <w:sz w:val="20"/>
          <w:szCs w:val="18"/>
        </w:rPr>
        <w:t xml:space="preserve">All pre-PCR sample preparation steps were performed in a dedicated ancient DNA clean room laboratory following stringent measures to reduce the introduction of contamination.  </w:t>
      </w:r>
    </w:p>
    <w:p w:rsidR="0044211A" w:rsidRPr="008F61B7" w:rsidRDefault="0044211A" w:rsidP="00F61DF0">
      <w:pPr>
        <w:spacing w:after="0" w:line="360" w:lineRule="auto"/>
        <w:jc w:val="both"/>
        <w:rPr>
          <w:sz w:val="20"/>
          <w:szCs w:val="18"/>
        </w:rPr>
      </w:pP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  <w:u w:val="single"/>
        </w:rPr>
      </w:pPr>
      <w:r w:rsidRPr="0003730E">
        <w:rPr>
          <w:color w:val="5B9BD5" w:themeColor="accent1"/>
          <w:sz w:val="20"/>
          <w:szCs w:val="18"/>
          <w:u w:val="single"/>
        </w:rPr>
        <w:t>Proof-of-principle experiment</w:t>
      </w:r>
    </w:p>
    <w:p w:rsidR="0044211A" w:rsidRPr="0003730E" w:rsidRDefault="0044211A" w:rsidP="00F61DF0">
      <w:pPr>
        <w:spacing w:after="0" w:line="360" w:lineRule="auto"/>
        <w:jc w:val="both"/>
        <w:rPr>
          <w:color w:val="5B9BD5" w:themeColor="accent1"/>
          <w:sz w:val="20"/>
          <w:szCs w:val="18"/>
        </w:rPr>
      </w:pPr>
      <w:r w:rsidRPr="0003730E">
        <w:rPr>
          <w:color w:val="5B9BD5" w:themeColor="accent1"/>
          <w:sz w:val="20"/>
          <w:szCs w:val="18"/>
        </w:rPr>
        <w:t xml:space="preserve">In the first experiment, 77 and 53 mg bone powder were obtained from a whale bone from the bottom of the North Sea (SP3554, </w:t>
      </w:r>
      <w:r w:rsidRPr="0003730E">
        <w:rPr>
          <w:noProof/>
          <w:color w:val="5B9BD5" w:themeColor="accent1"/>
          <w:sz w:val="20"/>
          <w:szCs w:val="18"/>
        </w:rPr>
        <w:t>[1]</w:t>
      </w:r>
      <w:r w:rsidRPr="0003730E">
        <w:rPr>
          <w:color w:val="5B9BD5" w:themeColor="accent1"/>
          <w:sz w:val="20"/>
          <w:szCs w:val="18"/>
        </w:rPr>
        <w:t xml:space="preserve">) and a bovid bone from Denisova Cave in southern Siberia, Russia (SP3391, </w:t>
      </w:r>
      <w:r w:rsidRPr="0003730E">
        <w:rPr>
          <w:noProof/>
          <w:color w:val="5B9BD5" w:themeColor="accent1"/>
          <w:sz w:val="20"/>
          <w:szCs w:val="18"/>
        </w:rPr>
        <w:t>[1]</w:t>
      </w:r>
      <w:r w:rsidRPr="0003730E">
        <w:rPr>
          <w:color w:val="5B9BD5" w:themeColor="accent1"/>
          <w:sz w:val="20"/>
          <w:szCs w:val="18"/>
        </w:rPr>
        <w:t>), respectively, by drilling with a sterile dentist drill. To facilitate resuspension of the bone powder during the subsequent incubation and wash steps, 3-4 ceramic beads (2.8 mm</w:t>
      </w:r>
      <w:r>
        <w:rPr>
          <w:color w:val="5B9BD5" w:themeColor="accent1"/>
          <w:sz w:val="20"/>
          <w:szCs w:val="18"/>
        </w:rPr>
        <w:t xml:space="preserve"> in diameter</w:t>
      </w:r>
      <w:r w:rsidRPr="0003730E">
        <w:rPr>
          <w:color w:val="5B9BD5" w:themeColor="accent1"/>
          <w:sz w:val="20"/>
          <w:szCs w:val="18"/>
        </w:rPr>
        <w:t>, VWR International) were added to the sample material. The sample powder was subjected to serial 15-minute incubations in 0.5 ml sodium phosphate buffer (0.5 M sodium phosphate buffer, pH 7.0, 0.1% Tween-20) at 21, 37, 60, 70, 80 and 90 °C, respectively. Two incubation steps were performed at each temperature, followed by one wash in 0.5 ml Tris-Tween buffer (10 mM Tris-HCl, pH 8.0, 0.1% Tween20) to reduce the carry-over of DNA between fractions. Finally, the sample powder was digested in Lysis buffer (0.45 M EDTA, pH 8.0, 0.05% Tween-20 and 0.25 mg/ml proteinase K) at 37 °C with rotation overnight (8 – 16 h).</w:t>
      </w:r>
      <w:r w:rsidRPr="0003730E">
        <w:rPr>
          <w:rFonts w:ascii="Helvetica" w:hAnsi="Helvetica" w:cs="Times New Roman"/>
          <w:color w:val="5B9BD5" w:themeColor="accent1"/>
          <w:sz w:val="23"/>
          <w:szCs w:val="23"/>
          <w:lang w:val="en-US"/>
        </w:rPr>
        <w:t xml:space="preserve"> </w:t>
      </w:r>
      <w:r w:rsidRPr="0003730E">
        <w:rPr>
          <w:color w:val="5B9BD5" w:themeColor="accent1"/>
          <w:sz w:val="20"/>
          <w:szCs w:val="18"/>
        </w:rPr>
        <w:t xml:space="preserve"> Prior to each incubation, wash or lysis step</w:t>
      </w:r>
      <w:r>
        <w:rPr>
          <w:color w:val="5B9BD5" w:themeColor="accent1"/>
          <w:sz w:val="20"/>
          <w:szCs w:val="18"/>
        </w:rPr>
        <w:t>,</w:t>
      </w:r>
      <w:r w:rsidRPr="0003730E">
        <w:rPr>
          <w:color w:val="5B9BD5" w:themeColor="accent1"/>
          <w:sz w:val="20"/>
          <w:szCs w:val="18"/>
        </w:rPr>
        <w:t xml:space="preserve"> the sample powder was resuspended by vigorous vortexing.</w:t>
      </w: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</w:rPr>
      </w:pP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  <w:u w:val="single"/>
        </w:rPr>
      </w:pPr>
      <w:r w:rsidRPr="0003730E">
        <w:rPr>
          <w:color w:val="5B9BD5" w:themeColor="accent1"/>
          <w:sz w:val="20"/>
          <w:szCs w:val="18"/>
          <w:u w:val="single"/>
        </w:rPr>
        <w:t>Decontamination methods comparison</w:t>
      </w: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</w:rPr>
      </w:pPr>
      <w:r w:rsidRPr="0003730E">
        <w:rPr>
          <w:color w:val="5B9BD5" w:themeColor="accent1"/>
          <w:sz w:val="20"/>
          <w:szCs w:val="18"/>
        </w:rPr>
        <w:t xml:space="preserve">To test whether the gradual DNA extraction method provides advantages over regular DNA extraction and previously described decontamination methods, we performed a second experiment in which we applied the different decontamination methods to a set of three samples. Additional bone powder (593 and 543 mg, respectively) was obtained from the whale and bovid bones </w:t>
      </w:r>
      <w:r>
        <w:rPr>
          <w:color w:val="5B9BD5" w:themeColor="accent1"/>
          <w:sz w:val="20"/>
          <w:szCs w:val="18"/>
        </w:rPr>
        <w:t xml:space="preserve">used in the previous experiment </w:t>
      </w:r>
      <w:r w:rsidRPr="0003730E">
        <w:rPr>
          <w:color w:val="5B9BD5" w:themeColor="accent1"/>
          <w:sz w:val="20"/>
          <w:szCs w:val="18"/>
        </w:rPr>
        <w:t xml:space="preserve">by drilling with a sterile dentist drill, as well as from a 230,000-year-old straight-tusked elephant bone fragment from Weimar-Ehringsdorf </w:t>
      </w:r>
      <w:r w:rsidRPr="0003730E">
        <w:rPr>
          <w:noProof/>
          <w:color w:val="5B9BD5" w:themeColor="accent1"/>
          <w:sz w:val="20"/>
          <w:szCs w:val="18"/>
        </w:rPr>
        <w:t>[2]</w:t>
      </w:r>
      <w:r>
        <w:rPr>
          <w:color w:val="5B9BD5" w:themeColor="accent1"/>
          <w:sz w:val="20"/>
          <w:szCs w:val="18"/>
        </w:rPr>
        <w:t xml:space="preserve"> </w:t>
      </w:r>
      <w:r w:rsidRPr="0003730E">
        <w:rPr>
          <w:color w:val="5B9BD5" w:themeColor="accent1"/>
          <w:sz w:val="20"/>
          <w:szCs w:val="18"/>
        </w:rPr>
        <w:t xml:space="preserve">(527 mg). Bone powder from each sample was thoroughly mixed and divided into </w:t>
      </w:r>
      <w:r>
        <w:rPr>
          <w:color w:val="5B9BD5" w:themeColor="accent1"/>
          <w:sz w:val="20"/>
          <w:szCs w:val="18"/>
        </w:rPr>
        <w:t>fifteen</w:t>
      </w:r>
      <w:r w:rsidRPr="0003730E">
        <w:rPr>
          <w:color w:val="5B9BD5" w:themeColor="accent1"/>
          <w:sz w:val="20"/>
          <w:szCs w:val="18"/>
        </w:rPr>
        <w:t xml:space="preserve"> 30-45 mg sub-samples in 2.0-ml Eppendorf DNA LoBind tubes using a sterile, antistatic spatula.  To facilitate resuspension of the bone powder during the subsequent incubation and wash steps, 3-4 ceramic beads were added to the sample material.</w:t>
      </w:r>
      <w:r w:rsidRPr="0003730E">
        <w:rPr>
          <w:rFonts w:ascii="Helvetica" w:hAnsi="Helvetica" w:cs="Times New Roman"/>
          <w:color w:val="5B9BD5" w:themeColor="accent1"/>
          <w:sz w:val="23"/>
          <w:szCs w:val="23"/>
          <w:lang w:val="en-US"/>
        </w:rPr>
        <w:t xml:space="preserve"> </w:t>
      </w:r>
      <w:r w:rsidRPr="0003730E">
        <w:rPr>
          <w:color w:val="5B9BD5" w:themeColor="accent1"/>
          <w:sz w:val="20"/>
          <w:szCs w:val="18"/>
        </w:rPr>
        <w:t xml:space="preserve">Each experimental condition was performed in triplicates. </w:t>
      </w: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</w:rPr>
      </w:pPr>
      <w:r w:rsidRPr="0003730E">
        <w:rPr>
          <w:color w:val="5B9BD5" w:themeColor="accent1"/>
          <w:sz w:val="20"/>
          <w:szCs w:val="18"/>
        </w:rPr>
        <w:t xml:space="preserve">Gradual DNA extraction was performed as described above but limiting incubation temperatures to 37, 60 and 90 °C and performing only one wash with Tris-Tween buffer (after the second 90 °C incubation). Bleach treatment was performed following Korlevic et al. (2018) </w:t>
      </w:r>
      <w:r w:rsidRPr="0003730E">
        <w:rPr>
          <w:noProof/>
          <w:color w:val="5B9BD5" w:themeColor="accent1"/>
          <w:sz w:val="20"/>
          <w:szCs w:val="18"/>
        </w:rPr>
        <w:t>[1]</w:t>
      </w:r>
      <w:r w:rsidRPr="0003730E">
        <w:rPr>
          <w:b/>
          <w:color w:val="5B9BD5" w:themeColor="accent1"/>
          <w:sz w:val="20"/>
          <w:szCs w:val="18"/>
        </w:rPr>
        <w:t xml:space="preserve"> </w:t>
      </w:r>
      <w:r w:rsidRPr="0003730E">
        <w:rPr>
          <w:color w:val="5B9BD5" w:themeColor="accent1"/>
          <w:sz w:val="20"/>
          <w:szCs w:val="18"/>
        </w:rPr>
        <w:t xml:space="preserve">by adding 1 mL 0.5% bleach solution to the sample powder, vortexing and incubating for 15 minutes at room temperature under rotation, followed by three washing steps with 1 mL water to remove excess bleach. Room temperature phosphate pre-treatment was </w:t>
      </w:r>
      <w:r w:rsidRPr="0003730E">
        <w:rPr>
          <w:color w:val="5B9BD5" w:themeColor="accent1"/>
          <w:sz w:val="20"/>
          <w:szCs w:val="18"/>
        </w:rPr>
        <w:lastRenderedPageBreak/>
        <w:t xml:space="preserve">performed as described earlier </w:t>
      </w:r>
      <w:r w:rsidRPr="0003730E">
        <w:rPr>
          <w:noProof/>
          <w:color w:val="5B9BD5" w:themeColor="accent1"/>
          <w:sz w:val="20"/>
          <w:szCs w:val="18"/>
        </w:rPr>
        <w:t>[1]</w:t>
      </w:r>
      <w:r w:rsidRPr="0003730E">
        <w:rPr>
          <w:color w:val="5B9BD5" w:themeColor="accent1"/>
          <w:sz w:val="20"/>
          <w:szCs w:val="18"/>
        </w:rPr>
        <w:t xml:space="preserve"> using three consecutive wash steps in 1 mL sodium phosphate buffer (0.5 M sodium phosphate buffer, pH 7.0, 0.1% Tween-20) at room temperature for 15 minutes, followed by one wash in 1 ml Tris-Tween buffer (10 mM Tris-HCl, pH 8.0, 0.1% Tween20) to reduce the carry-over of phosphate into the final digestion. Pre-digestion was performed </w:t>
      </w:r>
      <w:r>
        <w:rPr>
          <w:color w:val="5B9BD5" w:themeColor="accent1"/>
          <w:sz w:val="20"/>
          <w:szCs w:val="18"/>
        </w:rPr>
        <w:t>using the method of</w:t>
      </w:r>
      <w:r w:rsidRPr="0003730E">
        <w:rPr>
          <w:color w:val="5B9BD5" w:themeColor="accent1"/>
          <w:sz w:val="20"/>
          <w:szCs w:val="18"/>
        </w:rPr>
        <w:t xml:space="preserve"> </w:t>
      </w:r>
      <w:r w:rsidRPr="0003730E">
        <w:rPr>
          <w:color w:val="5B9BD5" w:themeColor="accent1"/>
          <w:sz w:val="20"/>
          <w:szCs w:val="20"/>
        </w:rPr>
        <w:t xml:space="preserve">Damgaard et al. (2015) </w:t>
      </w:r>
      <w:r w:rsidRPr="0003730E">
        <w:rPr>
          <w:noProof/>
          <w:color w:val="5B9BD5" w:themeColor="accent1"/>
          <w:sz w:val="20"/>
          <w:szCs w:val="20"/>
        </w:rPr>
        <w:t>[3]</w:t>
      </w:r>
      <w:r w:rsidRPr="0003730E">
        <w:rPr>
          <w:color w:val="5B9BD5" w:themeColor="accent1"/>
          <w:sz w:val="20"/>
          <w:szCs w:val="20"/>
        </w:rPr>
        <w:t xml:space="preserve"> by adding 0.25 ml digestion buffer (0.5 M EDTA, 18 mg/mL Proteinase K and 0.5% N-Laurylsarcosyl) to the sample powder, vortexing and incubating for 60 minutes at 37</w:t>
      </w:r>
      <w:r w:rsidRPr="0003730E">
        <w:rPr>
          <w:color w:val="5B9BD5" w:themeColor="accent1"/>
          <w:sz w:val="20"/>
          <w:szCs w:val="18"/>
        </w:rPr>
        <w:t xml:space="preserve"> °C under rotation</w:t>
      </w:r>
      <w:r>
        <w:rPr>
          <w:color w:val="5B9BD5" w:themeColor="accent1"/>
          <w:sz w:val="20"/>
          <w:szCs w:val="18"/>
        </w:rPr>
        <w:t>,</w:t>
      </w:r>
      <w:r w:rsidRPr="0003730E">
        <w:rPr>
          <w:color w:val="5B9BD5" w:themeColor="accent1"/>
          <w:sz w:val="20"/>
          <w:szCs w:val="18"/>
        </w:rPr>
        <w:t xml:space="preserve"> followed by a final digestion in 0.25 mL digestion buffer overnight </w:t>
      </w:r>
      <w:r w:rsidRPr="0003730E">
        <w:rPr>
          <w:color w:val="5B9BD5" w:themeColor="accent1"/>
          <w:sz w:val="20"/>
          <w:szCs w:val="20"/>
        </w:rPr>
        <w:t>at 37</w:t>
      </w:r>
      <w:r w:rsidRPr="0003730E">
        <w:rPr>
          <w:color w:val="5B9BD5" w:themeColor="accent1"/>
          <w:sz w:val="20"/>
          <w:szCs w:val="18"/>
        </w:rPr>
        <w:t xml:space="preserve"> °C under rotation. </w:t>
      </w: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20"/>
        </w:rPr>
      </w:pPr>
    </w:p>
    <w:p w:rsidR="0044211A" w:rsidRPr="0003730E" w:rsidRDefault="0044211A" w:rsidP="008F61B7">
      <w:pPr>
        <w:spacing w:after="0" w:line="360" w:lineRule="auto"/>
        <w:jc w:val="both"/>
        <w:rPr>
          <w:color w:val="5B9BD5" w:themeColor="accent1"/>
          <w:sz w:val="20"/>
          <w:szCs w:val="18"/>
          <w:u w:val="single"/>
        </w:rPr>
      </w:pPr>
      <w:r w:rsidRPr="0003730E">
        <w:rPr>
          <w:color w:val="5B9BD5" w:themeColor="accent1"/>
          <w:sz w:val="20"/>
          <w:szCs w:val="18"/>
          <w:u w:val="single"/>
        </w:rPr>
        <w:t>DNA extraction, library preparation, sequencing and data processing</w:t>
      </w:r>
    </w:p>
    <w:p w:rsidR="0044211A" w:rsidRPr="0003730E" w:rsidRDefault="0044211A" w:rsidP="002B30E7">
      <w:pPr>
        <w:pStyle w:val="HTMLPreformatted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</w:pP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DNA extractions were performed following the method by Glocke and Meyer (2017)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[4]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 as described in detail by Rohland et al. (2018)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[5]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 (binding buffer option ‘G’). Supplementary Table 1 details the fractions of the lysates/phosphate washes that were purified. Final volume of all DNA extracts was 50 µl. Single-stranded DNA libraries were prepared using 20% of the DNA extract as input, following the protocol for library preparation, quantification and indexing by Gansauge et al. (2020)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[6]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. Indexed libraries were pooled with libraries from other projects and subjected to shallow shotgun sequencing on Illumina’s HiSeq2500 platform using a paired-end double-index configuration (2x 76 + 2x 7 cycles)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[7]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. </w:t>
      </w:r>
    </w:p>
    <w:p w:rsidR="0044211A" w:rsidRPr="0003730E" w:rsidRDefault="0044211A" w:rsidP="008F61B7">
      <w:pPr>
        <w:pStyle w:val="HTMLPreformatted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</w:pP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Adapters were trimmed and overlapping paired-end reads merged into single-molecule sequences using leeHom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[8]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. We used the Burrows-Wheeler Aligner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[9]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 (BWA, https://github.com/mpieva/network-aware-bwa) to align merged sequences to a suitable reference genome (turTru1.75, bosTauUMD3.1, loxAfr4) using ancient </w:t>
      </w:r>
      <w:bookmarkStart w:id="0" w:name="_GoBack"/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parameters (“-n 0.01 –o 2 –l 16500”) allowing more mismatches and indels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[8]</w:t>
      </w:r>
      <w:r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. 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Further analyses were restricted </w:t>
      </w:r>
      <w:bookmarkEnd w:id="0"/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>to sequences longer than 35 bp. Sequences with the same start- and end-coordinates were merged into single consensus sequences using bam-rmdup (</w:t>
      </w:r>
      <w:hyperlink r:id="rId5" w:history="1">
        <w:r w:rsidRPr="0003730E">
          <w:rPr>
            <w:rStyle w:val="Hyperlink"/>
            <w:rFonts w:asciiTheme="minorHAnsi" w:eastAsiaTheme="minorHAnsi" w:hAnsiTheme="minorHAnsi" w:cstheme="minorBidi"/>
            <w:color w:val="5B9BD5" w:themeColor="accent1"/>
            <w:szCs w:val="18"/>
            <w:lang w:val="en-GB" w:eastAsia="en-US"/>
          </w:rPr>
          <w:t>https://github.com/mpieva/biohazard-tools</w:t>
        </w:r>
      </w:hyperlink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). Summary statistics were generated using samtools </w:t>
      </w:r>
      <w:r w:rsidRPr="0003730E">
        <w:rPr>
          <w:rFonts w:asciiTheme="minorHAnsi" w:eastAsiaTheme="minorHAnsi" w:hAnsiTheme="minorHAnsi" w:cstheme="minorBidi"/>
          <w:noProof/>
          <w:color w:val="5B9BD5" w:themeColor="accent1"/>
          <w:szCs w:val="18"/>
          <w:lang w:val="en-GB" w:eastAsia="en-US"/>
        </w:rPr>
        <w:t>[10]</w:t>
      </w:r>
      <w:r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 xml:space="preserve"> </w:t>
      </w:r>
      <w:r w:rsidRPr="0003730E">
        <w:rPr>
          <w:rFonts w:asciiTheme="minorHAnsi" w:eastAsiaTheme="minorHAnsi" w:hAnsiTheme="minorHAnsi" w:cstheme="minorBidi"/>
          <w:color w:val="5B9BD5" w:themeColor="accent1"/>
          <w:szCs w:val="18"/>
          <w:lang w:val="en-GB" w:eastAsia="en-US"/>
        </w:rPr>
        <w:t>(see Supplementary Tables 1 and 2).</w:t>
      </w:r>
    </w:p>
    <w:p w:rsidR="0044211A" w:rsidRPr="009A213E" w:rsidRDefault="0044211A" w:rsidP="00FD5B45">
      <w:pPr>
        <w:spacing w:after="0" w:line="360" w:lineRule="auto"/>
        <w:jc w:val="both"/>
        <w:rPr>
          <w:rFonts w:ascii="Helvetica" w:hAnsi="Helvetica" w:cs="Times New Roman"/>
          <w:b/>
          <w:color w:val="000000" w:themeColor="text1"/>
          <w:sz w:val="23"/>
          <w:szCs w:val="23"/>
        </w:rPr>
      </w:pPr>
    </w:p>
    <w:p w:rsidR="0044211A" w:rsidRPr="005275AF" w:rsidRDefault="0044211A" w:rsidP="00F7205B">
      <w:pPr>
        <w:pStyle w:val="HTMLPreformatted"/>
        <w:shd w:val="clear" w:color="auto" w:fill="FFFFFF"/>
        <w:spacing w:line="360" w:lineRule="auto"/>
        <w:jc w:val="both"/>
        <w:rPr>
          <w:color w:val="000000" w:themeColor="text1"/>
        </w:rPr>
      </w:pPr>
      <w:r w:rsidRPr="00973565">
        <w:rPr>
          <w:rFonts w:ascii="Helvetica" w:hAnsi="Helvetica" w:cs="Times New Roman"/>
          <w:b/>
          <w:color w:val="000000" w:themeColor="text1"/>
          <w:sz w:val="23"/>
          <w:szCs w:val="23"/>
          <w:lang w:val="de-DE"/>
        </w:rPr>
        <w:t>References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1.</w:t>
      </w:r>
      <w:r w:rsidRPr="00456A09">
        <w:tab/>
        <w:t>Korlević P, Gerber T, Gansauge M-T</w:t>
      </w:r>
      <w:r w:rsidRPr="00456A09">
        <w:rPr>
          <w:i/>
        </w:rPr>
        <w:t xml:space="preserve"> et al</w:t>
      </w:r>
      <w:r w:rsidRPr="00456A09">
        <w:t>. Reducing microbial and human contamination in DNA extractions from ancient bones and teeth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Biot</w:t>
      </w:r>
      <w:r w:rsidRPr="00456A09">
        <w:rPr>
          <w:i/>
        </w:rPr>
        <w:t xml:space="preserve">echniques </w:t>
      </w:r>
      <w:r w:rsidRPr="00456A09">
        <w:t>59(2), 87-93 (2015).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2.</w:t>
      </w:r>
      <w:r w:rsidRPr="00456A09">
        <w:tab/>
        <w:t>Meyer M, Palkopoulou E, Baleka S</w:t>
      </w:r>
      <w:r w:rsidRPr="00456A09">
        <w:rPr>
          <w:i/>
        </w:rPr>
        <w:t xml:space="preserve"> et al</w:t>
      </w:r>
      <w:r w:rsidRPr="00456A09">
        <w:t>. Palaeogenomes of Eurasian straight-tusked elephants challenge the current view of elephant evolution</w:t>
      </w:r>
      <w:r w:rsidRPr="00456A09">
        <w:rPr>
          <w:i/>
        </w:rPr>
        <w:t>.</w:t>
      </w:r>
      <w:r w:rsidRPr="00456A09">
        <w:t xml:space="preserve"> </w:t>
      </w:r>
      <w:r w:rsidRPr="00456A09">
        <w:rPr>
          <w:i/>
        </w:rPr>
        <w:t xml:space="preserve">eLife </w:t>
      </w:r>
      <w:r w:rsidRPr="00456A09">
        <w:t>6 e25413 (2017).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3.</w:t>
      </w:r>
      <w:r w:rsidRPr="00456A09">
        <w:tab/>
        <w:t>Damgaard PB, Margaryan A, Schroeder H, Orlando L, Willerslev E, Allentoft ME. Improving access to endogenous DNA in ancient bones and teeth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Sci. Rep.</w:t>
      </w:r>
      <w:r w:rsidRPr="00456A09">
        <w:rPr>
          <w:i/>
        </w:rPr>
        <w:t xml:space="preserve"> </w:t>
      </w:r>
      <w:r w:rsidRPr="00456A09">
        <w:t>5 11184-11184 (2015).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4.</w:t>
      </w:r>
      <w:r w:rsidRPr="00456A09">
        <w:tab/>
        <w:t>Glocke I, Meyer M. Extending the spectrum of DNA sequences retrieved from ancient bones and teeth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Genome Res.</w:t>
      </w:r>
      <w:r w:rsidRPr="00456A09">
        <w:rPr>
          <w:i/>
        </w:rPr>
        <w:t xml:space="preserve"> </w:t>
      </w:r>
      <w:r w:rsidRPr="00456A09">
        <w:t>27(7), 1230-1237 (2017).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5.</w:t>
      </w:r>
      <w:r w:rsidRPr="00456A09">
        <w:tab/>
        <w:t>Rohland N, Glocke I, Aximu-Petri A, Meyer M. Extraction of highly degraded DNA from ancient bones, teeth and sediments for high-throughput sequencing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Nat. Protoc.</w:t>
      </w:r>
      <w:r w:rsidRPr="00456A09">
        <w:rPr>
          <w:i/>
        </w:rPr>
        <w:t xml:space="preserve"> </w:t>
      </w:r>
      <w:r w:rsidRPr="00456A09">
        <w:t>13(11), 2447-2461 (2018).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6.</w:t>
      </w:r>
      <w:r w:rsidRPr="00456A09">
        <w:tab/>
        <w:t>Gansauge M-T, Aximu-Petri A, Nagel S, Meyer M. Manual and automated preparation of single-stranded DNA libraries for the sequencing of DNA from ancient biological remains and other sources of highly degraded DNA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Nat. Protoc.</w:t>
      </w:r>
      <w:r w:rsidRPr="00456A09">
        <w:rPr>
          <w:i/>
        </w:rPr>
        <w:t xml:space="preserve"> </w:t>
      </w:r>
      <w:r w:rsidRPr="00456A09">
        <w:t>15(8), 2279-2300 (2020).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7.</w:t>
      </w:r>
      <w:r w:rsidRPr="00456A09">
        <w:tab/>
        <w:t>Kircher M, Sawyer S, Meyer M. Double indexing overcomes inaccuracies in multiplex sequencing on the Illumina platform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Nucleic Acids Res.</w:t>
      </w:r>
      <w:r w:rsidRPr="00456A09">
        <w:rPr>
          <w:i/>
        </w:rPr>
        <w:t xml:space="preserve"> </w:t>
      </w:r>
      <w:r w:rsidRPr="00456A09">
        <w:t>40(1), e3-e3 (2011).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8.</w:t>
      </w:r>
      <w:r w:rsidRPr="00456A09">
        <w:tab/>
        <w:t>Renaud G, Stenzel U, Kelso J. leeHom: adaptor trimming and merging for Illumina sequencing reads</w:t>
      </w:r>
      <w:r w:rsidRPr="00456A09">
        <w:rPr>
          <w:i/>
        </w:rPr>
        <w:t>.</w:t>
      </w:r>
      <w:r w:rsidRPr="00456A09">
        <w:t xml:space="preserve"> </w:t>
      </w:r>
      <w:r>
        <w:rPr>
          <w:i/>
        </w:rPr>
        <w:t>Nucleic Acids Res.</w:t>
      </w:r>
      <w:r w:rsidRPr="00456A09">
        <w:rPr>
          <w:i/>
        </w:rPr>
        <w:t xml:space="preserve"> </w:t>
      </w:r>
      <w:r w:rsidRPr="00456A09">
        <w:t>42(18), e141-e141 (2014).</w:t>
      </w:r>
    </w:p>
    <w:p w:rsidR="0044211A" w:rsidRPr="00456A09" w:rsidRDefault="0044211A" w:rsidP="00456A09">
      <w:pPr>
        <w:pStyle w:val="EndNoteBibliography"/>
        <w:spacing w:after="0"/>
        <w:ind w:left="720" w:hanging="720"/>
      </w:pPr>
      <w:r w:rsidRPr="00456A09">
        <w:t>9.</w:t>
      </w:r>
      <w:r w:rsidRPr="00456A09">
        <w:tab/>
        <w:t>Li H, Durbin R. Fast and accurate short read alignment with Burrows–Wheeler transform</w:t>
      </w:r>
      <w:r w:rsidRPr="00456A09">
        <w:rPr>
          <w:i/>
        </w:rPr>
        <w:t>.</w:t>
      </w:r>
      <w:r w:rsidRPr="00456A09">
        <w:t xml:space="preserve"> </w:t>
      </w:r>
      <w:r w:rsidRPr="00456A09">
        <w:rPr>
          <w:i/>
        </w:rPr>
        <w:t xml:space="preserve">Bioinformatics </w:t>
      </w:r>
      <w:r w:rsidRPr="00456A09">
        <w:t>25(14), 1754-1760 (2009).</w:t>
      </w:r>
    </w:p>
    <w:p w:rsidR="0044211A" w:rsidRPr="00456A09" w:rsidRDefault="0044211A" w:rsidP="00456A09">
      <w:pPr>
        <w:pStyle w:val="EndNoteBibliography"/>
        <w:ind w:left="720" w:hanging="720"/>
      </w:pPr>
      <w:r w:rsidRPr="00456A09">
        <w:lastRenderedPageBreak/>
        <w:t>10.</w:t>
      </w:r>
      <w:r w:rsidRPr="00456A09">
        <w:tab/>
        <w:t>Li H, Handsaker B, Wysoker A</w:t>
      </w:r>
      <w:r w:rsidRPr="00456A09">
        <w:rPr>
          <w:i/>
        </w:rPr>
        <w:t xml:space="preserve"> et al</w:t>
      </w:r>
      <w:r w:rsidRPr="00456A09">
        <w:t>. The sequence alignment/map format and SAMtools</w:t>
      </w:r>
      <w:r w:rsidRPr="00456A09">
        <w:rPr>
          <w:i/>
        </w:rPr>
        <w:t>.</w:t>
      </w:r>
      <w:r w:rsidRPr="00456A09">
        <w:t xml:space="preserve"> </w:t>
      </w:r>
      <w:r w:rsidRPr="00456A09">
        <w:rPr>
          <w:i/>
        </w:rPr>
        <w:t xml:space="preserve">Bioinformatics </w:t>
      </w:r>
      <w:r w:rsidRPr="00456A09">
        <w:t>25(16), 2078-2079 (2009).</w:t>
      </w:r>
    </w:p>
    <w:p w:rsidR="0044211A" w:rsidRPr="005275AF" w:rsidRDefault="0044211A" w:rsidP="00F7205B">
      <w:pPr>
        <w:keepNext/>
        <w:jc w:val="both"/>
        <w:rPr>
          <w:color w:val="000000" w:themeColor="text1"/>
        </w:rPr>
      </w:pPr>
    </w:p>
    <w:p w:rsidR="009D2145" w:rsidRDefault="009D2145"/>
    <w:sectPr w:rsidR="009D2145" w:rsidSect="00456A09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PS6F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1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650" w:rsidRDefault="00442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650" w:rsidRDefault="0044211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1CC"/>
    <w:multiLevelType w:val="hybridMultilevel"/>
    <w:tmpl w:val="BE08C202"/>
    <w:lvl w:ilvl="0" w:tplc="90FA3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8165B"/>
    <w:multiLevelType w:val="hybridMultilevel"/>
    <w:tmpl w:val="9B28CE2E"/>
    <w:lvl w:ilvl="0" w:tplc="90FA3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3DC"/>
    <w:multiLevelType w:val="hybridMultilevel"/>
    <w:tmpl w:val="C3728E78"/>
    <w:lvl w:ilvl="0" w:tplc="080A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3994218"/>
    <w:multiLevelType w:val="hybridMultilevel"/>
    <w:tmpl w:val="AC64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723"/>
    <w:multiLevelType w:val="hybridMultilevel"/>
    <w:tmpl w:val="05E6A006"/>
    <w:lvl w:ilvl="0" w:tplc="3C804BD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CC1"/>
    <w:multiLevelType w:val="hybridMultilevel"/>
    <w:tmpl w:val="5832CD90"/>
    <w:lvl w:ilvl="0" w:tplc="E80CAC6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20DA"/>
    <w:multiLevelType w:val="hybridMultilevel"/>
    <w:tmpl w:val="2436B65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66D3"/>
    <w:multiLevelType w:val="hybridMultilevel"/>
    <w:tmpl w:val="F52AF9B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3718DD"/>
    <w:multiLevelType w:val="hybridMultilevel"/>
    <w:tmpl w:val="CC126BCC"/>
    <w:lvl w:ilvl="0" w:tplc="9EA2503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341E"/>
    <w:multiLevelType w:val="hybridMultilevel"/>
    <w:tmpl w:val="47B09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4A05"/>
    <w:multiLevelType w:val="hybridMultilevel"/>
    <w:tmpl w:val="E318989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4211A"/>
    <w:rsid w:val="0044211A"/>
    <w:rsid w:val="0085558C"/>
    <w:rsid w:val="009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1A48"/>
  <w15:chartTrackingRefBased/>
  <w15:docId w15:val="{894629B6-DA35-46ED-A6BA-8AB984C3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1A"/>
    <w:rPr>
      <w:lang w:val="en-GB"/>
    </w:rPr>
  </w:style>
  <w:style w:type="character" w:default="1" w:styleId="DefaultParagraphFont">
    <w:name w:val="Default Paragraph Font"/>
    <w:uiPriority w:val="1"/>
    <w:unhideWhenUsed/>
    <w:rsid w:val="004421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211A"/>
  </w:style>
  <w:style w:type="character" w:customStyle="1" w:styleId="fontstyle01">
    <w:name w:val="fontstyle01"/>
    <w:basedOn w:val="DefaultParagraphFont"/>
    <w:rsid w:val="0044211A"/>
    <w:rPr>
      <w:rFonts w:ascii="AdvPS6F00" w:hAnsi="AdvPS6F00" w:hint="default"/>
      <w:b w:val="0"/>
      <w:bCs w:val="0"/>
      <w:i w:val="0"/>
      <w:iC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2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211A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44211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211A"/>
    <w:pPr>
      <w:spacing w:after="0"/>
      <w:jc w:val="center"/>
    </w:pPr>
    <w:rPr>
      <w:rFonts w:ascii="Calibri" w:eastAsia="Times New Roman" w:hAnsi="Calibri" w:cs="Calibri"/>
      <w:noProof/>
      <w:sz w:val="20"/>
      <w:szCs w:val="20"/>
      <w:lang w:val="es-MX" w:eastAsia="es-MX"/>
    </w:rPr>
  </w:style>
  <w:style w:type="character" w:customStyle="1" w:styleId="EndNoteBibliographyTitleChar">
    <w:name w:val="EndNote Bibliography Title Char"/>
    <w:basedOn w:val="HTMLPreformattedChar"/>
    <w:link w:val="EndNoteBibliographyTitle"/>
    <w:rsid w:val="0044211A"/>
    <w:rPr>
      <w:rFonts w:ascii="Calibri" w:eastAsia="Times New Roman" w:hAnsi="Calibri" w:cs="Calibri"/>
      <w:noProof/>
      <w:sz w:val="20"/>
      <w:szCs w:val="20"/>
      <w:lang w:val="es-MX" w:eastAsia="es-MX"/>
    </w:rPr>
  </w:style>
  <w:style w:type="paragraph" w:customStyle="1" w:styleId="EndNoteBibliography">
    <w:name w:val="EndNote Bibliography"/>
    <w:basedOn w:val="Normal"/>
    <w:link w:val="EndNoteBibliographyChar"/>
    <w:rsid w:val="0044211A"/>
    <w:pPr>
      <w:spacing w:line="240" w:lineRule="auto"/>
    </w:pPr>
    <w:rPr>
      <w:rFonts w:ascii="Calibri" w:eastAsia="Times New Roman" w:hAnsi="Calibri" w:cs="Calibri"/>
      <w:noProof/>
      <w:sz w:val="20"/>
      <w:szCs w:val="20"/>
      <w:lang w:val="es-MX" w:eastAsia="es-MX"/>
    </w:rPr>
  </w:style>
  <w:style w:type="character" w:customStyle="1" w:styleId="EndNoteBibliographyChar">
    <w:name w:val="EndNote Bibliography Char"/>
    <w:basedOn w:val="HTMLPreformattedChar"/>
    <w:link w:val="EndNoteBibliography"/>
    <w:rsid w:val="0044211A"/>
    <w:rPr>
      <w:rFonts w:ascii="Calibri" w:eastAsia="Times New Roman" w:hAnsi="Calibri" w:cs="Calibri"/>
      <w:noProof/>
      <w:sz w:val="20"/>
      <w:szCs w:val="20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442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1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1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4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1A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4211A"/>
  </w:style>
  <w:style w:type="paragraph" w:styleId="Revision">
    <w:name w:val="Revision"/>
    <w:hidden/>
    <w:uiPriority w:val="99"/>
    <w:semiHidden/>
    <w:rsid w:val="0044211A"/>
    <w:pPr>
      <w:spacing w:after="0" w:line="240" w:lineRule="auto"/>
    </w:pPr>
    <w:rPr>
      <w:lang w:val="en-GB"/>
    </w:rPr>
  </w:style>
  <w:style w:type="paragraph" w:customStyle="1" w:styleId="Default">
    <w:name w:val="Default"/>
    <w:rsid w:val="00442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github.com/mpieva/biohazard-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elena_essel</dc:creator>
  <cp:keywords/>
  <dc:description/>
  <cp:lastModifiedBy>elena_essel</cp:lastModifiedBy>
  <cp:revision>1</cp:revision>
  <dcterms:created xsi:type="dcterms:W3CDTF">2021-06-07T16:29:00Z</dcterms:created>
  <dcterms:modified xsi:type="dcterms:W3CDTF">2021-06-07T16:33:00Z</dcterms:modified>
</cp:coreProperties>
</file>