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D689" w14:textId="7473C394" w:rsidR="00DF667A" w:rsidRPr="00534D00" w:rsidRDefault="00DF667A" w:rsidP="00DF667A">
      <w:pPr>
        <w:pStyle w:val="Heading1"/>
        <w:rPr>
          <w:rFonts w:asciiTheme="minorHAnsi" w:hAnsiTheme="minorHAnsi" w:cstheme="minorHAnsi"/>
        </w:rPr>
      </w:pPr>
      <w:r w:rsidRPr="00534D00">
        <w:rPr>
          <w:rFonts w:asciiTheme="minorHAnsi" w:hAnsiTheme="minorHAnsi" w:cstheme="minorHAnsi"/>
        </w:rPr>
        <w:t xml:space="preserve">Supplementary </w:t>
      </w:r>
      <w:r w:rsidR="00436AC8" w:rsidRPr="00534D00">
        <w:rPr>
          <w:rFonts w:asciiTheme="minorHAnsi" w:hAnsiTheme="minorHAnsi" w:cstheme="minorHAnsi"/>
        </w:rPr>
        <w:t>t</w:t>
      </w:r>
      <w:r w:rsidRPr="00534D00">
        <w:rPr>
          <w:rFonts w:asciiTheme="minorHAnsi" w:hAnsiTheme="minorHAnsi" w:cstheme="minorHAnsi"/>
        </w:rPr>
        <w:t>able</w:t>
      </w:r>
    </w:p>
    <w:p w14:paraId="04677FD2" w14:textId="119F5E21" w:rsidR="00DF667A" w:rsidRPr="00534D00" w:rsidRDefault="00DF667A" w:rsidP="00DF667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667A" w:rsidRPr="00534D00" w14:paraId="637B1EFE" w14:textId="77777777" w:rsidTr="00180ABE">
        <w:tc>
          <w:tcPr>
            <w:tcW w:w="9016" w:type="dxa"/>
            <w:shd w:val="clear" w:color="auto" w:fill="000000" w:themeFill="text1"/>
          </w:tcPr>
          <w:p w14:paraId="2FAEE45A" w14:textId="7D55E43C" w:rsidR="00DF667A" w:rsidRPr="00534D00" w:rsidRDefault="00DF667A" w:rsidP="00180ABE">
            <w:p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 xml:space="preserve">Supplementary </w:t>
            </w:r>
            <w:r w:rsidR="004D33BC" w:rsidRPr="00534D00">
              <w:rPr>
                <w:rFonts w:cstheme="minorHAnsi"/>
                <w:b/>
                <w:bCs/>
              </w:rPr>
              <w:t>Box</w:t>
            </w:r>
            <w:r w:rsidRPr="00534D00">
              <w:rPr>
                <w:rFonts w:cstheme="minorHAnsi"/>
                <w:b/>
                <w:bCs/>
              </w:rPr>
              <w:t xml:space="preserve"> 1. </w:t>
            </w:r>
            <w:r w:rsidR="00436AC8" w:rsidRPr="00534D00">
              <w:rPr>
                <w:rFonts w:cstheme="minorHAnsi"/>
                <w:b/>
                <w:bCs/>
              </w:rPr>
              <w:t>E</w:t>
            </w:r>
            <w:r w:rsidRPr="00534D00">
              <w:rPr>
                <w:rFonts w:cstheme="minorHAnsi"/>
                <w:b/>
                <w:bCs/>
              </w:rPr>
              <w:t>ligibility criteria</w:t>
            </w:r>
            <w:r w:rsidR="00436AC8" w:rsidRPr="00534D00">
              <w:rPr>
                <w:rFonts w:cstheme="minorHAnsi"/>
                <w:b/>
                <w:bCs/>
              </w:rPr>
              <w:t xml:space="preserve"> for </w:t>
            </w:r>
            <w:r w:rsidR="002A308B" w:rsidRPr="00534D00">
              <w:rPr>
                <w:rFonts w:cstheme="minorHAnsi"/>
                <w:b/>
                <w:bCs/>
              </w:rPr>
              <w:t xml:space="preserve">a </w:t>
            </w:r>
            <w:r w:rsidR="00436AC8" w:rsidRPr="00534D00">
              <w:rPr>
                <w:rFonts w:cstheme="minorHAnsi"/>
                <w:b/>
                <w:bCs/>
              </w:rPr>
              <w:t>Phase 1 study of NKTR-255</w:t>
            </w:r>
            <w:r w:rsidR="006955F8" w:rsidRPr="00534D00">
              <w:rPr>
                <w:rFonts w:cstheme="minorHAnsi"/>
                <w:b/>
                <w:bCs/>
              </w:rPr>
              <w:t xml:space="preserve"> as monotherapy</w:t>
            </w:r>
            <w:r w:rsidR="009A7672" w:rsidRPr="00534D00">
              <w:rPr>
                <w:rFonts w:cstheme="minorHAnsi"/>
                <w:b/>
                <w:bCs/>
              </w:rPr>
              <w:t>,</w:t>
            </w:r>
            <w:r w:rsidR="006955F8" w:rsidRPr="00534D00">
              <w:rPr>
                <w:rFonts w:cstheme="minorHAnsi"/>
                <w:b/>
                <w:bCs/>
              </w:rPr>
              <w:t xml:space="preserve"> or in combination with daratumumab or rituximab</w:t>
            </w:r>
            <w:r w:rsidR="009A7672" w:rsidRPr="00534D00">
              <w:rPr>
                <w:rFonts w:cstheme="minorHAnsi"/>
                <w:b/>
                <w:bCs/>
              </w:rPr>
              <w:t>,</w:t>
            </w:r>
            <w:r w:rsidR="006955F8" w:rsidRPr="00534D00">
              <w:rPr>
                <w:rFonts w:cstheme="minorHAnsi"/>
                <w:b/>
                <w:bCs/>
              </w:rPr>
              <w:t xml:space="preserve"> in hematologic malignancies</w:t>
            </w:r>
          </w:p>
        </w:tc>
      </w:tr>
      <w:tr w:rsidR="00DF667A" w:rsidRPr="00534D00" w14:paraId="0207F98C" w14:textId="77777777" w:rsidTr="00180ABE">
        <w:tc>
          <w:tcPr>
            <w:tcW w:w="9016" w:type="dxa"/>
          </w:tcPr>
          <w:p w14:paraId="0560EF5D" w14:textId="6D432C37" w:rsidR="00DF667A" w:rsidRPr="00534D00" w:rsidRDefault="00DF667A" w:rsidP="00180ABE">
            <w:p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Inclusion criteria</w:t>
            </w:r>
            <w:r w:rsidR="00180ABE" w:rsidRPr="00534D00">
              <w:rPr>
                <w:rFonts w:cstheme="minorHAnsi"/>
                <w:b/>
                <w:bCs/>
              </w:rPr>
              <w:t xml:space="preserve"> for patients with all tumor types </w:t>
            </w:r>
          </w:p>
          <w:p w14:paraId="3C11A01F" w14:textId="77777777" w:rsidR="00DF667A" w:rsidRPr="00534D00" w:rsidRDefault="00DF667A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Age ≥18 years </w:t>
            </w:r>
          </w:p>
          <w:p w14:paraId="72CB6446" w14:textId="0B389E81" w:rsidR="00DF667A" w:rsidRPr="00534D00" w:rsidRDefault="00DF667A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Written informed </w:t>
            </w:r>
            <w:proofErr w:type="gramStart"/>
            <w:r w:rsidRPr="00534D00">
              <w:rPr>
                <w:rFonts w:cstheme="minorHAnsi"/>
              </w:rPr>
              <w:t>consent</w:t>
            </w:r>
            <w:proofErr w:type="gramEnd"/>
          </w:p>
          <w:p w14:paraId="5D699E9C" w14:textId="203DA14F" w:rsidR="00DF667A" w:rsidRPr="00534D00" w:rsidRDefault="00DF667A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Relapsed</w:t>
            </w:r>
            <w:r w:rsidR="009B09CC" w:rsidRPr="00534D00">
              <w:rPr>
                <w:rFonts w:cstheme="minorHAnsi"/>
              </w:rPr>
              <w:t>/</w:t>
            </w:r>
            <w:r w:rsidRPr="00534D00">
              <w:rPr>
                <w:rFonts w:cstheme="minorHAnsi"/>
              </w:rPr>
              <w:t xml:space="preserve">refractory MM or NHL </w:t>
            </w:r>
            <w:r w:rsidR="00F11C53" w:rsidRPr="00534D00">
              <w:rPr>
                <w:rFonts w:cstheme="minorHAnsi"/>
              </w:rPr>
              <w:t xml:space="preserve">with documented progressive disease on or after their last regimen, </w:t>
            </w:r>
            <w:r w:rsidRPr="00534D00">
              <w:rPr>
                <w:rFonts w:cstheme="minorHAnsi"/>
              </w:rPr>
              <w:t xml:space="preserve">with no available therapies that would confer clinical benefit for primary </w:t>
            </w:r>
            <w:proofErr w:type="gramStart"/>
            <w:r w:rsidRPr="00534D00">
              <w:rPr>
                <w:rFonts w:cstheme="minorHAnsi"/>
              </w:rPr>
              <w:t>disease</w:t>
            </w:r>
            <w:proofErr w:type="gramEnd"/>
            <w:r w:rsidRPr="00534D00">
              <w:rPr>
                <w:rFonts w:cstheme="minorHAnsi"/>
              </w:rPr>
              <w:t xml:space="preserve"> </w:t>
            </w:r>
          </w:p>
          <w:p w14:paraId="15DDCA29" w14:textId="776210B0" w:rsidR="0061560C" w:rsidRPr="00534D00" w:rsidRDefault="0061560C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WOCBP</w:t>
            </w:r>
            <w:r w:rsidR="00DF667A" w:rsidRPr="00534D00">
              <w:rPr>
                <w:rFonts w:cstheme="minorHAnsi"/>
              </w:rPr>
              <w:t xml:space="preserve"> must have a negative serum pregnancy test (minimum</w:t>
            </w:r>
            <w:r w:rsidRPr="00534D00">
              <w:rPr>
                <w:rFonts w:cstheme="minorHAnsi"/>
              </w:rPr>
              <w:t xml:space="preserve"> </w:t>
            </w:r>
            <w:r w:rsidR="00DF667A" w:rsidRPr="00534D00">
              <w:rPr>
                <w:rFonts w:cstheme="minorHAnsi"/>
              </w:rPr>
              <w:t xml:space="preserve">sensitivity 25 IU/L or equivalent units of HCG) at </w:t>
            </w:r>
            <w:r w:rsidRPr="00534D00">
              <w:rPr>
                <w:rFonts w:cstheme="minorHAnsi"/>
              </w:rPr>
              <w:t>s</w:t>
            </w:r>
            <w:r w:rsidR="00DF667A" w:rsidRPr="00534D00">
              <w:rPr>
                <w:rFonts w:cstheme="minorHAnsi"/>
              </w:rPr>
              <w:t>creening</w:t>
            </w:r>
            <w:r w:rsidRPr="00534D00">
              <w:rPr>
                <w:rFonts w:cstheme="minorHAnsi"/>
              </w:rPr>
              <w:t xml:space="preserve"> </w:t>
            </w:r>
            <w:r w:rsidR="00DF667A" w:rsidRPr="00534D00">
              <w:rPr>
                <w:rFonts w:cstheme="minorHAnsi"/>
              </w:rPr>
              <w:t>and a serum</w:t>
            </w:r>
            <w:r w:rsidR="00725575" w:rsidRPr="00534D00">
              <w:rPr>
                <w:rFonts w:cstheme="minorHAnsi"/>
              </w:rPr>
              <w:t>/</w:t>
            </w:r>
            <w:r w:rsidR="00DF667A" w:rsidRPr="00534D00">
              <w:rPr>
                <w:rFonts w:cstheme="minorHAnsi"/>
              </w:rPr>
              <w:t xml:space="preserve">urine pregnancy test within 24 hours prior to </w:t>
            </w:r>
            <w:proofErr w:type="gramStart"/>
            <w:r w:rsidR="00DF667A" w:rsidRPr="00534D00">
              <w:rPr>
                <w:rFonts w:cstheme="minorHAnsi"/>
              </w:rPr>
              <w:t>dosing</w:t>
            </w:r>
            <w:proofErr w:type="gramEnd"/>
          </w:p>
          <w:p w14:paraId="61E82A00" w14:textId="6199F065" w:rsidR="0061560C" w:rsidRPr="00534D00" w:rsidRDefault="00DF667A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W</w:t>
            </w:r>
            <w:r w:rsidR="0061560C" w:rsidRPr="00534D00">
              <w:rPr>
                <w:rFonts w:cstheme="minorHAnsi"/>
              </w:rPr>
              <w:t>OCBP</w:t>
            </w:r>
            <w:r w:rsidRPr="00534D00">
              <w:rPr>
                <w:rFonts w:cstheme="minorHAnsi"/>
              </w:rPr>
              <w:t xml:space="preserve"> and men who are sexually active with </w:t>
            </w:r>
            <w:r w:rsidR="0061560C" w:rsidRPr="00534D00">
              <w:rPr>
                <w:rFonts w:cstheme="minorHAnsi"/>
              </w:rPr>
              <w:t>WOCBP</w:t>
            </w:r>
            <w:r w:rsidRPr="00534D00">
              <w:rPr>
                <w:rFonts w:cstheme="minorHAnsi"/>
              </w:rPr>
              <w:t xml:space="preserve"> must</w:t>
            </w:r>
            <w:r w:rsidR="0061560C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commit to either abstain continuously from heterosexual sexual intercourse or to use</w:t>
            </w:r>
            <w:r w:rsidR="0061560C" w:rsidRPr="00534D00">
              <w:rPr>
                <w:rFonts w:cstheme="minorHAnsi"/>
              </w:rPr>
              <w:t xml:space="preserve"> </w:t>
            </w:r>
            <w:r w:rsidR="00675EC2" w:rsidRPr="00534D00">
              <w:rPr>
                <w:rFonts w:cstheme="minorHAnsi"/>
              </w:rPr>
              <w:t>two</w:t>
            </w:r>
            <w:r w:rsidRPr="00534D00">
              <w:rPr>
                <w:rFonts w:cstheme="minorHAnsi"/>
              </w:rPr>
              <w:t xml:space="preserve"> methods of reliable birth control simultaneously for the duration of study treatment and for</w:t>
            </w:r>
            <w:r w:rsidR="0061560C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1 month after the last dose of NKTR-255 or 3 months after the last dose of daratumumab</w:t>
            </w:r>
            <w:r w:rsidR="003D31F6" w:rsidRPr="00534D00">
              <w:rPr>
                <w:rFonts w:cstheme="minorHAnsi"/>
              </w:rPr>
              <w:t xml:space="preserve"> or </w:t>
            </w:r>
            <w:proofErr w:type="gramStart"/>
            <w:r w:rsidR="003D31F6" w:rsidRPr="00534D00">
              <w:rPr>
                <w:rFonts w:cstheme="minorHAnsi"/>
              </w:rPr>
              <w:t>rituximab</w:t>
            </w:r>
            <w:proofErr w:type="gramEnd"/>
          </w:p>
          <w:p w14:paraId="0DA07BDC" w14:textId="77777777" w:rsidR="0061560C" w:rsidRPr="00534D00" w:rsidRDefault="00DF667A" w:rsidP="006F6B22">
            <w:pPr>
              <w:pStyle w:val="ListParagraph"/>
              <w:numPr>
                <w:ilvl w:val="2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Contraception must begin 4 weeks</w:t>
            </w:r>
            <w:r w:rsidR="0061560C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prior to </w:t>
            </w:r>
            <w:proofErr w:type="gramStart"/>
            <w:r w:rsidRPr="00534D00">
              <w:rPr>
                <w:rFonts w:cstheme="minorHAnsi"/>
              </w:rPr>
              <w:t>dosing</w:t>
            </w:r>
            <w:proofErr w:type="gramEnd"/>
          </w:p>
          <w:p w14:paraId="084C6102" w14:textId="39EA804E" w:rsidR="00DF667A" w:rsidRPr="00534D00" w:rsidRDefault="00DF667A" w:rsidP="006F6B22">
            <w:pPr>
              <w:pStyle w:val="ListParagraph"/>
              <w:numPr>
                <w:ilvl w:val="2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Reliable contraception is indicated even where there has been a history of</w:t>
            </w:r>
            <w:r w:rsidR="0061560C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infertility, unless due to hysterectomy</w:t>
            </w:r>
          </w:p>
          <w:p w14:paraId="74490860" w14:textId="62C88A09" w:rsidR="00B07240" w:rsidRPr="00534D00" w:rsidRDefault="00B0724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ECOG </w:t>
            </w:r>
            <w:r w:rsidR="00693375" w:rsidRPr="00534D00">
              <w:rPr>
                <w:rFonts w:cstheme="minorHAnsi"/>
              </w:rPr>
              <w:t>PS</w:t>
            </w:r>
            <w:r w:rsidRPr="00534D00">
              <w:rPr>
                <w:rFonts w:cstheme="minorHAnsi"/>
              </w:rPr>
              <w:t xml:space="preserve"> ≤2</w:t>
            </w:r>
          </w:p>
          <w:p w14:paraId="58D1391B" w14:textId="42647627" w:rsidR="00B07240" w:rsidRPr="00534D00" w:rsidRDefault="00B0724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Response (</w:t>
            </w:r>
            <w:r w:rsidR="00A37191" w:rsidRPr="00534D00">
              <w:rPr>
                <w:rFonts w:cstheme="minorHAnsi"/>
              </w:rPr>
              <w:t>PR</w:t>
            </w:r>
            <w:r w:rsidRPr="00534D00">
              <w:rPr>
                <w:rFonts w:cstheme="minorHAnsi"/>
              </w:rPr>
              <w:t xml:space="preserve"> or better) to </w:t>
            </w:r>
            <w:r w:rsidR="006802DD" w:rsidRPr="00534D00">
              <w:rPr>
                <w:rFonts w:cstheme="minorHAnsi"/>
              </w:rPr>
              <w:t xml:space="preserve">≥1 </w:t>
            </w:r>
            <w:r w:rsidRPr="00534D00">
              <w:rPr>
                <w:rFonts w:cstheme="minorHAnsi"/>
              </w:rPr>
              <w:t>prior</w:t>
            </w:r>
            <w:r w:rsidR="00B83480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regimen</w:t>
            </w:r>
          </w:p>
          <w:p w14:paraId="39DC236E" w14:textId="23158BD0" w:rsidR="00B83480" w:rsidRPr="00534D00" w:rsidRDefault="00B8348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eGFR ≥40 mL/min/1.73 m</w:t>
            </w:r>
            <w:r w:rsidRPr="00534D00">
              <w:rPr>
                <w:rFonts w:cstheme="minorHAnsi"/>
                <w:vertAlign w:val="superscript"/>
              </w:rPr>
              <w:t>2</w:t>
            </w:r>
            <w:r w:rsidRPr="00534D00">
              <w:rPr>
                <w:rFonts w:cstheme="minorHAnsi"/>
              </w:rPr>
              <w:t xml:space="preserve"> calculated using the CKD-EPI </w:t>
            </w:r>
            <w:r w:rsidR="00595AD5" w:rsidRPr="00534D00">
              <w:rPr>
                <w:rFonts w:cstheme="minorHAnsi"/>
              </w:rPr>
              <w:t xml:space="preserve">collaboration </w:t>
            </w:r>
            <w:r w:rsidR="00682228" w:rsidRPr="00534D00">
              <w:rPr>
                <w:rFonts w:cstheme="minorHAnsi"/>
              </w:rPr>
              <w:t>c</w:t>
            </w:r>
            <w:r w:rsidRPr="00534D00">
              <w:rPr>
                <w:rFonts w:cstheme="minorHAnsi"/>
              </w:rPr>
              <w:t xml:space="preserve">reatinine </w:t>
            </w:r>
            <w:r w:rsidR="00682228" w:rsidRPr="00534D00">
              <w:rPr>
                <w:rFonts w:cstheme="minorHAnsi"/>
              </w:rPr>
              <w:t>e</w:t>
            </w:r>
            <w:r w:rsidRPr="00534D00">
              <w:rPr>
                <w:rFonts w:cstheme="minorHAnsi"/>
              </w:rPr>
              <w:t>quation</w:t>
            </w:r>
            <w:r w:rsidR="0042122C" w:rsidRPr="00534D00">
              <w:rPr>
                <w:rFonts w:cstheme="minorHAnsi"/>
              </w:rPr>
              <w:t xml:space="preserve"> </w:t>
            </w:r>
            <w:r w:rsidR="00B205B1" w:rsidRPr="00534D00">
              <w:rPr>
                <w:rFonts w:cstheme="minorHAnsi"/>
              </w:rPr>
              <w:t>[Levey AS, et al]</w:t>
            </w:r>
          </w:p>
          <w:p w14:paraId="1EA8DEC1" w14:textId="45042700" w:rsidR="00180ABE" w:rsidRPr="00534D00" w:rsidRDefault="00180ABE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Life expectancy of &gt;3 months with treatment</w:t>
            </w:r>
          </w:p>
          <w:p w14:paraId="365E02D1" w14:textId="778D4EF9" w:rsidR="00180ABE" w:rsidRPr="00534D00" w:rsidRDefault="00180ABE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The following laboratory test results during screening:</w:t>
            </w:r>
          </w:p>
          <w:p w14:paraId="4F9ED4AE" w14:textId="1A9C191D" w:rsidR="00180ABE" w:rsidRPr="00534D00" w:rsidRDefault="00180ABE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ANC or AGC ≥1000/</w:t>
            </w:r>
            <w:proofErr w:type="spellStart"/>
            <w:r w:rsidRPr="00534D00">
              <w:rPr>
                <w:rFonts w:cstheme="minorHAnsi"/>
              </w:rPr>
              <w:t>μL</w:t>
            </w:r>
            <w:proofErr w:type="spellEnd"/>
          </w:p>
          <w:p w14:paraId="1B51FF5D" w14:textId="7AF7D196" w:rsidR="00180ABE" w:rsidRPr="00534D00" w:rsidRDefault="00180ABE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Platelets ≥30,000/</w:t>
            </w:r>
            <w:proofErr w:type="spellStart"/>
            <w:r w:rsidRPr="00534D00">
              <w:rPr>
                <w:rFonts w:cstheme="minorHAnsi"/>
              </w:rPr>
              <w:t>μL</w:t>
            </w:r>
            <w:proofErr w:type="spellEnd"/>
          </w:p>
          <w:p w14:paraId="33BE58B2" w14:textId="78A48042" w:rsidR="00180ABE" w:rsidRPr="00534D00" w:rsidRDefault="00180ABE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Hemoglobin ≥8 g/dL</w:t>
            </w:r>
          </w:p>
          <w:p w14:paraId="285D6A33" w14:textId="0CA175A5" w:rsidR="00180ABE" w:rsidRPr="00534D00" w:rsidRDefault="00180ABE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Absolute lymphocytes ≥</w:t>
            </w:r>
            <w:r w:rsidR="00A2594C" w:rsidRPr="00534D00">
              <w:rPr>
                <w:rFonts w:cstheme="minorHAnsi"/>
              </w:rPr>
              <w:t>5</w:t>
            </w:r>
            <w:r w:rsidRPr="00534D00">
              <w:rPr>
                <w:rFonts w:cstheme="minorHAnsi"/>
              </w:rPr>
              <w:t>00/</w:t>
            </w:r>
            <w:proofErr w:type="spellStart"/>
            <w:r w:rsidRPr="00534D00">
              <w:rPr>
                <w:rFonts w:cstheme="minorHAnsi"/>
              </w:rPr>
              <w:t>μL</w:t>
            </w:r>
            <w:proofErr w:type="spellEnd"/>
          </w:p>
          <w:p w14:paraId="4B590FEE" w14:textId="1693A630" w:rsidR="00180ABE" w:rsidRPr="00534D00" w:rsidRDefault="00180ABE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Leukocytes ≥3000/</w:t>
            </w:r>
            <w:proofErr w:type="spellStart"/>
            <w:r w:rsidRPr="00534D00">
              <w:rPr>
                <w:rFonts w:cstheme="minorHAnsi"/>
              </w:rPr>
              <w:t>μL</w:t>
            </w:r>
            <w:proofErr w:type="spellEnd"/>
          </w:p>
          <w:p w14:paraId="06D4AF65" w14:textId="77777777" w:rsidR="00B13532" w:rsidRPr="00534D00" w:rsidRDefault="00B13532" w:rsidP="00B13532">
            <w:pPr>
              <w:rPr>
                <w:rFonts w:cstheme="minorHAnsi"/>
                <w:b/>
                <w:bCs/>
              </w:rPr>
            </w:pPr>
          </w:p>
          <w:p w14:paraId="2839F9BE" w14:textId="0ED119BA" w:rsidR="00B13532" w:rsidRPr="00534D00" w:rsidRDefault="00B13532" w:rsidP="00B13532">
            <w:p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Inclusion criteria for patients with MM</w:t>
            </w:r>
          </w:p>
          <w:p w14:paraId="6D591D97" w14:textId="2FF091AB" w:rsidR="00B13532" w:rsidRPr="00534D00" w:rsidRDefault="006802DD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Measurable relapsed</w:t>
            </w:r>
            <w:r w:rsidR="00B476A0" w:rsidRPr="00534D00">
              <w:rPr>
                <w:rFonts w:cstheme="minorHAnsi"/>
              </w:rPr>
              <w:t>/</w:t>
            </w:r>
            <w:r w:rsidRPr="00534D00">
              <w:rPr>
                <w:rFonts w:cstheme="minorHAnsi"/>
              </w:rPr>
              <w:t xml:space="preserve">refractory MM as defined by the IMWG </w:t>
            </w:r>
            <w:proofErr w:type="gramStart"/>
            <w:r w:rsidRPr="00534D00">
              <w:rPr>
                <w:rFonts w:cstheme="minorHAnsi"/>
              </w:rPr>
              <w:t>criteria</w:t>
            </w:r>
            <w:r w:rsidR="0097759A" w:rsidRPr="00534D00">
              <w:rPr>
                <w:rFonts w:cstheme="minorHAnsi"/>
              </w:rPr>
              <w:t>[</w:t>
            </w:r>
            <w:proofErr w:type="gramEnd"/>
            <w:r w:rsidR="0097759A" w:rsidRPr="00534D00">
              <w:rPr>
                <w:rFonts w:cstheme="minorHAnsi"/>
              </w:rPr>
              <w:t>Kumar S, et al]</w:t>
            </w:r>
            <w:r w:rsidRPr="00534D00">
              <w:rPr>
                <w:rFonts w:cstheme="minorHAnsi"/>
              </w:rPr>
              <w:t xml:space="preserve"> following treatment with ≥3 lines of therapy with no other available treatment that would confer benefit</w:t>
            </w:r>
            <w:r w:rsidR="00A309D4" w:rsidRPr="00534D00">
              <w:rPr>
                <w:rFonts w:cstheme="minorHAnsi"/>
              </w:rPr>
              <w:t xml:space="preserve"> for primary disease</w:t>
            </w:r>
          </w:p>
          <w:p w14:paraId="450EF1F7" w14:textId="37FE31C5" w:rsidR="006802DD" w:rsidRPr="00534D00" w:rsidRDefault="007F4716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M</w:t>
            </w:r>
            <w:r w:rsidR="006802DD" w:rsidRPr="00534D00">
              <w:rPr>
                <w:rFonts w:cstheme="minorHAnsi"/>
              </w:rPr>
              <w:t>easurable disease within ≥</w:t>
            </w:r>
            <w:r w:rsidR="00A47B61" w:rsidRPr="00534D00">
              <w:rPr>
                <w:rFonts w:cstheme="minorHAnsi"/>
              </w:rPr>
              <w:t>1</w:t>
            </w:r>
            <w:r w:rsidR="006802DD" w:rsidRPr="00534D00">
              <w:rPr>
                <w:rFonts w:cstheme="minorHAnsi"/>
              </w:rPr>
              <w:t xml:space="preserve"> of the following:</w:t>
            </w:r>
          </w:p>
          <w:p w14:paraId="69655D9B" w14:textId="202AA834" w:rsidR="006802DD" w:rsidRPr="00534D00" w:rsidRDefault="006802DD" w:rsidP="006F6B22">
            <w:pPr>
              <w:pStyle w:val="ListParagraph"/>
              <w:numPr>
                <w:ilvl w:val="1"/>
                <w:numId w:val="17"/>
              </w:numPr>
            </w:pPr>
            <w:r w:rsidRPr="00534D00">
              <w:t>Serum M-protein level ≥0.5 g/dL</w:t>
            </w:r>
          </w:p>
          <w:p w14:paraId="70C4EB15" w14:textId="16175833" w:rsidR="006802DD" w:rsidRPr="00534D00" w:rsidRDefault="006802DD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Urine M-protein level ≥200 mg/24 hours</w:t>
            </w:r>
          </w:p>
          <w:p w14:paraId="142E2D60" w14:textId="6F48F265" w:rsidR="006802DD" w:rsidRPr="00534D00" w:rsidRDefault="006802DD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Serum FLC assay: involved FLC level ≥</w:t>
            </w:r>
            <w:r w:rsidR="00FB0CC6" w:rsidRPr="00534D00">
              <w:rPr>
                <w:rFonts w:cstheme="minorHAnsi"/>
              </w:rPr>
              <w:t>10</w:t>
            </w:r>
            <w:r w:rsidRPr="00534D00">
              <w:rPr>
                <w:rFonts w:cstheme="minorHAnsi"/>
              </w:rPr>
              <w:t xml:space="preserve"> g/dL </w:t>
            </w:r>
            <w:r w:rsidR="00FB0CC6" w:rsidRPr="00534D00">
              <w:rPr>
                <w:rFonts w:cstheme="minorHAnsi"/>
              </w:rPr>
              <w:t xml:space="preserve">(100 mg/L) </w:t>
            </w:r>
            <w:r w:rsidRPr="00534D00">
              <w:rPr>
                <w:rFonts w:cstheme="minorHAnsi"/>
              </w:rPr>
              <w:t>and an abnormal</w:t>
            </w:r>
            <w:r w:rsidR="00A47B61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serum FLC ratio (&lt;0.26 or &gt;1.65)</w:t>
            </w:r>
          </w:p>
          <w:p w14:paraId="250D748B" w14:textId="2592C467" w:rsidR="006802DD" w:rsidRPr="00534D00" w:rsidRDefault="008830CB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Extramedullary</w:t>
            </w:r>
            <w:r w:rsidR="006802DD" w:rsidRPr="00534D00">
              <w:rPr>
                <w:rFonts w:cstheme="minorHAnsi"/>
              </w:rPr>
              <w:t xml:space="preserve"> plasmacytoma (measured within 28 days of </w:t>
            </w:r>
            <w:r w:rsidR="00A47B61" w:rsidRPr="00534D00">
              <w:rPr>
                <w:rFonts w:cstheme="minorHAnsi"/>
              </w:rPr>
              <w:t>s</w:t>
            </w:r>
            <w:r w:rsidR="006802DD" w:rsidRPr="00534D00">
              <w:rPr>
                <w:rFonts w:cstheme="minorHAnsi"/>
              </w:rPr>
              <w:t>creening)</w:t>
            </w:r>
            <w:r w:rsidR="004D06D9" w:rsidRPr="00534D00">
              <w:rPr>
                <w:rFonts w:cstheme="minorHAnsi"/>
              </w:rPr>
              <w:t xml:space="preserve"> can be used </w:t>
            </w:r>
            <w:r w:rsidR="00025340" w:rsidRPr="00534D00">
              <w:rPr>
                <w:rFonts w:cstheme="minorHAnsi"/>
              </w:rPr>
              <w:t xml:space="preserve">to adjudicate response assessments with any of the 3 other </w:t>
            </w:r>
            <w:proofErr w:type="gramStart"/>
            <w:r w:rsidR="00025340" w:rsidRPr="00534D00">
              <w:rPr>
                <w:rFonts w:cstheme="minorHAnsi"/>
              </w:rPr>
              <w:t>markers</w:t>
            </w:r>
            <w:proofErr w:type="gramEnd"/>
          </w:p>
          <w:p w14:paraId="587081B1" w14:textId="003AF4D2" w:rsidR="00792B61" w:rsidRPr="00534D00" w:rsidRDefault="00792B61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Dose-expansion cohort only:</w:t>
            </w:r>
          </w:p>
          <w:p w14:paraId="4813EEBD" w14:textId="612BEA64" w:rsidR="00792B61" w:rsidRPr="00534D00" w:rsidRDefault="00792B61" w:rsidP="00792B61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R</w:t>
            </w:r>
            <w:r w:rsidR="006D3EBD" w:rsidRPr="00534D00">
              <w:rPr>
                <w:rFonts w:cstheme="minorHAnsi"/>
              </w:rPr>
              <w:t>elapsed or r</w:t>
            </w:r>
            <w:r w:rsidRPr="00534D00">
              <w:rPr>
                <w:rFonts w:cstheme="minorHAnsi"/>
              </w:rPr>
              <w:t>efractory disease defined as disease progression (defined by IMWG criteria</w:t>
            </w:r>
            <w:r w:rsidR="00A6468F" w:rsidRPr="00534D00">
              <w:rPr>
                <w:rFonts w:cstheme="minorHAnsi"/>
              </w:rPr>
              <w:t xml:space="preserve"> [Kumar S, et al]</w:t>
            </w:r>
            <w:r w:rsidRPr="00534D00">
              <w:rPr>
                <w:rFonts w:cstheme="minorHAnsi"/>
              </w:rPr>
              <w:t xml:space="preserve">) while on therapy or within 60 days of </w:t>
            </w:r>
            <w:proofErr w:type="gramStart"/>
            <w:r w:rsidRPr="00534D00">
              <w:rPr>
                <w:rFonts w:cstheme="minorHAnsi"/>
              </w:rPr>
              <w:t>therapy</w:t>
            </w:r>
            <w:proofErr w:type="gramEnd"/>
          </w:p>
          <w:p w14:paraId="3FBAB156" w14:textId="4F65DF8A" w:rsidR="00792B61" w:rsidRPr="00534D00" w:rsidRDefault="00792B61" w:rsidP="00792B61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Previous exposure to proteasome inhibitor, immunomodulatory, </w:t>
            </w:r>
            <w:r w:rsidR="00C10B27" w:rsidRPr="00534D00">
              <w:rPr>
                <w:rFonts w:cstheme="minorHAnsi"/>
              </w:rPr>
              <w:t>and</w:t>
            </w:r>
            <w:r w:rsidRPr="00534D00">
              <w:rPr>
                <w:rFonts w:cstheme="minorHAnsi"/>
              </w:rPr>
              <w:t xml:space="preserve"> anti-CD38 therapy</w:t>
            </w:r>
          </w:p>
          <w:p w14:paraId="78320090" w14:textId="62D4BF6E" w:rsidR="00792B61" w:rsidRPr="00534D00" w:rsidRDefault="00792B61" w:rsidP="00792B61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lastRenderedPageBreak/>
              <w:t xml:space="preserve">Prior daratumumab (or other anti-CD38 therapies), with </w:t>
            </w:r>
            <w:r w:rsidR="00EF52A2" w:rsidRPr="00534D00">
              <w:rPr>
                <w:rFonts w:cstheme="minorHAnsi"/>
              </w:rPr>
              <w:t>≥</w:t>
            </w:r>
            <w:r w:rsidR="005A70FC" w:rsidRPr="00534D00">
              <w:rPr>
                <w:rFonts w:cstheme="minorHAnsi"/>
              </w:rPr>
              <w:t>3</w:t>
            </w:r>
            <w:r w:rsidRPr="00534D00">
              <w:rPr>
                <w:rFonts w:cstheme="minorHAnsi"/>
              </w:rPr>
              <w:t xml:space="preserve"> months’ washout</w:t>
            </w:r>
          </w:p>
          <w:p w14:paraId="314C89BA" w14:textId="598F5CE1" w:rsidR="00792B61" w:rsidRPr="00534D00" w:rsidRDefault="00311475" w:rsidP="00792B61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Responded at least once to prior</w:t>
            </w:r>
            <w:r w:rsidR="00792B61" w:rsidRPr="00534D00">
              <w:rPr>
                <w:rFonts w:cstheme="minorHAnsi"/>
              </w:rPr>
              <w:t xml:space="preserve"> daratumumab </w:t>
            </w:r>
            <w:proofErr w:type="gramStart"/>
            <w:r w:rsidR="00792B61" w:rsidRPr="00534D00">
              <w:rPr>
                <w:rFonts w:cstheme="minorHAnsi"/>
              </w:rPr>
              <w:t>treatment</w:t>
            </w:r>
            <w:proofErr w:type="gramEnd"/>
          </w:p>
          <w:p w14:paraId="70CEC978" w14:textId="77777777" w:rsidR="00792B61" w:rsidRPr="00534D00" w:rsidRDefault="00792B61" w:rsidP="00792B61">
            <w:pPr>
              <w:pStyle w:val="ListParagraph"/>
              <w:rPr>
                <w:rFonts w:cstheme="minorHAnsi"/>
              </w:rPr>
            </w:pPr>
          </w:p>
          <w:p w14:paraId="7B498C5C" w14:textId="7088CB52" w:rsidR="00AB5405" w:rsidRPr="00534D00" w:rsidRDefault="00AB5405" w:rsidP="00AB5405">
            <w:p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Inclusion criteria for patients with NHL</w:t>
            </w:r>
          </w:p>
          <w:p w14:paraId="59CEAE64" w14:textId="16C0C949" w:rsidR="00AB5405" w:rsidRPr="00534D00" w:rsidRDefault="00AB5405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Histologically confirmed CD19</w:t>
            </w:r>
            <w:r w:rsidR="00AC4879" w:rsidRPr="00534D00">
              <w:rPr>
                <w:rFonts w:cstheme="minorHAnsi"/>
              </w:rPr>
              <w:t>-</w:t>
            </w:r>
            <w:r w:rsidRPr="00534D00">
              <w:rPr>
                <w:rFonts w:cstheme="minorHAnsi"/>
              </w:rPr>
              <w:t>/CD20-positive NHL (including large B</w:t>
            </w:r>
            <w:r w:rsidR="00AC4879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cell lymphoma, high-grade B</w:t>
            </w:r>
            <w:r w:rsidR="00AC4879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cell lymphoma, primary mediastinal large B</w:t>
            </w:r>
            <w:r w:rsidR="00AC4879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cell lymphoma, or diffuse large B</w:t>
            </w:r>
            <w:r w:rsidR="00AC4879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cell lymphoma, arising from follicular lymphoma) confirmed by archived tumor biopsy tissue from last relapse </w:t>
            </w:r>
            <w:r w:rsidR="003F26FD" w:rsidRPr="00534D00">
              <w:rPr>
                <w:rFonts w:cstheme="minorHAnsi"/>
              </w:rPr>
              <w:t xml:space="preserve">or fresh biopsy at the time of </w:t>
            </w:r>
            <w:proofErr w:type="gramStart"/>
            <w:r w:rsidR="003F26FD" w:rsidRPr="00534D00">
              <w:rPr>
                <w:rFonts w:cstheme="minorHAnsi"/>
              </w:rPr>
              <w:t>inclusion</w:t>
            </w:r>
            <w:proofErr w:type="gramEnd"/>
          </w:p>
          <w:p w14:paraId="12E7DD28" w14:textId="220AFEC7" w:rsidR="00B11901" w:rsidRPr="00534D00" w:rsidRDefault="00B11901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Measurable or detectable disease according to the Lugano classification</w:t>
            </w:r>
            <w:r w:rsidR="00D70637" w:rsidRPr="00534D00">
              <w:rPr>
                <w:rFonts w:cstheme="minorHAnsi"/>
              </w:rPr>
              <w:t xml:space="preserve"> [Cheson BD, et al]</w:t>
            </w:r>
            <w:r w:rsidRPr="00534D00">
              <w:rPr>
                <w:rFonts w:cstheme="minorHAnsi"/>
              </w:rPr>
              <w:t xml:space="preserve"> and/or </w:t>
            </w:r>
            <w:proofErr w:type="spellStart"/>
            <w:r w:rsidRPr="00534D00">
              <w:rPr>
                <w:rFonts w:cstheme="minorHAnsi"/>
              </w:rPr>
              <w:t>extranodal</w:t>
            </w:r>
            <w:proofErr w:type="spellEnd"/>
            <w:r w:rsidRPr="00534D00">
              <w:rPr>
                <w:rFonts w:cstheme="minorHAnsi"/>
              </w:rPr>
              <w:t xml:space="preserve"> disease that is measurable by </w:t>
            </w:r>
            <w:r w:rsidR="00CB12D3" w:rsidRPr="00534D00">
              <w:rPr>
                <w:rFonts w:cstheme="minorHAnsi"/>
                <w:vertAlign w:val="superscript"/>
              </w:rPr>
              <w:t>18</w:t>
            </w:r>
            <w:r w:rsidR="00CB12D3" w:rsidRPr="00534D00">
              <w:rPr>
                <w:rFonts w:cstheme="minorHAnsi"/>
              </w:rPr>
              <w:t xml:space="preserve">F-FDG-PET </w:t>
            </w:r>
            <w:r w:rsidRPr="00534D00">
              <w:rPr>
                <w:rFonts w:cstheme="minorHAnsi"/>
              </w:rPr>
              <w:t xml:space="preserve">imaging </w:t>
            </w:r>
            <w:proofErr w:type="gramStart"/>
            <w:r w:rsidRPr="00534D00">
              <w:rPr>
                <w:rFonts w:cstheme="minorHAnsi"/>
              </w:rPr>
              <w:t>only</w:t>
            </w:r>
            <w:proofErr w:type="gramEnd"/>
            <w:r w:rsidRPr="00534D00">
              <w:rPr>
                <w:rFonts w:cstheme="minorHAnsi"/>
              </w:rPr>
              <w:t xml:space="preserve"> </w:t>
            </w:r>
          </w:p>
          <w:p w14:paraId="7E496FDF" w14:textId="28619E1D" w:rsidR="00B11901" w:rsidRPr="00534D00" w:rsidRDefault="00B11901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Evidence of disease progression (according to Lugano </w:t>
            </w:r>
            <w:r w:rsidR="00924FDA" w:rsidRPr="00534D00">
              <w:rPr>
                <w:rFonts w:cstheme="minorHAnsi"/>
              </w:rPr>
              <w:t>classification</w:t>
            </w:r>
            <w:r w:rsidR="00D70637" w:rsidRPr="00534D00">
              <w:rPr>
                <w:rFonts w:cstheme="minorHAnsi"/>
              </w:rPr>
              <w:t xml:space="preserve"> [Cheson BD, et al]</w:t>
            </w:r>
            <w:r w:rsidRPr="00534D00">
              <w:rPr>
                <w:rFonts w:cstheme="minorHAnsi"/>
              </w:rPr>
              <w:t xml:space="preserve">) on or after </w:t>
            </w:r>
            <w:r w:rsidR="00AC4879" w:rsidRPr="00534D00">
              <w:rPr>
                <w:rFonts w:cstheme="minorHAnsi"/>
              </w:rPr>
              <w:t xml:space="preserve">the </w:t>
            </w:r>
            <w:r w:rsidRPr="00534D00">
              <w:rPr>
                <w:rFonts w:cstheme="minorHAnsi"/>
              </w:rPr>
              <w:t>last regimen</w:t>
            </w:r>
          </w:p>
          <w:p w14:paraId="0971013A" w14:textId="4D40472D" w:rsidR="006F6B22" w:rsidRPr="00534D00" w:rsidRDefault="006F6B22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Dose-expansion cohort only:</w:t>
            </w:r>
          </w:p>
          <w:p w14:paraId="7228B1A1" w14:textId="43FB8019" w:rsidR="006F6B22" w:rsidRPr="00534D00" w:rsidRDefault="0015346E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Disease p</w:t>
            </w:r>
            <w:r w:rsidR="00DF0565" w:rsidRPr="00534D00">
              <w:rPr>
                <w:rFonts w:cstheme="minorHAnsi"/>
              </w:rPr>
              <w:t xml:space="preserve">rogression </w:t>
            </w:r>
            <w:r w:rsidR="00E76179" w:rsidRPr="00534D00">
              <w:rPr>
                <w:rFonts w:cstheme="minorHAnsi"/>
              </w:rPr>
              <w:t xml:space="preserve">on a </w:t>
            </w:r>
            <w:r w:rsidR="006F6B22" w:rsidRPr="00534D00">
              <w:rPr>
                <w:rFonts w:cstheme="minorHAnsi"/>
              </w:rPr>
              <w:t xml:space="preserve">commercially approved CD19 CAR-T product, with the first dose of NKTR-255 administered within 30 days of </w:t>
            </w:r>
            <w:proofErr w:type="gramStart"/>
            <w:r w:rsidR="006F6B22" w:rsidRPr="00534D00">
              <w:rPr>
                <w:rFonts w:cstheme="minorHAnsi"/>
              </w:rPr>
              <w:t>progression</w:t>
            </w:r>
            <w:proofErr w:type="gramEnd"/>
          </w:p>
          <w:p w14:paraId="56951C87" w14:textId="77777777" w:rsidR="00712A7F" w:rsidRPr="00534D00" w:rsidRDefault="00712A7F" w:rsidP="00712A7F">
            <w:pPr>
              <w:pStyle w:val="ListParagraph"/>
              <w:rPr>
                <w:rFonts w:cstheme="minorHAnsi"/>
              </w:rPr>
            </w:pPr>
          </w:p>
          <w:p w14:paraId="55854731" w14:textId="75090D45" w:rsidR="00B11901" w:rsidRPr="00534D00" w:rsidRDefault="00B11901" w:rsidP="00B11901">
            <w:p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 xml:space="preserve">Inclusion criteria for patients with </w:t>
            </w:r>
            <w:proofErr w:type="spellStart"/>
            <w:r w:rsidRPr="00534D00">
              <w:rPr>
                <w:rFonts w:cstheme="minorHAnsi"/>
                <w:b/>
                <w:bCs/>
              </w:rPr>
              <w:t>iNHL</w:t>
            </w:r>
            <w:proofErr w:type="spellEnd"/>
          </w:p>
          <w:p w14:paraId="3BF861CB" w14:textId="226E1673" w:rsidR="00B11901" w:rsidRPr="00534D00" w:rsidRDefault="00B11901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Histologically confirmed </w:t>
            </w:r>
            <w:r w:rsidR="00324A63" w:rsidRPr="00534D00">
              <w:rPr>
                <w:rFonts w:cstheme="minorHAnsi"/>
              </w:rPr>
              <w:t xml:space="preserve">CD19-/CD20-positive </w:t>
            </w:r>
            <w:proofErr w:type="spellStart"/>
            <w:r w:rsidRPr="00534D00">
              <w:rPr>
                <w:rFonts w:cstheme="minorHAnsi"/>
              </w:rPr>
              <w:t>iNHL</w:t>
            </w:r>
            <w:proofErr w:type="spellEnd"/>
            <w:r w:rsidRPr="00534D00">
              <w:rPr>
                <w:rFonts w:cstheme="minorHAnsi"/>
              </w:rPr>
              <w:t xml:space="preserve"> (follicular lymphoma </w:t>
            </w:r>
            <w:r w:rsidR="00D82531" w:rsidRPr="00534D00">
              <w:rPr>
                <w:rFonts w:cstheme="minorHAnsi"/>
              </w:rPr>
              <w:t>G</w:t>
            </w:r>
            <w:r w:rsidRPr="00534D00">
              <w:rPr>
                <w:rFonts w:cstheme="minorHAnsi"/>
              </w:rPr>
              <w:t xml:space="preserve">rade 1, 2, 3a; marginal zone lymphoma; small lymphocytic lymphoma or lymphoplasmacytic lymphoma) </w:t>
            </w:r>
            <w:r w:rsidR="004D459F" w:rsidRPr="00534D00">
              <w:rPr>
                <w:rFonts w:cstheme="minorHAnsi"/>
              </w:rPr>
              <w:t xml:space="preserve">confirmed by archived tumor biopsy tissue from last relapse or fresh biopsy at the time of </w:t>
            </w:r>
            <w:proofErr w:type="gramStart"/>
            <w:r w:rsidR="004D459F" w:rsidRPr="00534D00">
              <w:rPr>
                <w:rFonts w:cstheme="minorHAnsi"/>
              </w:rPr>
              <w:t>inclusion</w:t>
            </w:r>
            <w:proofErr w:type="gramEnd"/>
          </w:p>
          <w:p w14:paraId="74437EFA" w14:textId="39944C99" w:rsidR="00B11901" w:rsidRPr="00534D00" w:rsidRDefault="00B11901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Anti-CD20 </w:t>
            </w:r>
            <w:proofErr w:type="spellStart"/>
            <w:r w:rsidRPr="00534D00">
              <w:rPr>
                <w:rFonts w:cstheme="minorHAnsi"/>
              </w:rPr>
              <w:t>mAb</w:t>
            </w:r>
            <w:proofErr w:type="spellEnd"/>
            <w:r w:rsidRPr="00534D00">
              <w:rPr>
                <w:rFonts w:cstheme="minorHAnsi"/>
              </w:rPr>
              <w:t>-refractory disease, defined as progressive</w:t>
            </w:r>
            <w:r w:rsidR="000A0357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disease while on</w:t>
            </w:r>
            <w:r w:rsidR="000A0357" w:rsidRPr="00534D00">
              <w:rPr>
                <w:rFonts w:cstheme="minorHAnsi"/>
              </w:rPr>
              <w:t xml:space="preserve"> or within 6 months of taking</w:t>
            </w:r>
            <w:r w:rsidRPr="00534D00">
              <w:rPr>
                <w:rFonts w:cstheme="minorHAnsi"/>
              </w:rPr>
              <w:t xml:space="preserve"> rituximab (or another anti-CD20 </w:t>
            </w:r>
            <w:proofErr w:type="spellStart"/>
            <w:r w:rsidRPr="00534D00">
              <w:rPr>
                <w:rFonts w:cstheme="minorHAnsi"/>
              </w:rPr>
              <w:t>m</w:t>
            </w:r>
            <w:r w:rsidR="000A0357" w:rsidRPr="00534D00">
              <w:rPr>
                <w:rFonts w:cstheme="minorHAnsi"/>
              </w:rPr>
              <w:t>Ab</w:t>
            </w:r>
            <w:proofErr w:type="spellEnd"/>
            <w:r w:rsidRPr="00534D00">
              <w:rPr>
                <w:rFonts w:cstheme="minorHAnsi"/>
              </w:rPr>
              <w:t>)</w:t>
            </w:r>
          </w:p>
          <w:p w14:paraId="3E927B4A" w14:textId="484C8EC4" w:rsidR="00B11901" w:rsidRPr="00534D00" w:rsidRDefault="00B11901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Anti-CD20 </w:t>
            </w:r>
            <w:proofErr w:type="spellStart"/>
            <w:r w:rsidRPr="00534D00">
              <w:rPr>
                <w:rFonts w:cstheme="minorHAnsi"/>
              </w:rPr>
              <w:t>mAb</w:t>
            </w:r>
            <w:proofErr w:type="spellEnd"/>
            <w:r w:rsidRPr="00534D00">
              <w:rPr>
                <w:rFonts w:cstheme="minorHAnsi"/>
              </w:rPr>
              <w:t>-sensitive disease, defined as a response to a prior rituximab-containing</w:t>
            </w:r>
            <w:r w:rsidR="000A0357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(or another anti-CD20 </w:t>
            </w:r>
            <w:proofErr w:type="spellStart"/>
            <w:r w:rsidR="000A0357" w:rsidRPr="00534D00">
              <w:rPr>
                <w:rFonts w:cstheme="minorHAnsi"/>
              </w:rPr>
              <w:t>mAb</w:t>
            </w:r>
            <w:proofErr w:type="spellEnd"/>
            <w:r w:rsidRPr="00534D00">
              <w:rPr>
                <w:rFonts w:cstheme="minorHAnsi"/>
              </w:rPr>
              <w:t>) regimen, and relapse</w:t>
            </w:r>
            <w:r w:rsidR="000A0357" w:rsidRPr="00534D00">
              <w:rPr>
                <w:rFonts w:cstheme="minorHAnsi"/>
              </w:rPr>
              <w:t xml:space="preserve"> &gt;</w:t>
            </w:r>
            <w:r w:rsidRPr="00534D00">
              <w:rPr>
                <w:rFonts w:cstheme="minorHAnsi"/>
              </w:rPr>
              <w:t>6 months from the last administration of rituximab-containing (or another</w:t>
            </w:r>
            <w:r w:rsidR="000A0357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anti-CD20 </w:t>
            </w:r>
            <w:proofErr w:type="spellStart"/>
            <w:r w:rsidR="000A0357" w:rsidRPr="00534D00">
              <w:rPr>
                <w:rFonts w:cstheme="minorHAnsi"/>
              </w:rPr>
              <w:t>mAb</w:t>
            </w:r>
            <w:proofErr w:type="spellEnd"/>
            <w:r w:rsidRPr="00534D00">
              <w:rPr>
                <w:rFonts w:cstheme="minorHAnsi"/>
              </w:rPr>
              <w:t xml:space="preserve">) </w:t>
            </w:r>
            <w:proofErr w:type="gramStart"/>
            <w:r w:rsidRPr="00534D00">
              <w:rPr>
                <w:rFonts w:cstheme="minorHAnsi"/>
              </w:rPr>
              <w:t>therapy</w:t>
            </w:r>
            <w:proofErr w:type="gramEnd"/>
          </w:p>
          <w:p w14:paraId="2CFBDE20" w14:textId="7A81D7CD" w:rsidR="00B11901" w:rsidRPr="00534D00" w:rsidRDefault="00D01BC2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Patients with </w:t>
            </w:r>
            <w:r w:rsidR="00617FF8" w:rsidRPr="00534D00">
              <w:rPr>
                <w:rFonts w:cstheme="minorHAnsi"/>
              </w:rPr>
              <w:t>c</w:t>
            </w:r>
            <w:r w:rsidR="00B11901" w:rsidRPr="00534D00">
              <w:rPr>
                <w:rFonts w:cstheme="minorHAnsi"/>
              </w:rPr>
              <w:t>utaneous</w:t>
            </w:r>
            <w:r w:rsidR="000A0357" w:rsidRPr="00534D00">
              <w:rPr>
                <w:rFonts w:cstheme="minorHAnsi"/>
              </w:rPr>
              <w:t>-</w:t>
            </w:r>
            <w:r w:rsidR="00B11901" w:rsidRPr="00534D00">
              <w:rPr>
                <w:rFonts w:cstheme="minorHAnsi"/>
              </w:rPr>
              <w:t xml:space="preserve">only disease </w:t>
            </w:r>
            <w:r w:rsidR="000A0357" w:rsidRPr="00534D00">
              <w:rPr>
                <w:rFonts w:cstheme="minorHAnsi"/>
              </w:rPr>
              <w:t>with</w:t>
            </w:r>
            <w:r w:rsidR="00B11901" w:rsidRPr="00534D00">
              <w:rPr>
                <w:rFonts w:cstheme="minorHAnsi"/>
              </w:rPr>
              <w:t xml:space="preserve"> clearly measurable</w:t>
            </w:r>
            <w:r w:rsidR="000A0357" w:rsidRPr="00534D00">
              <w:rPr>
                <w:rFonts w:cstheme="minorHAnsi"/>
              </w:rPr>
              <w:t xml:space="preserve"> </w:t>
            </w:r>
            <w:r w:rsidR="00B11901" w:rsidRPr="00534D00">
              <w:rPr>
                <w:rFonts w:cstheme="minorHAnsi"/>
              </w:rPr>
              <w:t>skin lesion</w:t>
            </w:r>
            <w:r w:rsidR="0042299B" w:rsidRPr="00534D00">
              <w:rPr>
                <w:rFonts w:cstheme="minorHAnsi"/>
              </w:rPr>
              <w:t>s</w:t>
            </w:r>
            <w:r w:rsidRPr="00534D00">
              <w:rPr>
                <w:rFonts w:cstheme="minorHAnsi"/>
              </w:rPr>
              <w:t xml:space="preserve"> are </w:t>
            </w:r>
            <w:proofErr w:type="gramStart"/>
            <w:r w:rsidRPr="00534D00">
              <w:rPr>
                <w:rFonts w:cstheme="minorHAnsi"/>
              </w:rPr>
              <w:t>permitted</w:t>
            </w:r>
            <w:proofErr w:type="gramEnd"/>
          </w:p>
          <w:p w14:paraId="255C4E78" w14:textId="0D0B3843" w:rsidR="00ED0128" w:rsidRPr="00534D00" w:rsidRDefault="00ED0128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Dose-expansion cohort only:</w:t>
            </w:r>
          </w:p>
          <w:p w14:paraId="1FD7ADC8" w14:textId="74600BAC" w:rsidR="00ED0128" w:rsidRPr="00534D00" w:rsidRDefault="00ED0128" w:rsidP="00ED0128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Relapsed</w:t>
            </w:r>
            <w:r w:rsidR="009D1995" w:rsidRPr="00534D00">
              <w:rPr>
                <w:rFonts w:cstheme="minorHAnsi"/>
              </w:rPr>
              <w:t>/</w:t>
            </w:r>
            <w:r w:rsidRPr="00534D00">
              <w:rPr>
                <w:rFonts w:cstheme="minorHAnsi"/>
              </w:rPr>
              <w:t xml:space="preserve">refractory </w:t>
            </w:r>
            <w:proofErr w:type="spellStart"/>
            <w:r w:rsidRPr="00534D00">
              <w:rPr>
                <w:rFonts w:cstheme="minorHAnsi"/>
              </w:rPr>
              <w:t>iNHL</w:t>
            </w:r>
            <w:proofErr w:type="spellEnd"/>
            <w:r w:rsidRPr="00534D00">
              <w:rPr>
                <w:rFonts w:cstheme="minorHAnsi"/>
              </w:rPr>
              <w:t xml:space="preserve"> that has progressed during or following ≥1 prior systemic rituximab-containing (or another anti-CD20 </w:t>
            </w:r>
            <w:proofErr w:type="spellStart"/>
            <w:r w:rsidRPr="00534D00">
              <w:rPr>
                <w:rFonts w:cstheme="minorHAnsi"/>
              </w:rPr>
              <w:t>mAb</w:t>
            </w:r>
            <w:proofErr w:type="spellEnd"/>
            <w:r w:rsidRPr="00534D00">
              <w:rPr>
                <w:rFonts w:cstheme="minorHAnsi"/>
              </w:rPr>
              <w:t xml:space="preserve">-containing) regimen for </w:t>
            </w:r>
            <w:proofErr w:type="gramStart"/>
            <w:r w:rsidRPr="00534D00">
              <w:rPr>
                <w:rFonts w:cstheme="minorHAnsi"/>
              </w:rPr>
              <w:t>lymphoma</w:t>
            </w:r>
            <w:proofErr w:type="gramEnd"/>
          </w:p>
          <w:p w14:paraId="5309B9DC" w14:textId="77777777" w:rsidR="00712A7F" w:rsidRPr="00534D00" w:rsidRDefault="00712A7F" w:rsidP="00712A7F">
            <w:pPr>
              <w:pStyle w:val="ListParagraph"/>
              <w:rPr>
                <w:rFonts w:cstheme="minorHAnsi"/>
              </w:rPr>
            </w:pPr>
          </w:p>
          <w:p w14:paraId="37F6B9B0" w14:textId="14200F69" w:rsidR="00DF667A" w:rsidRPr="00534D00" w:rsidRDefault="00DF667A" w:rsidP="00180ABE">
            <w:p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Exclusion criteria</w:t>
            </w:r>
          </w:p>
          <w:p w14:paraId="25A2568F" w14:textId="12FD2E7A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Any treatment-related neurotoxicity or </w:t>
            </w:r>
            <w:r w:rsidR="00500BBA" w:rsidRPr="00534D00">
              <w:rPr>
                <w:rFonts w:cstheme="minorHAnsi"/>
              </w:rPr>
              <w:t>cytokine</w:t>
            </w:r>
            <w:r w:rsidR="000F5D02" w:rsidRPr="00534D00">
              <w:rPr>
                <w:rFonts w:cstheme="minorHAnsi"/>
              </w:rPr>
              <w:t>-</w:t>
            </w:r>
            <w:r w:rsidR="00500BBA" w:rsidRPr="00534D00">
              <w:rPr>
                <w:rFonts w:cstheme="minorHAnsi"/>
              </w:rPr>
              <w:t>release syndrome</w:t>
            </w:r>
            <w:r w:rsidRPr="00534D00">
              <w:rPr>
                <w:rFonts w:cstheme="minorHAnsi"/>
              </w:rPr>
              <w:t xml:space="preserve"> prior to enrol</w:t>
            </w:r>
            <w:r w:rsidR="000F5D02" w:rsidRPr="00534D00">
              <w:rPr>
                <w:rFonts w:cstheme="minorHAnsi"/>
              </w:rPr>
              <w:t>l</w:t>
            </w:r>
            <w:r w:rsidRPr="00534D00">
              <w:rPr>
                <w:rFonts w:cstheme="minorHAnsi"/>
              </w:rPr>
              <w:t xml:space="preserve">ment that does not return to baseline prior to NKTR-255 </w:t>
            </w:r>
            <w:proofErr w:type="gramStart"/>
            <w:r w:rsidRPr="00534D00">
              <w:rPr>
                <w:rFonts w:cstheme="minorHAnsi"/>
              </w:rPr>
              <w:t>treatment</w:t>
            </w:r>
            <w:proofErr w:type="gramEnd"/>
          </w:p>
          <w:p w14:paraId="11D9397D" w14:textId="6101D831" w:rsidR="005B46C4" w:rsidRPr="00534D00" w:rsidRDefault="005B46C4" w:rsidP="00085FD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Use of an investigational agent or device within 2</w:t>
            </w:r>
            <w:r w:rsidR="007C4EF8" w:rsidRPr="00534D00">
              <w:rPr>
                <w:rFonts w:cstheme="minorHAnsi"/>
              </w:rPr>
              <w:t>8</w:t>
            </w:r>
            <w:r w:rsidRPr="00534D00">
              <w:rPr>
                <w:rFonts w:cstheme="minorHAnsi"/>
              </w:rPr>
              <w:t xml:space="preserve"> days before</w:t>
            </w:r>
            <w:r w:rsidR="00DE1A1D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administration of first dose of study drug(s) (except for investigational antimyeloma agents, which cannot be taken within 14 days prior to study treatment)</w:t>
            </w:r>
          </w:p>
          <w:p w14:paraId="5C5079B7" w14:textId="77777777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Active, known, or suspected autoimmune disease</w:t>
            </w:r>
          </w:p>
          <w:p w14:paraId="075E32D5" w14:textId="38EA0C52" w:rsidR="005B46C4" w:rsidRPr="00534D00" w:rsidRDefault="005B46C4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Patients requiring systemic treatment within the past 3 months or with a documented history of clinically severe autoimmune disease that requires systemic corticosteroids or immunosuppressive </w:t>
            </w:r>
            <w:proofErr w:type="gramStart"/>
            <w:r w:rsidRPr="00534D00">
              <w:rPr>
                <w:rFonts w:cstheme="minorHAnsi"/>
              </w:rPr>
              <w:t>agents</w:t>
            </w:r>
            <w:proofErr w:type="gramEnd"/>
          </w:p>
          <w:p w14:paraId="7F41735C" w14:textId="5045E154" w:rsidR="005B46C4" w:rsidRPr="00534D00" w:rsidRDefault="005B46C4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Exceptions include any patient on ≤10 mg of prednisone or equivalent, patients with vitiligo, hypothyroidism stable on hormone replacement, </w:t>
            </w:r>
            <w:r w:rsidR="0049276B" w:rsidRPr="00534D00">
              <w:rPr>
                <w:rFonts w:cstheme="minorHAnsi"/>
              </w:rPr>
              <w:t>t</w:t>
            </w:r>
            <w:r w:rsidRPr="00534D00">
              <w:rPr>
                <w:rFonts w:cstheme="minorHAnsi"/>
              </w:rPr>
              <w:t xml:space="preserve">ype </w:t>
            </w:r>
            <w:r w:rsidR="00915FD3" w:rsidRPr="00534D00">
              <w:rPr>
                <w:rFonts w:cstheme="minorHAnsi"/>
              </w:rPr>
              <w:t>1</w:t>
            </w:r>
            <w:r w:rsidRPr="00534D00">
              <w:rPr>
                <w:rFonts w:cstheme="minorHAnsi"/>
              </w:rPr>
              <w:t xml:space="preserve"> diabetes, Graves’ disease, Hashimoto's disease, alopecia areata, eczema, psoriasis, or with medical monitor </w:t>
            </w:r>
            <w:proofErr w:type="gramStart"/>
            <w:r w:rsidRPr="00534D00">
              <w:rPr>
                <w:rFonts w:cstheme="minorHAnsi"/>
              </w:rPr>
              <w:t>approval</w:t>
            </w:r>
            <w:proofErr w:type="gramEnd"/>
          </w:p>
          <w:p w14:paraId="0CF387F0" w14:textId="3481BD44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History of allergy or hypersensitivity to study drug components</w:t>
            </w:r>
          </w:p>
          <w:p w14:paraId="75B2AADF" w14:textId="6E72807C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History of organ transplant that requires ongoing use of immune suppressive </w:t>
            </w:r>
            <w:proofErr w:type="gramStart"/>
            <w:r w:rsidRPr="00534D00">
              <w:rPr>
                <w:rFonts w:cstheme="minorHAnsi"/>
              </w:rPr>
              <w:t>agents</w:t>
            </w:r>
            <w:proofErr w:type="gramEnd"/>
          </w:p>
          <w:p w14:paraId="62521F0D" w14:textId="23DC0139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Prior IL-2 or IL-15</w:t>
            </w:r>
            <w:r w:rsidR="00F27FD3" w:rsidRPr="00534D00">
              <w:rPr>
                <w:rFonts w:cstheme="minorHAnsi"/>
              </w:rPr>
              <w:t xml:space="preserve"> therapy</w:t>
            </w:r>
          </w:p>
          <w:p w14:paraId="18CE3A77" w14:textId="1ECFB794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Previous daratumumab or other anti-CD38 therapies without </w:t>
            </w:r>
            <w:r w:rsidR="00924FDA" w:rsidRPr="00534D00">
              <w:rPr>
                <w:rFonts w:cstheme="minorHAnsi"/>
              </w:rPr>
              <w:t xml:space="preserve">a </w:t>
            </w:r>
            <w:r w:rsidR="00A06EA7" w:rsidRPr="00534D00">
              <w:rPr>
                <w:rFonts w:cstheme="minorHAnsi"/>
              </w:rPr>
              <w:t>3</w:t>
            </w:r>
            <w:r w:rsidR="00924FDA" w:rsidRPr="00534D00">
              <w:rPr>
                <w:rFonts w:cstheme="minorHAnsi"/>
              </w:rPr>
              <w:t>-</w:t>
            </w:r>
            <w:r w:rsidRPr="00534D00">
              <w:rPr>
                <w:rFonts w:cstheme="minorHAnsi"/>
              </w:rPr>
              <w:t>month washout</w:t>
            </w:r>
          </w:p>
          <w:p w14:paraId="4B33830B" w14:textId="77777777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Use of warfarin within 14 days of initiating study drug(s)</w:t>
            </w:r>
          </w:p>
          <w:p w14:paraId="08C87E59" w14:textId="0EC1EFF6" w:rsidR="005B46C4" w:rsidRPr="00534D00" w:rsidRDefault="005D351D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lastRenderedPageBreak/>
              <w:t>L</w:t>
            </w:r>
            <w:r w:rsidR="005B46C4" w:rsidRPr="00534D00">
              <w:rPr>
                <w:rFonts w:cstheme="minorHAnsi"/>
              </w:rPr>
              <w:t xml:space="preserve">ow molecular weight heparin is allowed on the </w:t>
            </w:r>
            <w:proofErr w:type="gramStart"/>
            <w:r w:rsidR="005B46C4" w:rsidRPr="00534D00">
              <w:rPr>
                <w:rFonts w:cstheme="minorHAnsi"/>
              </w:rPr>
              <w:t>study</w:t>
            </w:r>
            <w:proofErr w:type="gramEnd"/>
          </w:p>
          <w:p w14:paraId="7CD0716A" w14:textId="506942D4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Unresolved toxicity from previous anticancer therapy, unless resolved to Grade ≤1; or resolved to Grade 2 (with the exceptions outlined in the inclusion criteria or deemed clinically not significant, and approved by the sponsor); or resulting from incomplete recovery from </w:t>
            </w:r>
            <w:proofErr w:type="gramStart"/>
            <w:r w:rsidRPr="00534D00">
              <w:rPr>
                <w:rFonts w:cstheme="minorHAnsi"/>
              </w:rPr>
              <w:t>surgery</w:t>
            </w:r>
            <w:proofErr w:type="gramEnd"/>
          </w:p>
          <w:p w14:paraId="4DD3A1B4" w14:textId="77777777" w:rsidR="005B46C4" w:rsidRPr="00534D00" w:rsidRDefault="005B46C4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Prior surgery or radiotherapy within 14 days of initiating study drug(s)</w:t>
            </w:r>
          </w:p>
          <w:p w14:paraId="1247B02A" w14:textId="21C27233" w:rsidR="00DF667A" w:rsidRPr="00534D00" w:rsidRDefault="005B46C4" w:rsidP="00667B48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</w:rPr>
              <w:t>Patients must have recovered from all radiation-related toxicities, not required corticosteroids</w:t>
            </w:r>
            <w:r w:rsidR="00515007" w:rsidRPr="00534D00">
              <w:rPr>
                <w:rFonts w:cstheme="minorHAnsi"/>
              </w:rPr>
              <w:t>,</w:t>
            </w:r>
            <w:r w:rsidRPr="00534D00">
              <w:rPr>
                <w:rFonts w:cstheme="minorHAnsi"/>
              </w:rPr>
              <w:t xml:space="preserve"> and not had radiation </w:t>
            </w:r>
            <w:proofErr w:type="gramStart"/>
            <w:r w:rsidRPr="00534D00">
              <w:rPr>
                <w:rFonts w:cstheme="minorHAnsi"/>
              </w:rPr>
              <w:t>pneumonitis</w:t>
            </w:r>
            <w:proofErr w:type="gramEnd"/>
          </w:p>
          <w:p w14:paraId="1017256F" w14:textId="0FEAB19D" w:rsidR="00C25730" w:rsidRPr="00534D00" w:rsidRDefault="00C2573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Patients participating in observational studies should be discussed with the medical monitor to confirm </w:t>
            </w:r>
            <w:proofErr w:type="gramStart"/>
            <w:r w:rsidRPr="00534D00">
              <w:rPr>
                <w:rFonts w:cstheme="minorHAnsi"/>
              </w:rPr>
              <w:t>eligibility</w:t>
            </w:r>
            <w:proofErr w:type="gramEnd"/>
          </w:p>
          <w:p w14:paraId="268C4CD6" w14:textId="0F4CAAD6" w:rsidR="00D771A0" w:rsidRPr="00534D00" w:rsidRDefault="00A44A33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Patients who</w:t>
            </w:r>
            <w:r w:rsidR="00C436D8" w:rsidRPr="00534D00">
              <w:rPr>
                <w:rFonts w:cstheme="minorHAnsi"/>
              </w:rPr>
              <w:t xml:space="preserve"> have</w:t>
            </w:r>
            <w:r w:rsidRPr="00534D00">
              <w:rPr>
                <w:rFonts w:cstheme="minorHAnsi"/>
              </w:rPr>
              <w:t xml:space="preserve"> had </w:t>
            </w:r>
            <w:r w:rsidR="00C436D8" w:rsidRPr="00534D00">
              <w:rPr>
                <w:rFonts w:cstheme="minorHAnsi"/>
              </w:rPr>
              <w:t>&lt;28 days of a</w:t>
            </w:r>
            <w:r w:rsidR="00C25730" w:rsidRPr="00534D00">
              <w:rPr>
                <w:rFonts w:cstheme="minorHAnsi"/>
              </w:rPr>
              <w:t>nticancer treatment, chemotherapy,</w:t>
            </w:r>
            <w:r w:rsidR="00D771A0" w:rsidRPr="00534D00">
              <w:rPr>
                <w:rFonts w:cstheme="minorHAnsi"/>
              </w:rPr>
              <w:t xml:space="preserve"> or </w:t>
            </w:r>
            <w:r w:rsidR="00C25730" w:rsidRPr="00534D00">
              <w:rPr>
                <w:rFonts w:cstheme="minorHAnsi"/>
              </w:rPr>
              <w:t>biologic therapy</w:t>
            </w:r>
            <w:r w:rsidR="00D771A0" w:rsidRPr="00534D00">
              <w:rPr>
                <w:rFonts w:cstheme="minorHAnsi"/>
              </w:rPr>
              <w:t xml:space="preserve"> </w:t>
            </w:r>
            <w:r w:rsidR="00C436D8" w:rsidRPr="00534D00">
              <w:rPr>
                <w:rFonts w:cstheme="minorHAnsi"/>
              </w:rPr>
              <w:t xml:space="preserve">or </w:t>
            </w:r>
            <w:r w:rsidR="00327CFF" w:rsidRPr="00534D00">
              <w:rPr>
                <w:rFonts w:cstheme="minorHAnsi"/>
              </w:rPr>
              <w:t xml:space="preserve">&lt;14 days from </w:t>
            </w:r>
            <w:r w:rsidR="00C436D8" w:rsidRPr="00534D00">
              <w:rPr>
                <w:rFonts w:cstheme="minorHAnsi"/>
              </w:rPr>
              <w:t xml:space="preserve">approved anti-myeloma agent, or systemic or inhaled steroid therapy at doses &gt;10 mg of prednisone or </w:t>
            </w:r>
            <w:r w:rsidR="00327CFF" w:rsidRPr="00534D00">
              <w:rPr>
                <w:rFonts w:cstheme="minorHAnsi"/>
              </w:rPr>
              <w:t xml:space="preserve">equivalent </w:t>
            </w:r>
            <w:r w:rsidR="00D771A0" w:rsidRPr="00534D00">
              <w:rPr>
                <w:rFonts w:cstheme="minorHAnsi"/>
              </w:rPr>
              <w:t>before administration of the first dose of study drug(s)</w:t>
            </w:r>
          </w:p>
          <w:p w14:paraId="0271EE56" w14:textId="6C62E5D8" w:rsidR="00D771A0" w:rsidRPr="00534D00" w:rsidRDefault="00D771A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</w:t>
            </w:r>
            <w:r w:rsidR="00C25730" w:rsidRPr="00534D00">
              <w:rPr>
                <w:rFonts w:cstheme="minorHAnsi"/>
              </w:rPr>
              <w:t>pproved tyrosine kinase inhibitor therapy (sunitinib,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 xml:space="preserve">sorafenib, vemurafenib, dabrafenib, </w:t>
            </w:r>
            <w:proofErr w:type="spellStart"/>
            <w:r w:rsidR="00C25730" w:rsidRPr="00534D00">
              <w:rPr>
                <w:rFonts w:cstheme="minorHAnsi"/>
              </w:rPr>
              <w:t>cobimetinib</w:t>
            </w:r>
            <w:proofErr w:type="spellEnd"/>
            <w:r w:rsidR="00C25730" w:rsidRPr="00534D00">
              <w:rPr>
                <w:rFonts w:cstheme="minorHAnsi"/>
              </w:rPr>
              <w:t>), or systemic or inhaled steroid therapy at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 xml:space="preserve">doses </w:t>
            </w:r>
            <w:r w:rsidR="009E4FCF" w:rsidRPr="00534D00">
              <w:rPr>
                <w:rFonts w:cstheme="minorHAnsi"/>
              </w:rPr>
              <w:t>&gt;</w:t>
            </w:r>
            <w:r w:rsidR="00C25730" w:rsidRPr="00534D00">
              <w:rPr>
                <w:rFonts w:cstheme="minorHAnsi"/>
              </w:rPr>
              <w:t xml:space="preserve">10 mg of prednisone or equivalent </w:t>
            </w:r>
            <w:r w:rsidRPr="00534D00">
              <w:rPr>
                <w:rFonts w:cstheme="minorHAnsi"/>
              </w:rPr>
              <w:t xml:space="preserve">&lt;14 days </w:t>
            </w:r>
            <w:r w:rsidR="00C25730" w:rsidRPr="00534D00">
              <w:rPr>
                <w:rFonts w:cstheme="minorHAnsi"/>
              </w:rPr>
              <w:t>before administration of the first dose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>of study drug(s)</w:t>
            </w:r>
          </w:p>
          <w:p w14:paraId="744E36FD" w14:textId="738F01D3" w:rsidR="00C25730" w:rsidRPr="00534D00" w:rsidRDefault="00DB5ACE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</w:t>
            </w:r>
            <w:r w:rsidR="00C25730" w:rsidRPr="00534D00">
              <w:rPr>
                <w:rFonts w:cstheme="minorHAnsi"/>
              </w:rPr>
              <w:t>atients in Cohort A may receive bridging</w:t>
            </w:r>
            <w:r w:rsidR="00D771A0"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 xml:space="preserve">chemotherapy within the 30-day window following progression on CAR-T </w:t>
            </w:r>
            <w:r w:rsidR="003D34E5" w:rsidRPr="00534D00">
              <w:rPr>
                <w:rFonts w:cstheme="minorHAnsi"/>
              </w:rPr>
              <w:t xml:space="preserve">therapy </w:t>
            </w:r>
            <w:r w:rsidR="00C25730" w:rsidRPr="00534D00">
              <w:rPr>
                <w:rFonts w:cstheme="minorHAnsi"/>
              </w:rPr>
              <w:t>and before</w:t>
            </w:r>
            <w:r w:rsidR="00D771A0"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 xml:space="preserve">starting study </w:t>
            </w:r>
            <w:proofErr w:type="gramStart"/>
            <w:r w:rsidR="00C25730" w:rsidRPr="00534D00">
              <w:rPr>
                <w:rFonts w:cstheme="minorHAnsi"/>
              </w:rPr>
              <w:t>drug</w:t>
            </w:r>
            <w:proofErr w:type="gramEnd"/>
          </w:p>
          <w:p w14:paraId="77A06FD5" w14:textId="7FA162ED" w:rsidR="00C25730" w:rsidRPr="00534D00" w:rsidRDefault="00C2573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Active infection requiring systemic therapy within 7 days prior to </w:t>
            </w:r>
            <w:proofErr w:type="gramStart"/>
            <w:r w:rsidRPr="00534D00">
              <w:rPr>
                <w:rFonts w:cstheme="minorHAnsi"/>
              </w:rPr>
              <w:t>dosing</w:t>
            </w:r>
            <w:proofErr w:type="gramEnd"/>
          </w:p>
          <w:p w14:paraId="54E4B003" w14:textId="2C3EC1A8" w:rsidR="00C25730" w:rsidRPr="00534D00" w:rsidRDefault="00D771A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K</w:t>
            </w:r>
            <w:r w:rsidR="00C25730" w:rsidRPr="00534D00">
              <w:rPr>
                <w:rFonts w:cstheme="minorHAnsi"/>
              </w:rPr>
              <w:t>nown immunodeficiency or active human immunodeficiency virus (antibodies to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>HIV-1 or HIV-2)</w:t>
            </w:r>
          </w:p>
          <w:p w14:paraId="6441543B" w14:textId="751F8A09" w:rsidR="00D771A0" w:rsidRPr="00534D00" w:rsidRDefault="00D771A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K</w:t>
            </w:r>
            <w:r w:rsidR="00C25730" w:rsidRPr="00534D00">
              <w:rPr>
                <w:rFonts w:cstheme="minorHAnsi"/>
              </w:rPr>
              <w:t xml:space="preserve">nown to be seropositive or active for hepatitis B or hepatitis </w:t>
            </w:r>
            <w:proofErr w:type="gramStart"/>
            <w:r w:rsidR="00C25730" w:rsidRPr="00534D00">
              <w:rPr>
                <w:rFonts w:cstheme="minorHAnsi"/>
              </w:rPr>
              <w:t>C</w:t>
            </w:r>
            <w:proofErr w:type="gramEnd"/>
          </w:p>
          <w:p w14:paraId="494A6BA5" w14:textId="77777777" w:rsidR="00D771A0" w:rsidRPr="00534D00" w:rsidRDefault="00C25730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Subjects who had hepatitis B but have received an antiviral treatment and</w:t>
            </w:r>
            <w:r w:rsidR="00D771A0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show non-detectable virus for 3 months are </w:t>
            </w:r>
            <w:proofErr w:type="gramStart"/>
            <w:r w:rsidRPr="00534D00">
              <w:rPr>
                <w:rFonts w:cstheme="minorHAnsi"/>
              </w:rPr>
              <w:t>eligible</w:t>
            </w:r>
            <w:proofErr w:type="gramEnd"/>
          </w:p>
          <w:p w14:paraId="24ECCB50" w14:textId="4B66BCFC" w:rsidR="00C25730" w:rsidRPr="00534D00" w:rsidRDefault="00C25730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Subjects who are seropositive because of</w:t>
            </w:r>
            <w:r w:rsidR="00D771A0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hepatitis B virus vaccine are </w:t>
            </w:r>
            <w:proofErr w:type="gramStart"/>
            <w:r w:rsidRPr="00534D00">
              <w:rPr>
                <w:rFonts w:cstheme="minorHAnsi"/>
              </w:rPr>
              <w:t>eligible</w:t>
            </w:r>
            <w:proofErr w:type="gramEnd"/>
          </w:p>
          <w:p w14:paraId="627F6D3E" w14:textId="1922E71E" w:rsidR="00C25730" w:rsidRPr="00534D00" w:rsidRDefault="00C2573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Prolonged Fridericia’s corrected QT interval (</w:t>
            </w:r>
            <w:proofErr w:type="spellStart"/>
            <w:r w:rsidRPr="00534D00">
              <w:rPr>
                <w:rFonts w:cstheme="minorHAnsi"/>
              </w:rPr>
              <w:t>QTcF</w:t>
            </w:r>
            <w:proofErr w:type="spellEnd"/>
            <w:r w:rsidRPr="00534D00">
              <w:rPr>
                <w:rFonts w:cstheme="minorHAnsi"/>
              </w:rPr>
              <w:t xml:space="preserve">) &gt;450 </w:t>
            </w:r>
            <w:proofErr w:type="spellStart"/>
            <w:r w:rsidRPr="00534D00">
              <w:rPr>
                <w:rFonts w:cstheme="minorHAnsi"/>
              </w:rPr>
              <w:t>ms</w:t>
            </w:r>
            <w:proofErr w:type="spellEnd"/>
            <w:r w:rsidRPr="00534D00">
              <w:rPr>
                <w:rFonts w:cstheme="minorHAnsi"/>
              </w:rPr>
              <w:t xml:space="preserve"> for men and &gt;470 </w:t>
            </w:r>
            <w:proofErr w:type="spellStart"/>
            <w:r w:rsidRPr="00534D00">
              <w:rPr>
                <w:rFonts w:cstheme="minorHAnsi"/>
              </w:rPr>
              <w:t>ms</w:t>
            </w:r>
            <w:proofErr w:type="spellEnd"/>
            <w:r w:rsidRPr="00534D00">
              <w:rPr>
                <w:rFonts w:cstheme="minorHAnsi"/>
              </w:rPr>
              <w:t xml:space="preserve"> for</w:t>
            </w:r>
            <w:r w:rsidR="00D771A0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women at </w:t>
            </w:r>
            <w:r w:rsidR="00D771A0" w:rsidRPr="00534D00">
              <w:rPr>
                <w:rFonts w:cstheme="minorHAnsi"/>
              </w:rPr>
              <w:t>s</w:t>
            </w:r>
            <w:r w:rsidRPr="00534D00">
              <w:rPr>
                <w:rFonts w:cstheme="minorHAnsi"/>
              </w:rPr>
              <w:t>creening</w:t>
            </w:r>
          </w:p>
          <w:p w14:paraId="7A22B203" w14:textId="164F196C" w:rsidR="00C25730" w:rsidRPr="00534D00" w:rsidRDefault="0062564B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History of u</w:t>
            </w:r>
            <w:r w:rsidR="00C25730" w:rsidRPr="00534D00">
              <w:rPr>
                <w:rFonts w:cstheme="minorHAnsi"/>
              </w:rPr>
              <w:t>nstable or deteriorating cardiac disease within the previous 6 months prior to</w:t>
            </w:r>
            <w:r w:rsidR="00D771A0" w:rsidRPr="00534D00">
              <w:rPr>
                <w:rFonts w:cstheme="minorHAnsi"/>
              </w:rPr>
              <w:t xml:space="preserve"> s</w:t>
            </w:r>
            <w:r w:rsidR="00C25730" w:rsidRPr="00534D00">
              <w:rPr>
                <w:rFonts w:cstheme="minorHAnsi"/>
              </w:rPr>
              <w:t>creening including but not limited to the following:</w:t>
            </w:r>
          </w:p>
          <w:p w14:paraId="2014113B" w14:textId="2984C993" w:rsidR="00C25730" w:rsidRPr="00534D00" w:rsidRDefault="00C25730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Unstable angina or myocardial infarction</w:t>
            </w:r>
          </w:p>
          <w:p w14:paraId="3CE5CCE4" w14:textId="58525EA5" w:rsidR="00C25730" w:rsidRPr="00534D00" w:rsidRDefault="00C25730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Congestive heart failure (New York Heart Association Class III or IV)</w:t>
            </w:r>
          </w:p>
          <w:p w14:paraId="56F2131B" w14:textId="53C26AD9" w:rsidR="00C25730" w:rsidRPr="00534D00" w:rsidRDefault="00C25730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Uncontrolled clinically significant arrhythmias</w:t>
            </w:r>
          </w:p>
          <w:p w14:paraId="1FD3C934" w14:textId="30377CF6" w:rsidR="00C25730" w:rsidRPr="00534D00" w:rsidRDefault="00C2573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Known current drug or alcohol </w:t>
            </w:r>
            <w:proofErr w:type="gramStart"/>
            <w:r w:rsidRPr="00534D00">
              <w:rPr>
                <w:rFonts w:cstheme="minorHAnsi"/>
              </w:rPr>
              <w:t>abuse</w:t>
            </w:r>
            <w:proofErr w:type="gramEnd"/>
          </w:p>
          <w:p w14:paraId="7A05DA3D" w14:textId="77777777" w:rsidR="00D771A0" w:rsidRPr="00534D00" w:rsidRDefault="00D771A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Hi</w:t>
            </w:r>
            <w:r w:rsidR="00C25730" w:rsidRPr="00534D00">
              <w:rPr>
                <w:rFonts w:cstheme="minorHAnsi"/>
              </w:rPr>
              <w:t>story of malignancy (other than MM or NHL) within 3 years before the date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 xml:space="preserve">of </w:t>
            </w:r>
            <w:r w:rsidRPr="00534D00">
              <w:rPr>
                <w:rFonts w:cstheme="minorHAnsi"/>
              </w:rPr>
              <w:t>s</w:t>
            </w:r>
            <w:r w:rsidR="00C25730" w:rsidRPr="00534D00">
              <w:rPr>
                <w:rFonts w:cstheme="minorHAnsi"/>
              </w:rPr>
              <w:t>creening</w:t>
            </w:r>
          </w:p>
          <w:p w14:paraId="1B2E4CFE" w14:textId="0B9277A1" w:rsidR="00C25730" w:rsidRPr="00534D00" w:rsidRDefault="00D771A0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E</w:t>
            </w:r>
            <w:r w:rsidR="00C25730" w:rsidRPr="00534D00">
              <w:rPr>
                <w:rFonts w:cstheme="minorHAnsi"/>
              </w:rPr>
              <w:t>xceptions are squamous and basal cell carcinomas of the skin and carcinoma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  <w:i/>
                <w:iCs/>
              </w:rPr>
              <w:t>in situ</w:t>
            </w:r>
            <w:r w:rsidR="00C25730" w:rsidRPr="00534D00">
              <w:rPr>
                <w:rFonts w:cstheme="minorHAnsi"/>
              </w:rPr>
              <w:t xml:space="preserve"> of the cervix, or malignancy that in the opinion of the </w:t>
            </w:r>
            <w:r w:rsidRPr="00534D00">
              <w:rPr>
                <w:rFonts w:cstheme="minorHAnsi"/>
              </w:rPr>
              <w:t>i</w:t>
            </w:r>
            <w:r w:rsidR="00C25730" w:rsidRPr="00534D00">
              <w:rPr>
                <w:rFonts w:cstheme="minorHAnsi"/>
              </w:rPr>
              <w:t>nvestigator, with concurrence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 xml:space="preserve">with the </w:t>
            </w:r>
            <w:r w:rsidRPr="00534D00">
              <w:rPr>
                <w:rFonts w:cstheme="minorHAnsi"/>
              </w:rPr>
              <w:t>s</w:t>
            </w:r>
            <w:r w:rsidR="00C25730" w:rsidRPr="00534D00">
              <w:rPr>
                <w:rFonts w:cstheme="minorHAnsi"/>
              </w:rPr>
              <w:t>ponsor's medical monitor, is considered cured with minimal risk of recurrence</w:t>
            </w:r>
            <w:r w:rsidRPr="00534D00">
              <w:rPr>
                <w:rFonts w:cstheme="minorHAnsi"/>
              </w:rPr>
              <w:t xml:space="preserve"> </w:t>
            </w:r>
            <w:r w:rsidR="00C25730" w:rsidRPr="00534D00">
              <w:rPr>
                <w:rFonts w:cstheme="minorHAnsi"/>
              </w:rPr>
              <w:t xml:space="preserve">within 3 </w:t>
            </w:r>
            <w:proofErr w:type="gramStart"/>
            <w:r w:rsidR="00C25730" w:rsidRPr="00534D00">
              <w:rPr>
                <w:rFonts w:cstheme="minorHAnsi"/>
              </w:rPr>
              <w:t>years</w:t>
            </w:r>
            <w:proofErr w:type="gramEnd"/>
          </w:p>
          <w:p w14:paraId="46493CF4" w14:textId="29188C60" w:rsidR="00C25730" w:rsidRPr="00534D00" w:rsidRDefault="00C25730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</w:rPr>
              <w:t>Any condition including medical, emotional, psychiatric, or logistical that, in the opinion of</w:t>
            </w:r>
            <w:r w:rsidR="00D771A0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the </w:t>
            </w:r>
            <w:r w:rsidR="009E4FCF" w:rsidRPr="00534D00">
              <w:rPr>
                <w:rFonts w:cstheme="minorHAnsi"/>
              </w:rPr>
              <w:t>i</w:t>
            </w:r>
            <w:r w:rsidRPr="00534D00">
              <w:rPr>
                <w:rFonts w:cstheme="minorHAnsi"/>
              </w:rPr>
              <w:t xml:space="preserve">nvestigator, would preclude the patient from adhering to the </w:t>
            </w:r>
            <w:proofErr w:type="gramStart"/>
            <w:r w:rsidRPr="00534D00">
              <w:rPr>
                <w:rFonts w:cstheme="minorHAnsi"/>
              </w:rPr>
              <w:t>protocol</w:t>
            </w:r>
            <w:proofErr w:type="gramEnd"/>
          </w:p>
          <w:p w14:paraId="31BF43DA" w14:textId="185B37EC" w:rsidR="00EE0A0F" w:rsidRPr="00534D00" w:rsidRDefault="00EE0A0F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Any concurrent medical condition or disease (e.g.</w:t>
            </w:r>
            <w:r w:rsidR="004A3633">
              <w:rPr>
                <w:rFonts w:cstheme="minorHAnsi"/>
              </w:rPr>
              <w:t>,</w:t>
            </w:r>
            <w:r w:rsidRPr="00534D00">
              <w:rPr>
                <w:rFonts w:cstheme="minorHAnsi"/>
              </w:rPr>
              <w:t xml:space="preserve"> active systemic infection) that is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likely to interfere with study procedures or results, or that, in the opinion of the </w:t>
            </w:r>
            <w:r w:rsidR="00127025" w:rsidRPr="00534D00">
              <w:rPr>
                <w:rFonts w:cstheme="minorHAnsi"/>
              </w:rPr>
              <w:t>i</w:t>
            </w:r>
            <w:r w:rsidRPr="00534D00">
              <w:rPr>
                <w:rFonts w:cstheme="minorHAnsi"/>
              </w:rPr>
              <w:t>nvestigator,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would constitute a hazard for participating in this </w:t>
            </w:r>
            <w:proofErr w:type="gramStart"/>
            <w:r w:rsidRPr="00534D00">
              <w:rPr>
                <w:rFonts w:cstheme="minorHAnsi"/>
              </w:rPr>
              <w:t>study</w:t>
            </w:r>
            <w:proofErr w:type="gramEnd"/>
            <w:r w:rsidR="00127025" w:rsidRPr="00534D00">
              <w:rPr>
                <w:rFonts w:cstheme="minorHAnsi"/>
              </w:rPr>
              <w:t xml:space="preserve"> </w:t>
            </w:r>
          </w:p>
          <w:p w14:paraId="119ACD47" w14:textId="6AE14C22" w:rsidR="00EE0A0F" w:rsidRPr="00534D00" w:rsidRDefault="00EE0A0F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Patient has any of the following laboratory test results during </w:t>
            </w:r>
            <w:r w:rsidR="00127025" w:rsidRPr="00534D00">
              <w:rPr>
                <w:rFonts w:cstheme="minorHAnsi"/>
              </w:rPr>
              <w:t>s</w:t>
            </w:r>
            <w:r w:rsidRPr="00534D00">
              <w:rPr>
                <w:rFonts w:cstheme="minorHAnsi"/>
              </w:rPr>
              <w:t>creening:</w:t>
            </w:r>
          </w:p>
          <w:p w14:paraId="7865787A" w14:textId="0857406C" w:rsidR="00EE0A0F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AST and ALT level ≥2.5 </w:t>
            </w:r>
            <w:r w:rsidR="00B67E8F" w:rsidRPr="00534D00">
              <w:rPr>
                <w:rFonts w:cstheme="minorHAnsi"/>
              </w:rPr>
              <w:t>×</w:t>
            </w:r>
            <w:r w:rsidRPr="00534D00">
              <w:rPr>
                <w:rFonts w:cstheme="minorHAnsi"/>
              </w:rPr>
              <w:t xml:space="preserve"> ULN</w:t>
            </w:r>
          </w:p>
          <w:p w14:paraId="67CBD7D4" w14:textId="194A4429" w:rsidR="00EE0A0F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Alkaline phosphatase level ≥2.5 × ULN</w:t>
            </w:r>
          </w:p>
          <w:p w14:paraId="1223D56E" w14:textId="2DCE10EC" w:rsidR="00EE0A0F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Total bilirubin level ≥2 × ULN (except for Gilbert </w:t>
            </w:r>
            <w:r w:rsidR="009E4FCF" w:rsidRPr="00534D00">
              <w:rPr>
                <w:rFonts w:cstheme="minorHAnsi"/>
              </w:rPr>
              <w:t>s</w:t>
            </w:r>
            <w:r w:rsidRPr="00534D00">
              <w:rPr>
                <w:rFonts w:cstheme="minorHAnsi"/>
              </w:rPr>
              <w:t>yndrome: direct bilirubin 2 × ULN)</w:t>
            </w:r>
          </w:p>
          <w:p w14:paraId="03BFA8A4" w14:textId="4B383103" w:rsidR="00EE0A0F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Potassium level &lt;3.0 </w:t>
            </w:r>
            <w:proofErr w:type="spellStart"/>
            <w:r w:rsidRPr="00534D00">
              <w:rPr>
                <w:rFonts w:cstheme="minorHAnsi"/>
              </w:rPr>
              <w:t>mEq</w:t>
            </w:r>
            <w:proofErr w:type="spellEnd"/>
            <w:r w:rsidRPr="00534D00">
              <w:rPr>
                <w:rFonts w:cstheme="minorHAnsi"/>
              </w:rPr>
              <w:t>/L</w:t>
            </w:r>
          </w:p>
          <w:p w14:paraId="6AB56096" w14:textId="4127D218" w:rsidR="00EE0A0F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Corrected serum calcium &gt;14.0 mg/dL (3.5 mmol/L)</w:t>
            </w:r>
          </w:p>
          <w:p w14:paraId="65C60652" w14:textId="11D18673" w:rsidR="00EE0A0F" w:rsidRPr="00534D00" w:rsidRDefault="00127025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lastRenderedPageBreak/>
              <w:t>P</w:t>
            </w:r>
            <w:r w:rsidR="00EE0A0F" w:rsidRPr="00534D00">
              <w:rPr>
                <w:rFonts w:cstheme="minorHAnsi"/>
              </w:rPr>
              <w:t>lasma cell leukemia (&gt;2.0 × 10</w:t>
            </w:r>
            <w:r w:rsidR="00EE0A0F" w:rsidRPr="00534D00">
              <w:rPr>
                <w:rFonts w:cstheme="minorHAnsi"/>
                <w:vertAlign w:val="superscript"/>
              </w:rPr>
              <w:t>9</w:t>
            </w:r>
            <w:r w:rsidR="00EE0A0F" w:rsidRPr="00534D00">
              <w:rPr>
                <w:rFonts w:cstheme="minorHAnsi"/>
              </w:rPr>
              <w:t>/L circulating plasma cells by standard</w:t>
            </w:r>
            <w:r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>differential)</w:t>
            </w:r>
            <w:r w:rsidR="00F443DF" w:rsidRPr="00534D00">
              <w:rPr>
                <w:rFonts w:cstheme="minorHAnsi"/>
              </w:rPr>
              <w:t>,</w:t>
            </w:r>
            <w:r w:rsidR="00EE0A0F" w:rsidRPr="00534D00">
              <w:rPr>
                <w:rFonts w:cstheme="minorHAnsi"/>
              </w:rPr>
              <w:t xml:space="preserve"> </w:t>
            </w:r>
            <w:proofErr w:type="spellStart"/>
            <w:r w:rsidR="00EE0A0F" w:rsidRPr="00534D00">
              <w:rPr>
                <w:rFonts w:cstheme="minorHAnsi"/>
              </w:rPr>
              <w:t>Waldenström’s</w:t>
            </w:r>
            <w:proofErr w:type="spellEnd"/>
            <w:r w:rsidR="00EE0A0F" w:rsidRPr="00534D00">
              <w:rPr>
                <w:rFonts w:cstheme="minorHAnsi"/>
              </w:rPr>
              <w:t xml:space="preserve"> macroglobulinemia</w:t>
            </w:r>
            <w:r w:rsidR="00F443DF" w:rsidRPr="00534D00">
              <w:rPr>
                <w:rFonts w:cstheme="minorHAnsi"/>
              </w:rPr>
              <w:t>,</w:t>
            </w:r>
            <w:r w:rsidR="00EE0A0F" w:rsidRPr="00534D00">
              <w:rPr>
                <w:rFonts w:cstheme="minorHAnsi"/>
              </w:rPr>
              <w:t xml:space="preserve"> POEMS syndrome (polyneuropathy,</w:t>
            </w:r>
            <w:r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>organomegaly, endocrinopathy, monoclonal protein, and skin changes)</w:t>
            </w:r>
            <w:r w:rsidR="00F443DF" w:rsidRPr="00534D00">
              <w:rPr>
                <w:rFonts w:cstheme="minorHAnsi"/>
              </w:rPr>
              <w:t>,</w:t>
            </w:r>
            <w:r w:rsidR="00EE0A0F" w:rsidRPr="00534D00">
              <w:rPr>
                <w:rFonts w:cstheme="minorHAnsi"/>
              </w:rPr>
              <w:t xml:space="preserve"> or </w:t>
            </w:r>
            <w:proofErr w:type="gramStart"/>
            <w:r w:rsidR="00EE0A0F" w:rsidRPr="00534D00">
              <w:rPr>
                <w:rFonts w:cstheme="minorHAnsi"/>
              </w:rPr>
              <w:t>amyloidosis</w:t>
            </w:r>
            <w:proofErr w:type="gramEnd"/>
          </w:p>
          <w:p w14:paraId="2300C4C2" w14:textId="2E1FB070" w:rsidR="00EE0A0F" w:rsidRPr="00534D00" w:rsidRDefault="00127025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</w:t>
            </w:r>
            <w:r w:rsidR="00EE0A0F" w:rsidRPr="00534D00">
              <w:rPr>
                <w:rFonts w:cstheme="minorHAnsi"/>
              </w:rPr>
              <w:t xml:space="preserve">regnant or breastfeeding </w:t>
            </w:r>
            <w:r w:rsidRPr="00534D00">
              <w:rPr>
                <w:rFonts w:cstheme="minorHAnsi"/>
              </w:rPr>
              <w:t>wom</w:t>
            </w:r>
            <w:r w:rsidR="009E4FCF" w:rsidRPr="00534D00">
              <w:rPr>
                <w:rFonts w:cstheme="minorHAnsi"/>
              </w:rPr>
              <w:t>e</w:t>
            </w:r>
            <w:r w:rsidRPr="00534D00">
              <w:rPr>
                <w:rFonts w:cstheme="minorHAnsi"/>
              </w:rPr>
              <w:t xml:space="preserve">n </w:t>
            </w:r>
            <w:r w:rsidR="00EE0A0F" w:rsidRPr="00534D00">
              <w:rPr>
                <w:rFonts w:cstheme="minorHAnsi"/>
              </w:rPr>
              <w:t xml:space="preserve">or </w:t>
            </w:r>
            <w:r w:rsidRPr="00534D00">
              <w:rPr>
                <w:rFonts w:cstheme="minorHAnsi"/>
              </w:rPr>
              <w:t>wom</w:t>
            </w:r>
            <w:r w:rsidR="009E4FCF" w:rsidRPr="00534D00">
              <w:rPr>
                <w:rFonts w:cstheme="minorHAnsi"/>
              </w:rPr>
              <w:t>e</w:t>
            </w:r>
            <w:r w:rsidRPr="00534D00">
              <w:rPr>
                <w:rFonts w:cstheme="minorHAnsi"/>
              </w:rPr>
              <w:t xml:space="preserve">n </w:t>
            </w:r>
            <w:r w:rsidR="00EE0A0F" w:rsidRPr="00534D00">
              <w:rPr>
                <w:rFonts w:cstheme="minorHAnsi"/>
              </w:rPr>
              <w:t>planning to become pregnant while</w:t>
            </w:r>
            <w:r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 xml:space="preserve">enrolled in this study or within 4 weeks after the last dose of NKTR-255 or within </w:t>
            </w:r>
            <w:r w:rsidR="00055227" w:rsidRPr="00534D00">
              <w:rPr>
                <w:rFonts w:cstheme="minorHAnsi"/>
              </w:rPr>
              <w:t>3</w:t>
            </w:r>
            <w:r w:rsidR="00EE0A0F" w:rsidRPr="00534D00">
              <w:rPr>
                <w:rFonts w:cstheme="minorHAnsi"/>
              </w:rPr>
              <w:t xml:space="preserve"> months</w:t>
            </w:r>
            <w:r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>after the last dose of daratumumab</w:t>
            </w:r>
            <w:r w:rsidR="00610F80" w:rsidRPr="00534D00">
              <w:rPr>
                <w:rFonts w:cstheme="minorHAnsi"/>
              </w:rPr>
              <w:t xml:space="preserve"> or </w:t>
            </w:r>
            <w:proofErr w:type="gramStart"/>
            <w:r w:rsidR="00610F80" w:rsidRPr="00534D00">
              <w:rPr>
                <w:rFonts w:cstheme="minorHAnsi"/>
              </w:rPr>
              <w:t>rituximab</w:t>
            </w:r>
            <w:proofErr w:type="gramEnd"/>
          </w:p>
          <w:p w14:paraId="6F890B8F" w14:textId="4B99C166" w:rsidR="00EE0A0F" w:rsidRPr="00534D00" w:rsidRDefault="00EE0A0F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Contraindication to or unable to receive daratumumab (Cohort B only)</w:t>
            </w:r>
          </w:p>
          <w:p w14:paraId="4B44B782" w14:textId="229D24DC" w:rsidR="00127025" w:rsidRPr="00534D00" w:rsidRDefault="00B34155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Patients with h</w:t>
            </w:r>
            <w:r w:rsidR="00EE0A0F" w:rsidRPr="00534D00">
              <w:rPr>
                <w:rFonts w:cstheme="minorHAnsi"/>
              </w:rPr>
              <w:t xml:space="preserve">ypertension </w:t>
            </w:r>
            <w:r w:rsidR="00C929EE" w:rsidRPr="00534D00">
              <w:rPr>
                <w:rFonts w:cstheme="minorHAnsi"/>
              </w:rPr>
              <w:t xml:space="preserve">must be </w:t>
            </w:r>
            <w:r w:rsidR="00127025" w:rsidRPr="00534D00">
              <w:rPr>
                <w:rFonts w:cstheme="minorHAnsi"/>
              </w:rPr>
              <w:t>receiving</w:t>
            </w:r>
            <w:r w:rsidR="00EE0A0F" w:rsidRPr="00534D00">
              <w:rPr>
                <w:rFonts w:cstheme="minorHAnsi"/>
              </w:rPr>
              <w:t xml:space="preserve"> a stable antihypertensive regimen for the 14 days</w:t>
            </w:r>
            <w:r w:rsidR="00127025"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 xml:space="preserve">prior to study </w:t>
            </w:r>
            <w:proofErr w:type="gramStart"/>
            <w:r w:rsidR="00EE0A0F" w:rsidRPr="00534D00">
              <w:rPr>
                <w:rFonts w:cstheme="minorHAnsi"/>
              </w:rPr>
              <w:t>treatment</w:t>
            </w:r>
            <w:proofErr w:type="gramEnd"/>
          </w:p>
          <w:p w14:paraId="68288860" w14:textId="5C6645FA" w:rsidR="00EE0A0F" w:rsidRPr="00534D00" w:rsidRDefault="00127025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S</w:t>
            </w:r>
            <w:r w:rsidR="00EE0A0F" w:rsidRPr="00534D00">
              <w:rPr>
                <w:rFonts w:cstheme="minorHAnsi"/>
              </w:rPr>
              <w:t>creening blood pressure must be &lt;150 mm Hg for systolic blood</w:t>
            </w:r>
            <w:r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 xml:space="preserve">pressure and &lt;90 mm Hg for diastolic blood pressure (by </w:t>
            </w:r>
            <w:r w:rsidRPr="00534D00">
              <w:rPr>
                <w:rFonts w:cstheme="minorHAnsi"/>
              </w:rPr>
              <w:t>≥</w:t>
            </w:r>
            <w:r w:rsidR="00EE0A0F" w:rsidRPr="00534D00">
              <w:rPr>
                <w:rFonts w:cstheme="minorHAnsi"/>
              </w:rPr>
              <w:t xml:space="preserve">1 and </w:t>
            </w:r>
            <w:r w:rsidRPr="00534D00">
              <w:rPr>
                <w:rFonts w:cstheme="minorHAnsi"/>
              </w:rPr>
              <w:t>≤</w:t>
            </w:r>
            <w:r w:rsidR="00EE0A0F" w:rsidRPr="00534D00">
              <w:rPr>
                <w:rFonts w:cstheme="minorHAnsi"/>
              </w:rPr>
              <w:t>3 observations</w:t>
            </w:r>
            <w:r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 xml:space="preserve">taken during the </w:t>
            </w:r>
            <w:r w:rsidRPr="00534D00">
              <w:rPr>
                <w:rFonts w:cstheme="minorHAnsi"/>
              </w:rPr>
              <w:t>s</w:t>
            </w:r>
            <w:r w:rsidR="00EE0A0F" w:rsidRPr="00534D00">
              <w:rPr>
                <w:rFonts w:cstheme="minorHAnsi"/>
              </w:rPr>
              <w:t>creening period)</w:t>
            </w:r>
          </w:p>
          <w:p w14:paraId="15328F46" w14:textId="77777777" w:rsidR="00127025" w:rsidRPr="00534D00" w:rsidRDefault="00EE0A0F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Active brain metastases or leptomeningeal metastases</w:t>
            </w:r>
          </w:p>
          <w:p w14:paraId="7E3A15DA" w14:textId="16AC63FD" w:rsidR="00127025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Patients with brain metastases are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eligible if </w:t>
            </w:r>
            <w:r w:rsidR="00FC0AD7" w:rsidRPr="00534D00">
              <w:rPr>
                <w:rFonts w:cstheme="minorHAnsi"/>
              </w:rPr>
              <w:t>they</w:t>
            </w:r>
            <w:r w:rsidRPr="00534D00">
              <w:rPr>
                <w:rFonts w:cstheme="minorHAnsi"/>
              </w:rPr>
              <w:t xml:space="preserve"> have been treated and there is no radiographic evidence of progression for </w:t>
            </w:r>
            <w:r w:rsidR="00127025" w:rsidRPr="00534D00">
              <w:rPr>
                <w:rFonts w:cstheme="minorHAnsi"/>
              </w:rPr>
              <w:t>≥</w:t>
            </w:r>
            <w:r w:rsidRPr="00534D00">
              <w:rPr>
                <w:rFonts w:cstheme="minorHAnsi"/>
              </w:rPr>
              <w:t>4 weeks after treatment is complete (confirmed by head imaging obtained within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28 days prior to study treatment)</w:t>
            </w:r>
          </w:p>
          <w:p w14:paraId="060C5B48" w14:textId="4F245C90" w:rsidR="00127025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There must also be no requirement for immunosuppressive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doses of systemic corticosteroids (&gt;10 mg/day prednisone equivalents) for </w:t>
            </w:r>
            <w:r w:rsidR="00BB2734" w:rsidRPr="00534D00">
              <w:rPr>
                <w:rFonts w:cstheme="minorHAnsi"/>
              </w:rPr>
              <w:t>≥</w:t>
            </w:r>
            <w:r w:rsidRPr="00534D00">
              <w:rPr>
                <w:rFonts w:cstheme="minorHAnsi"/>
              </w:rPr>
              <w:t>4 weeks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prior to study </w:t>
            </w:r>
            <w:proofErr w:type="gramStart"/>
            <w:r w:rsidRPr="00534D00">
              <w:rPr>
                <w:rFonts w:cstheme="minorHAnsi"/>
              </w:rPr>
              <w:t>treatment</w:t>
            </w:r>
            <w:proofErr w:type="gramEnd"/>
          </w:p>
          <w:p w14:paraId="1B6E3AA1" w14:textId="40FFDAFA" w:rsidR="00127025" w:rsidRPr="00534D00" w:rsidRDefault="00B14BAB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A s</w:t>
            </w:r>
            <w:r w:rsidR="00EE0A0F" w:rsidRPr="00534D00">
              <w:rPr>
                <w:rFonts w:cstheme="minorHAnsi"/>
              </w:rPr>
              <w:t>table dose of anticonvulsants is required within 14 days prior to</w:t>
            </w:r>
            <w:r w:rsidR="00127025" w:rsidRPr="00534D00">
              <w:rPr>
                <w:rFonts w:cstheme="minorHAnsi"/>
              </w:rPr>
              <w:t xml:space="preserve"> </w:t>
            </w:r>
            <w:r w:rsidR="00EE0A0F" w:rsidRPr="00534D00">
              <w:rPr>
                <w:rFonts w:cstheme="minorHAnsi"/>
              </w:rPr>
              <w:t xml:space="preserve">study </w:t>
            </w:r>
            <w:proofErr w:type="gramStart"/>
            <w:r w:rsidR="00EE0A0F" w:rsidRPr="00534D00">
              <w:rPr>
                <w:rFonts w:cstheme="minorHAnsi"/>
              </w:rPr>
              <w:t>treatment</w:t>
            </w:r>
            <w:proofErr w:type="gramEnd"/>
          </w:p>
          <w:p w14:paraId="7E799B7D" w14:textId="7E7D217C" w:rsidR="00127025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Treatment for CNS metastases may include stereotactic radiosurgery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(e.g.</w:t>
            </w:r>
            <w:r w:rsidR="004A3633">
              <w:rPr>
                <w:rFonts w:cstheme="minorHAnsi"/>
              </w:rPr>
              <w:t>,</w:t>
            </w:r>
            <w:r w:rsidRPr="00534D00">
              <w:rPr>
                <w:rFonts w:cstheme="minorHAnsi"/>
              </w:rPr>
              <w:t xml:space="preserve"> </w:t>
            </w:r>
            <w:proofErr w:type="spellStart"/>
            <w:r w:rsidRPr="00534D00">
              <w:rPr>
                <w:rFonts w:cstheme="minorHAnsi"/>
              </w:rPr>
              <w:t>GammaKnife</w:t>
            </w:r>
            <w:proofErr w:type="spellEnd"/>
            <w:r w:rsidRPr="00534D00">
              <w:rPr>
                <w:rFonts w:cstheme="minorHAnsi"/>
              </w:rPr>
              <w:t xml:space="preserve">, </w:t>
            </w:r>
            <w:proofErr w:type="spellStart"/>
            <w:r w:rsidRPr="00534D00">
              <w:rPr>
                <w:rFonts w:cstheme="minorHAnsi"/>
              </w:rPr>
              <w:t>CyberKnife</w:t>
            </w:r>
            <w:proofErr w:type="spellEnd"/>
            <w:r w:rsidRPr="00534D00">
              <w:rPr>
                <w:rFonts w:cstheme="minorHAnsi"/>
              </w:rPr>
              <w:t xml:space="preserve">, or equivalent) or neurosurgical </w:t>
            </w:r>
            <w:proofErr w:type="gramStart"/>
            <w:r w:rsidRPr="00534D00">
              <w:rPr>
                <w:rFonts w:cstheme="minorHAnsi"/>
              </w:rPr>
              <w:t>resection</w:t>
            </w:r>
            <w:proofErr w:type="gramEnd"/>
          </w:p>
          <w:p w14:paraId="1C406A1C" w14:textId="28A1EA76" w:rsidR="00EE0A0F" w:rsidRPr="00534D00" w:rsidRDefault="00EE0A0F" w:rsidP="006F6B22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>Patients who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received whole brain radiation therapy are not </w:t>
            </w:r>
            <w:proofErr w:type="gramStart"/>
            <w:r w:rsidRPr="00534D00">
              <w:rPr>
                <w:rFonts w:cstheme="minorHAnsi"/>
              </w:rPr>
              <w:t>eligible</w:t>
            </w:r>
            <w:proofErr w:type="gramEnd"/>
          </w:p>
          <w:p w14:paraId="320A8A0B" w14:textId="5A909EB9" w:rsidR="00EE0A0F" w:rsidRPr="00534D00" w:rsidRDefault="00EE0A0F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</w:rPr>
              <w:t>T</w:t>
            </w:r>
            <w:r w:rsidR="002C1701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>cell</w:t>
            </w:r>
            <w:r w:rsidR="002C1701" w:rsidRPr="00534D00">
              <w:rPr>
                <w:rFonts w:cstheme="minorHAnsi"/>
              </w:rPr>
              <w:t>-</w:t>
            </w:r>
            <w:r w:rsidRPr="00534D00">
              <w:rPr>
                <w:rFonts w:cstheme="minorHAnsi"/>
              </w:rPr>
              <w:t>/histiocyte</w:t>
            </w:r>
            <w:r w:rsidR="00373E93" w:rsidRPr="00534D00">
              <w:rPr>
                <w:rFonts w:cstheme="minorHAnsi"/>
              </w:rPr>
              <w:t>-</w:t>
            </w:r>
            <w:r w:rsidRPr="00534D00">
              <w:rPr>
                <w:rFonts w:cstheme="minorHAnsi"/>
              </w:rPr>
              <w:t xml:space="preserve"> or NK cell</w:t>
            </w:r>
            <w:r w:rsidR="00127025" w:rsidRPr="00534D00">
              <w:rPr>
                <w:rFonts w:cstheme="minorHAnsi"/>
              </w:rPr>
              <w:t>-</w:t>
            </w:r>
            <w:r w:rsidRPr="00534D00">
              <w:rPr>
                <w:rFonts w:cstheme="minorHAnsi"/>
              </w:rPr>
              <w:t>rich NHL and other variants not otherwise specified</w:t>
            </w:r>
            <w:r w:rsidR="00127025" w:rsidRPr="00534D00">
              <w:rPr>
                <w:rFonts w:cstheme="minorHAnsi"/>
              </w:rPr>
              <w:t xml:space="preserve"> </w:t>
            </w:r>
            <w:r w:rsidRPr="00534D00">
              <w:rPr>
                <w:rFonts w:cstheme="minorHAnsi"/>
              </w:rPr>
              <w:t xml:space="preserve">that contain high numbers of T or NK cells </w:t>
            </w:r>
          </w:p>
          <w:p w14:paraId="3AC3BBCA" w14:textId="79260C26" w:rsidR="00B0581B" w:rsidRPr="00534D00" w:rsidRDefault="00BB359B" w:rsidP="006F6B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Active </w:t>
            </w:r>
            <w:r w:rsidR="00B7638D" w:rsidRPr="00534D00">
              <w:rPr>
                <w:rFonts w:cstheme="minorHAnsi"/>
              </w:rPr>
              <w:t>CNS</w:t>
            </w:r>
            <w:r w:rsidRPr="00534D00">
              <w:rPr>
                <w:rFonts w:cstheme="minorHAnsi"/>
              </w:rPr>
              <w:t xml:space="preserve"> involvement (NHL)</w:t>
            </w:r>
          </w:p>
        </w:tc>
      </w:tr>
      <w:tr w:rsidR="00DF667A" w:rsidRPr="00534D00" w14:paraId="3644A2CF" w14:textId="77777777" w:rsidTr="00180ABE">
        <w:tc>
          <w:tcPr>
            <w:tcW w:w="9016" w:type="dxa"/>
          </w:tcPr>
          <w:p w14:paraId="5054E9CE" w14:textId="145CC5B6" w:rsidR="00C87849" w:rsidRPr="00534D00" w:rsidRDefault="00C87849" w:rsidP="003B3D92">
            <w:pPr>
              <w:spacing w:after="60"/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lastRenderedPageBreak/>
              <w:t>Abbreviations:</w:t>
            </w:r>
          </w:p>
          <w:p w14:paraId="03503EF5" w14:textId="55D03B27" w:rsidR="00DF667A" w:rsidRPr="00534D00" w:rsidRDefault="00180ABE" w:rsidP="00180ABE">
            <w:p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AGC, absolute granulocyte count; </w:t>
            </w:r>
            <w:r w:rsidR="00127025" w:rsidRPr="00534D00">
              <w:rPr>
                <w:rFonts w:cstheme="minorHAnsi"/>
              </w:rPr>
              <w:t xml:space="preserve">ALT, alanine aminotransferase; </w:t>
            </w:r>
            <w:r w:rsidRPr="00534D00">
              <w:rPr>
                <w:rFonts w:cstheme="minorHAnsi"/>
              </w:rPr>
              <w:t>ANC, absolute neutrophil count;</w:t>
            </w:r>
            <w:r w:rsidR="00127025" w:rsidRPr="00534D00">
              <w:rPr>
                <w:rFonts w:cstheme="minorHAnsi"/>
              </w:rPr>
              <w:t xml:space="preserve"> AST, aspartate aminotransferase;</w:t>
            </w:r>
            <w:r w:rsidRPr="00534D00">
              <w:rPr>
                <w:rFonts w:cstheme="minorHAnsi"/>
              </w:rPr>
              <w:t xml:space="preserve"> </w:t>
            </w:r>
            <w:r w:rsidR="00AB5405" w:rsidRPr="00534D00">
              <w:rPr>
                <w:rFonts w:cstheme="minorHAnsi"/>
              </w:rPr>
              <w:t>CAR-T, chimeric antigen receptor T</w:t>
            </w:r>
            <w:r w:rsidR="00B648C5" w:rsidRPr="00534D00">
              <w:rPr>
                <w:rFonts w:cstheme="minorHAnsi"/>
              </w:rPr>
              <w:t xml:space="preserve"> </w:t>
            </w:r>
            <w:r w:rsidR="00AB5405" w:rsidRPr="00534D00">
              <w:rPr>
                <w:rFonts w:cstheme="minorHAnsi"/>
              </w:rPr>
              <w:t xml:space="preserve">cell; </w:t>
            </w:r>
            <w:r w:rsidR="00682228" w:rsidRPr="00534D00">
              <w:rPr>
                <w:rFonts w:cstheme="minorHAnsi"/>
              </w:rPr>
              <w:t>CKD-EPI, Chronic Kidney Disease Epidemiology</w:t>
            </w:r>
            <w:r w:rsidR="00595AD5" w:rsidRPr="00534D00">
              <w:rPr>
                <w:rFonts w:cstheme="minorHAnsi"/>
              </w:rPr>
              <w:t xml:space="preserve"> Collaboration</w:t>
            </w:r>
            <w:r w:rsidR="00682228" w:rsidRPr="00534D00">
              <w:rPr>
                <w:rFonts w:cstheme="minorHAnsi"/>
              </w:rPr>
              <w:t xml:space="preserve">; </w:t>
            </w:r>
            <w:r w:rsidR="009E4FCF" w:rsidRPr="00534D00">
              <w:rPr>
                <w:rFonts w:cstheme="minorHAnsi"/>
              </w:rPr>
              <w:t xml:space="preserve">CNS, central nervous system; </w:t>
            </w:r>
            <w:r w:rsidR="00B07240" w:rsidRPr="00534D00">
              <w:rPr>
                <w:rFonts w:cstheme="minorHAnsi"/>
              </w:rPr>
              <w:t>ECOG</w:t>
            </w:r>
            <w:r w:rsidR="00693375" w:rsidRPr="00534D00">
              <w:rPr>
                <w:rFonts w:cstheme="minorHAnsi"/>
              </w:rPr>
              <w:t xml:space="preserve"> PS</w:t>
            </w:r>
            <w:r w:rsidR="00B07240" w:rsidRPr="00534D00">
              <w:rPr>
                <w:rFonts w:cstheme="minorHAnsi"/>
              </w:rPr>
              <w:t>, Eastern Cooperative Oncology Group</w:t>
            </w:r>
            <w:r w:rsidR="00693375" w:rsidRPr="00534D00">
              <w:rPr>
                <w:rFonts w:cstheme="minorHAnsi"/>
              </w:rPr>
              <w:t xml:space="preserve"> performance status</w:t>
            </w:r>
            <w:r w:rsidR="00B07240" w:rsidRPr="00534D00">
              <w:rPr>
                <w:rFonts w:cstheme="minorHAnsi"/>
              </w:rPr>
              <w:t xml:space="preserve">; </w:t>
            </w:r>
            <w:r w:rsidR="00B83480" w:rsidRPr="00534D00">
              <w:rPr>
                <w:rFonts w:cstheme="minorHAnsi"/>
              </w:rPr>
              <w:t>eGFR, estimated glomerular filtration rate;</w:t>
            </w:r>
            <w:r w:rsidR="00CB12D3" w:rsidRPr="00534D00">
              <w:rPr>
                <w:rFonts w:cstheme="minorHAnsi"/>
                <w:vertAlign w:val="superscript"/>
              </w:rPr>
              <w:t xml:space="preserve"> 18</w:t>
            </w:r>
            <w:r w:rsidR="00CB12D3" w:rsidRPr="00534D00">
              <w:rPr>
                <w:rFonts w:cstheme="minorHAnsi"/>
              </w:rPr>
              <w:t>F-FDG-PET,</w:t>
            </w:r>
            <w:r w:rsidR="00A47B61" w:rsidRPr="00534D00">
              <w:rPr>
                <w:rFonts w:cstheme="minorHAnsi"/>
              </w:rPr>
              <w:t xml:space="preserve"> </w:t>
            </w:r>
            <w:r w:rsidR="00CB12D3" w:rsidRPr="00534D00">
              <w:rPr>
                <w:rFonts w:cstheme="minorHAnsi"/>
                <w:vertAlign w:val="superscript"/>
              </w:rPr>
              <w:t>18</w:t>
            </w:r>
            <w:r w:rsidR="00CB12D3" w:rsidRPr="00534D00">
              <w:rPr>
                <w:rFonts w:cstheme="minorHAnsi"/>
              </w:rPr>
              <w:t>F-fluorodeoxyglucose–positron emission tomography</w:t>
            </w:r>
            <w:r w:rsidR="00421790" w:rsidRPr="00534D00">
              <w:rPr>
                <w:rFonts w:cstheme="minorHAnsi"/>
              </w:rPr>
              <w:t>;</w:t>
            </w:r>
            <w:r w:rsidR="00CB12D3" w:rsidRPr="00534D00">
              <w:rPr>
                <w:rFonts w:cstheme="minorHAnsi"/>
              </w:rPr>
              <w:t xml:space="preserve"> </w:t>
            </w:r>
            <w:r w:rsidR="00A47B61" w:rsidRPr="00534D00">
              <w:rPr>
                <w:rFonts w:cstheme="minorHAnsi"/>
              </w:rPr>
              <w:t>FLC, free light chain;</w:t>
            </w:r>
            <w:r w:rsidR="00B83480" w:rsidRPr="00534D00">
              <w:rPr>
                <w:rFonts w:cstheme="minorHAnsi"/>
              </w:rPr>
              <w:t xml:space="preserve"> </w:t>
            </w:r>
            <w:r w:rsidR="0061560C" w:rsidRPr="00534D00">
              <w:rPr>
                <w:rFonts w:cstheme="minorHAnsi"/>
              </w:rPr>
              <w:t xml:space="preserve">HCG, human chorionic gonadotropin; </w:t>
            </w:r>
            <w:r w:rsidR="005B46C4" w:rsidRPr="00534D00">
              <w:rPr>
                <w:rFonts w:cstheme="minorHAnsi"/>
              </w:rPr>
              <w:t xml:space="preserve">IL, interleukin; </w:t>
            </w:r>
            <w:r w:rsidR="00260624" w:rsidRPr="00534D00">
              <w:rPr>
                <w:rFonts w:cstheme="minorHAnsi"/>
              </w:rPr>
              <w:t xml:space="preserve">IMWG, International Myeloma Working Group; </w:t>
            </w:r>
            <w:proofErr w:type="spellStart"/>
            <w:r w:rsidR="00F33E50" w:rsidRPr="00534D00">
              <w:rPr>
                <w:rFonts w:cstheme="minorHAnsi"/>
              </w:rPr>
              <w:t>iNHL</w:t>
            </w:r>
            <w:proofErr w:type="spellEnd"/>
            <w:r w:rsidR="00F33E50" w:rsidRPr="00534D00">
              <w:rPr>
                <w:rFonts w:cstheme="minorHAnsi"/>
              </w:rPr>
              <w:t xml:space="preserve">, indolent non-Hodgkin lymphoma; </w:t>
            </w:r>
            <w:proofErr w:type="spellStart"/>
            <w:r w:rsidR="00B11901" w:rsidRPr="00534D00">
              <w:rPr>
                <w:rFonts w:cstheme="minorHAnsi"/>
              </w:rPr>
              <w:t>mAb</w:t>
            </w:r>
            <w:proofErr w:type="spellEnd"/>
            <w:r w:rsidR="00B11901" w:rsidRPr="00534D00">
              <w:rPr>
                <w:rFonts w:cstheme="minorHAnsi"/>
              </w:rPr>
              <w:t xml:space="preserve">, </w:t>
            </w:r>
            <w:r w:rsidR="000A0357" w:rsidRPr="00534D00">
              <w:rPr>
                <w:rFonts w:cstheme="minorHAnsi"/>
              </w:rPr>
              <w:t xml:space="preserve">monoclonal antibody; </w:t>
            </w:r>
            <w:r w:rsidR="00DF667A" w:rsidRPr="00534D00">
              <w:rPr>
                <w:rFonts w:cstheme="minorHAnsi"/>
              </w:rPr>
              <w:t>MM, multiple myeloma; NHL, non-Hodgkin lymphoma</w:t>
            </w:r>
            <w:r w:rsidR="0061560C" w:rsidRPr="00534D00">
              <w:rPr>
                <w:rFonts w:cstheme="minorHAnsi"/>
              </w:rPr>
              <w:t xml:space="preserve">; </w:t>
            </w:r>
            <w:r w:rsidR="00A37191" w:rsidRPr="00534D00">
              <w:rPr>
                <w:rFonts w:cstheme="minorHAnsi"/>
              </w:rPr>
              <w:t xml:space="preserve">PR, partial response; </w:t>
            </w:r>
            <w:r w:rsidR="00127025" w:rsidRPr="00534D00">
              <w:rPr>
                <w:rFonts w:cstheme="minorHAnsi"/>
              </w:rPr>
              <w:t xml:space="preserve">ULN, upper limit of normal; </w:t>
            </w:r>
            <w:r w:rsidR="0061560C" w:rsidRPr="00534D00">
              <w:rPr>
                <w:rFonts w:cstheme="minorHAnsi"/>
              </w:rPr>
              <w:t>WOCBP, women of childbearing potential</w:t>
            </w:r>
            <w:r w:rsidR="00C87849" w:rsidRPr="00534D00">
              <w:rPr>
                <w:rFonts w:cstheme="minorHAnsi"/>
              </w:rPr>
              <w:t>.</w:t>
            </w:r>
          </w:p>
          <w:p w14:paraId="6CAF23AE" w14:textId="77777777" w:rsidR="00C87849" w:rsidRPr="00534D00" w:rsidRDefault="00C87849" w:rsidP="00180ABE">
            <w:pPr>
              <w:rPr>
                <w:rFonts w:cstheme="minorHAnsi"/>
              </w:rPr>
            </w:pPr>
          </w:p>
          <w:p w14:paraId="2FC28818" w14:textId="77777777" w:rsidR="00C87849" w:rsidRPr="00534D00" w:rsidRDefault="00C87849" w:rsidP="003B3D92">
            <w:pPr>
              <w:spacing w:after="60"/>
              <w:rPr>
                <w:rFonts w:cstheme="minorHAnsi"/>
                <w:b/>
                <w:bCs/>
              </w:rPr>
            </w:pPr>
            <w:r w:rsidRPr="00534D00">
              <w:rPr>
                <w:rFonts w:cstheme="minorHAnsi"/>
                <w:b/>
                <w:bCs/>
              </w:rPr>
              <w:t>References:</w:t>
            </w:r>
          </w:p>
          <w:p w14:paraId="73A5669D" w14:textId="523CB776" w:rsidR="003B3D92" w:rsidRPr="00534D00" w:rsidRDefault="003B3D92" w:rsidP="00180ABE">
            <w:p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Cheson BD, Fisher RI, Barrington SF, </w:t>
            </w:r>
            <w:r w:rsidRPr="00534D00">
              <w:rPr>
                <w:rFonts w:cstheme="minorHAnsi"/>
                <w:i/>
                <w:iCs/>
              </w:rPr>
              <w:t>et al</w:t>
            </w:r>
            <w:r w:rsidRPr="00534D00">
              <w:rPr>
                <w:rFonts w:cstheme="minorHAnsi"/>
              </w:rPr>
              <w:t xml:space="preserve">. Recommendations for Initial Evaluation, Staging, and Response Assessment of Hodgkin and Non-Hodgkin Lymphoma: The Lugano Classification. </w:t>
            </w:r>
            <w:r w:rsidRPr="00534D00">
              <w:rPr>
                <w:rFonts w:cstheme="minorHAnsi"/>
                <w:i/>
                <w:iCs/>
              </w:rPr>
              <w:t>J. Clin. Oncol.</w:t>
            </w:r>
            <w:r w:rsidRPr="00534D00">
              <w:rPr>
                <w:rFonts w:cstheme="minorHAnsi"/>
              </w:rPr>
              <w:t xml:space="preserve"> 32(27), 3059–3067 (2014).</w:t>
            </w:r>
          </w:p>
          <w:p w14:paraId="7E570D5E" w14:textId="77777777" w:rsidR="003B3D92" w:rsidRPr="00534D00" w:rsidRDefault="003B3D92" w:rsidP="00180ABE">
            <w:pPr>
              <w:rPr>
                <w:rFonts w:cstheme="minorHAnsi"/>
              </w:rPr>
            </w:pPr>
          </w:p>
          <w:p w14:paraId="14DF535A" w14:textId="167882F9" w:rsidR="00C87849" w:rsidRPr="00534D00" w:rsidRDefault="00C87849" w:rsidP="00180ABE">
            <w:p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Kumar S, Paiva B, Anderson KC, </w:t>
            </w:r>
            <w:r w:rsidRPr="00534D00">
              <w:rPr>
                <w:rFonts w:cstheme="minorHAnsi"/>
                <w:i/>
                <w:iCs/>
              </w:rPr>
              <w:t>et al</w:t>
            </w:r>
            <w:r w:rsidRPr="00534D00">
              <w:rPr>
                <w:rFonts w:cstheme="minorHAnsi"/>
              </w:rPr>
              <w:t xml:space="preserve">. International Myeloma Working Group consensus criteria for response and minimal residual disease assessment in multiple myeloma. </w:t>
            </w:r>
            <w:r w:rsidRPr="00534D00">
              <w:rPr>
                <w:rFonts w:cstheme="minorHAnsi"/>
                <w:i/>
                <w:iCs/>
              </w:rPr>
              <w:t>Lancet Oncol</w:t>
            </w:r>
            <w:r w:rsidRPr="00534D00">
              <w:rPr>
                <w:rFonts w:cstheme="minorHAnsi"/>
              </w:rPr>
              <w:t>. 17(8), e328–e346 (2016).</w:t>
            </w:r>
          </w:p>
          <w:p w14:paraId="28455589" w14:textId="77777777" w:rsidR="00682582" w:rsidRPr="00534D00" w:rsidRDefault="00682582" w:rsidP="00180ABE">
            <w:pPr>
              <w:rPr>
                <w:rFonts w:cstheme="minorHAnsi"/>
              </w:rPr>
            </w:pPr>
          </w:p>
          <w:p w14:paraId="06FD1614" w14:textId="45A5D0FA" w:rsidR="00B205B1" w:rsidRPr="00534D00" w:rsidRDefault="00B205B1" w:rsidP="00180ABE">
            <w:pPr>
              <w:rPr>
                <w:rFonts w:cstheme="minorHAnsi"/>
              </w:rPr>
            </w:pPr>
            <w:r w:rsidRPr="00534D00">
              <w:rPr>
                <w:rFonts w:cstheme="minorHAnsi"/>
              </w:rPr>
              <w:t xml:space="preserve">Levey AS, Stevens LA, Schmid CH, </w:t>
            </w:r>
            <w:r w:rsidRPr="00534D00">
              <w:rPr>
                <w:rFonts w:cstheme="minorHAnsi"/>
                <w:i/>
                <w:iCs/>
              </w:rPr>
              <w:t>et al.</w:t>
            </w:r>
            <w:r w:rsidRPr="00534D00">
              <w:rPr>
                <w:rFonts w:cstheme="minorHAnsi"/>
              </w:rPr>
              <w:t xml:space="preserve"> A new equation to estimate glomerular filtration rate. </w:t>
            </w:r>
            <w:r w:rsidRPr="00534D00">
              <w:rPr>
                <w:rFonts w:cstheme="minorHAnsi"/>
                <w:i/>
                <w:iCs/>
              </w:rPr>
              <w:t>Ann. Intern. Med.</w:t>
            </w:r>
            <w:r w:rsidRPr="00534D00">
              <w:rPr>
                <w:rFonts w:cstheme="minorHAnsi"/>
              </w:rPr>
              <w:t xml:space="preserve"> 150(9), 604 (2009).</w:t>
            </w:r>
          </w:p>
        </w:tc>
      </w:tr>
    </w:tbl>
    <w:p w14:paraId="29EACC5D" w14:textId="14DB30FD" w:rsidR="00DF667A" w:rsidRPr="00534D00" w:rsidRDefault="00DF667A" w:rsidP="00DF667A">
      <w:pPr>
        <w:rPr>
          <w:rFonts w:cstheme="minorHAnsi"/>
        </w:rPr>
      </w:pPr>
    </w:p>
    <w:sectPr w:rsidR="00DF667A" w:rsidRPr="00534D0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6265" w14:textId="77777777" w:rsidR="001D5082" w:rsidRDefault="001D5082" w:rsidP="003174E8">
      <w:pPr>
        <w:spacing w:after="0" w:line="240" w:lineRule="auto"/>
      </w:pPr>
      <w:r>
        <w:separator/>
      </w:r>
    </w:p>
  </w:endnote>
  <w:endnote w:type="continuationSeparator" w:id="0">
    <w:p w14:paraId="604BC8DF" w14:textId="77777777" w:rsidR="001D5082" w:rsidRDefault="001D5082" w:rsidP="003174E8">
      <w:pPr>
        <w:spacing w:after="0" w:line="240" w:lineRule="auto"/>
      </w:pPr>
      <w:r>
        <w:continuationSeparator/>
      </w:r>
    </w:p>
  </w:endnote>
  <w:endnote w:type="continuationNotice" w:id="1">
    <w:p w14:paraId="2391C6F3" w14:textId="77777777" w:rsidR="001D5082" w:rsidRDefault="001D5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404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CB762" w14:textId="1BA5F6A3" w:rsidR="00EB6EC2" w:rsidRDefault="00EB6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242428A" w14:textId="77777777" w:rsidR="00EB6EC2" w:rsidRDefault="00EB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0963" w14:textId="77777777" w:rsidR="001D5082" w:rsidRDefault="001D5082" w:rsidP="003174E8">
      <w:pPr>
        <w:spacing w:after="0" w:line="240" w:lineRule="auto"/>
      </w:pPr>
      <w:r>
        <w:separator/>
      </w:r>
    </w:p>
  </w:footnote>
  <w:footnote w:type="continuationSeparator" w:id="0">
    <w:p w14:paraId="00940D11" w14:textId="77777777" w:rsidR="001D5082" w:rsidRDefault="001D5082" w:rsidP="003174E8">
      <w:pPr>
        <w:spacing w:after="0" w:line="240" w:lineRule="auto"/>
      </w:pPr>
      <w:r>
        <w:continuationSeparator/>
      </w:r>
    </w:p>
  </w:footnote>
  <w:footnote w:type="continuationNotice" w:id="1">
    <w:p w14:paraId="292B8178" w14:textId="77777777" w:rsidR="001D5082" w:rsidRDefault="001D50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D6CA4E"/>
    <w:lvl w:ilvl="0">
      <w:numFmt w:val="bullet"/>
      <w:lvlText w:val="*"/>
      <w:lvlJc w:val="left"/>
    </w:lvl>
  </w:abstractNum>
  <w:abstractNum w:abstractNumId="1" w15:restartNumberingAfterBreak="0">
    <w:nsid w:val="083A46D5"/>
    <w:multiLevelType w:val="hybridMultilevel"/>
    <w:tmpl w:val="2744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A4043"/>
    <w:multiLevelType w:val="hybridMultilevel"/>
    <w:tmpl w:val="FD1A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734"/>
    <w:multiLevelType w:val="hybridMultilevel"/>
    <w:tmpl w:val="EC6E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74F7"/>
    <w:multiLevelType w:val="hybridMultilevel"/>
    <w:tmpl w:val="798C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11668"/>
    <w:multiLevelType w:val="hybridMultilevel"/>
    <w:tmpl w:val="9A74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3300"/>
    <w:multiLevelType w:val="hybridMultilevel"/>
    <w:tmpl w:val="D8CEDBA2"/>
    <w:lvl w:ilvl="0" w:tplc="664CE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996"/>
    <w:multiLevelType w:val="hybridMultilevel"/>
    <w:tmpl w:val="6410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50269F"/>
    <w:multiLevelType w:val="hybridMultilevel"/>
    <w:tmpl w:val="249E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5E40"/>
    <w:multiLevelType w:val="hybridMultilevel"/>
    <w:tmpl w:val="33AA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6162EB"/>
    <w:multiLevelType w:val="hybridMultilevel"/>
    <w:tmpl w:val="1FCC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F3ABB"/>
    <w:multiLevelType w:val="hybridMultilevel"/>
    <w:tmpl w:val="AAE8F0D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CCF2308"/>
    <w:multiLevelType w:val="hybridMultilevel"/>
    <w:tmpl w:val="4818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2A66"/>
    <w:multiLevelType w:val="hybridMultilevel"/>
    <w:tmpl w:val="ADC6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734D45"/>
    <w:multiLevelType w:val="hybridMultilevel"/>
    <w:tmpl w:val="343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D6F"/>
    <w:multiLevelType w:val="hybridMultilevel"/>
    <w:tmpl w:val="1F96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901325"/>
    <w:multiLevelType w:val="hybridMultilevel"/>
    <w:tmpl w:val="59D8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E1EF4"/>
    <w:multiLevelType w:val="hybridMultilevel"/>
    <w:tmpl w:val="6D46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6B3FB5"/>
    <w:multiLevelType w:val="hybridMultilevel"/>
    <w:tmpl w:val="7FFE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225586"/>
    <w:multiLevelType w:val="hybridMultilevel"/>
    <w:tmpl w:val="F7F41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177D"/>
    <w:multiLevelType w:val="hybridMultilevel"/>
    <w:tmpl w:val="94D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6F1"/>
    <w:multiLevelType w:val="hybridMultilevel"/>
    <w:tmpl w:val="36A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8">
    <w:abstractNumId w:val="18"/>
  </w:num>
  <w:num w:numId="9">
    <w:abstractNumId w:val="1"/>
  </w:num>
  <w:num w:numId="10">
    <w:abstractNumId w:val="15"/>
  </w:num>
  <w:num w:numId="11">
    <w:abstractNumId w:val="17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21"/>
  </w:num>
  <w:num w:numId="17">
    <w:abstractNumId w:val="5"/>
  </w:num>
  <w:num w:numId="18">
    <w:abstractNumId w:val="20"/>
  </w:num>
  <w:num w:numId="19">
    <w:abstractNumId w:val="10"/>
  </w:num>
  <w:num w:numId="20">
    <w:abstractNumId w:val="12"/>
  </w:num>
  <w:num w:numId="21">
    <w:abstractNumId w:val="2"/>
  </w:num>
  <w:num w:numId="22">
    <w:abstractNumId w:val="8"/>
  </w:num>
  <w:num w:numId="23">
    <w:abstractNumId w:val="16"/>
  </w:num>
  <w:num w:numId="24">
    <w:abstractNumId w:val="11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5D49E2F-390F-4D9D-966E-EFF029B3FA09}"/>
    <w:docVar w:name="dgnword-eventsink" w:val="1651910937168"/>
  </w:docVars>
  <w:rsids>
    <w:rsidRoot w:val="00DE6162"/>
    <w:rsid w:val="00000AEE"/>
    <w:rsid w:val="00001E36"/>
    <w:rsid w:val="0000363C"/>
    <w:rsid w:val="00005B88"/>
    <w:rsid w:val="000069BD"/>
    <w:rsid w:val="000072A1"/>
    <w:rsid w:val="000072CF"/>
    <w:rsid w:val="000074F1"/>
    <w:rsid w:val="00007DE0"/>
    <w:rsid w:val="00007E8E"/>
    <w:rsid w:val="00007F6E"/>
    <w:rsid w:val="000100B8"/>
    <w:rsid w:val="000104AF"/>
    <w:rsid w:val="000110FE"/>
    <w:rsid w:val="00012A1D"/>
    <w:rsid w:val="00013016"/>
    <w:rsid w:val="000131A3"/>
    <w:rsid w:val="00013A4C"/>
    <w:rsid w:val="0001441B"/>
    <w:rsid w:val="00015E09"/>
    <w:rsid w:val="00016862"/>
    <w:rsid w:val="00016DA2"/>
    <w:rsid w:val="0002124B"/>
    <w:rsid w:val="000223AA"/>
    <w:rsid w:val="00022544"/>
    <w:rsid w:val="000225C8"/>
    <w:rsid w:val="00022A7F"/>
    <w:rsid w:val="00022C42"/>
    <w:rsid w:val="0002303F"/>
    <w:rsid w:val="00025340"/>
    <w:rsid w:val="00026A71"/>
    <w:rsid w:val="00027254"/>
    <w:rsid w:val="00027D7E"/>
    <w:rsid w:val="000305D8"/>
    <w:rsid w:val="00030964"/>
    <w:rsid w:val="000317DF"/>
    <w:rsid w:val="00031ADF"/>
    <w:rsid w:val="00033367"/>
    <w:rsid w:val="0003467B"/>
    <w:rsid w:val="0003558D"/>
    <w:rsid w:val="000372E2"/>
    <w:rsid w:val="00037C17"/>
    <w:rsid w:val="000406F9"/>
    <w:rsid w:val="00040FC2"/>
    <w:rsid w:val="00041694"/>
    <w:rsid w:val="000440BF"/>
    <w:rsid w:val="0004421F"/>
    <w:rsid w:val="00044237"/>
    <w:rsid w:val="00044359"/>
    <w:rsid w:val="000443FC"/>
    <w:rsid w:val="0004478D"/>
    <w:rsid w:val="00045671"/>
    <w:rsid w:val="000457FB"/>
    <w:rsid w:val="00046267"/>
    <w:rsid w:val="00047342"/>
    <w:rsid w:val="00047D51"/>
    <w:rsid w:val="00047F7A"/>
    <w:rsid w:val="00050CF0"/>
    <w:rsid w:val="00050DA1"/>
    <w:rsid w:val="000513F4"/>
    <w:rsid w:val="00051579"/>
    <w:rsid w:val="00051B04"/>
    <w:rsid w:val="00051F9E"/>
    <w:rsid w:val="00052372"/>
    <w:rsid w:val="00054127"/>
    <w:rsid w:val="00054398"/>
    <w:rsid w:val="000549C9"/>
    <w:rsid w:val="00054D10"/>
    <w:rsid w:val="00055227"/>
    <w:rsid w:val="000554BC"/>
    <w:rsid w:val="000559C2"/>
    <w:rsid w:val="00055C60"/>
    <w:rsid w:val="00056706"/>
    <w:rsid w:val="000575BD"/>
    <w:rsid w:val="00057698"/>
    <w:rsid w:val="00060835"/>
    <w:rsid w:val="000609A6"/>
    <w:rsid w:val="00060E48"/>
    <w:rsid w:val="00061328"/>
    <w:rsid w:val="00061F51"/>
    <w:rsid w:val="0006202F"/>
    <w:rsid w:val="00062172"/>
    <w:rsid w:val="00064219"/>
    <w:rsid w:val="00064368"/>
    <w:rsid w:val="000643AC"/>
    <w:rsid w:val="00064F8D"/>
    <w:rsid w:val="00065CB0"/>
    <w:rsid w:val="00065DAC"/>
    <w:rsid w:val="00065F7A"/>
    <w:rsid w:val="00066C0C"/>
    <w:rsid w:val="00066E9C"/>
    <w:rsid w:val="00067A64"/>
    <w:rsid w:val="00070540"/>
    <w:rsid w:val="00070B7D"/>
    <w:rsid w:val="00071999"/>
    <w:rsid w:val="000720CB"/>
    <w:rsid w:val="00072150"/>
    <w:rsid w:val="00073C3B"/>
    <w:rsid w:val="000768AE"/>
    <w:rsid w:val="00077CB6"/>
    <w:rsid w:val="00080ACA"/>
    <w:rsid w:val="00080E88"/>
    <w:rsid w:val="00081AFB"/>
    <w:rsid w:val="00081DF0"/>
    <w:rsid w:val="000822B5"/>
    <w:rsid w:val="00082403"/>
    <w:rsid w:val="00082E48"/>
    <w:rsid w:val="00083063"/>
    <w:rsid w:val="00083B21"/>
    <w:rsid w:val="00085160"/>
    <w:rsid w:val="00085418"/>
    <w:rsid w:val="00085FD9"/>
    <w:rsid w:val="000864BD"/>
    <w:rsid w:val="00086923"/>
    <w:rsid w:val="00086EAF"/>
    <w:rsid w:val="00087124"/>
    <w:rsid w:val="0008758B"/>
    <w:rsid w:val="000913A3"/>
    <w:rsid w:val="000915F3"/>
    <w:rsid w:val="0009216C"/>
    <w:rsid w:val="00092180"/>
    <w:rsid w:val="00092499"/>
    <w:rsid w:val="0009432F"/>
    <w:rsid w:val="0009493B"/>
    <w:rsid w:val="00095065"/>
    <w:rsid w:val="000952FA"/>
    <w:rsid w:val="00095D7F"/>
    <w:rsid w:val="00097149"/>
    <w:rsid w:val="000A0357"/>
    <w:rsid w:val="000A0CEC"/>
    <w:rsid w:val="000A0D5A"/>
    <w:rsid w:val="000A0D6E"/>
    <w:rsid w:val="000A0FA7"/>
    <w:rsid w:val="000A1699"/>
    <w:rsid w:val="000A21F0"/>
    <w:rsid w:val="000A258F"/>
    <w:rsid w:val="000A2797"/>
    <w:rsid w:val="000A3D71"/>
    <w:rsid w:val="000A400C"/>
    <w:rsid w:val="000A446F"/>
    <w:rsid w:val="000A4497"/>
    <w:rsid w:val="000A4AE7"/>
    <w:rsid w:val="000A5067"/>
    <w:rsid w:val="000A5C89"/>
    <w:rsid w:val="000A6B8A"/>
    <w:rsid w:val="000B1739"/>
    <w:rsid w:val="000B1F42"/>
    <w:rsid w:val="000B1F83"/>
    <w:rsid w:val="000B1FD8"/>
    <w:rsid w:val="000B3107"/>
    <w:rsid w:val="000B492F"/>
    <w:rsid w:val="000B51C9"/>
    <w:rsid w:val="000B66F1"/>
    <w:rsid w:val="000B7826"/>
    <w:rsid w:val="000B7CC0"/>
    <w:rsid w:val="000B7FF8"/>
    <w:rsid w:val="000C0595"/>
    <w:rsid w:val="000C0A34"/>
    <w:rsid w:val="000C108E"/>
    <w:rsid w:val="000C1C42"/>
    <w:rsid w:val="000C38A8"/>
    <w:rsid w:val="000C3994"/>
    <w:rsid w:val="000C57CC"/>
    <w:rsid w:val="000C642E"/>
    <w:rsid w:val="000C6D6B"/>
    <w:rsid w:val="000C79B0"/>
    <w:rsid w:val="000D0279"/>
    <w:rsid w:val="000D07E5"/>
    <w:rsid w:val="000D2375"/>
    <w:rsid w:val="000D2BEB"/>
    <w:rsid w:val="000D3FD1"/>
    <w:rsid w:val="000D45EF"/>
    <w:rsid w:val="000D4A6B"/>
    <w:rsid w:val="000D5C99"/>
    <w:rsid w:val="000D63F3"/>
    <w:rsid w:val="000D640B"/>
    <w:rsid w:val="000D6830"/>
    <w:rsid w:val="000D7118"/>
    <w:rsid w:val="000D75A7"/>
    <w:rsid w:val="000E055F"/>
    <w:rsid w:val="000E092B"/>
    <w:rsid w:val="000E0AC3"/>
    <w:rsid w:val="000E1ED3"/>
    <w:rsid w:val="000E2997"/>
    <w:rsid w:val="000E2DCF"/>
    <w:rsid w:val="000E3752"/>
    <w:rsid w:val="000E3D99"/>
    <w:rsid w:val="000E4F56"/>
    <w:rsid w:val="000E5B89"/>
    <w:rsid w:val="000E5F3E"/>
    <w:rsid w:val="000E685C"/>
    <w:rsid w:val="000E6AAC"/>
    <w:rsid w:val="000E6B0E"/>
    <w:rsid w:val="000E7AA6"/>
    <w:rsid w:val="000E7E7A"/>
    <w:rsid w:val="000F01D0"/>
    <w:rsid w:val="000F0E20"/>
    <w:rsid w:val="000F0EA9"/>
    <w:rsid w:val="000F1276"/>
    <w:rsid w:val="000F20E7"/>
    <w:rsid w:val="000F2919"/>
    <w:rsid w:val="000F2B16"/>
    <w:rsid w:val="000F2EED"/>
    <w:rsid w:val="000F43D6"/>
    <w:rsid w:val="000F5D02"/>
    <w:rsid w:val="000F5F05"/>
    <w:rsid w:val="000F7228"/>
    <w:rsid w:val="000F798D"/>
    <w:rsid w:val="000F7BF2"/>
    <w:rsid w:val="000F7EA3"/>
    <w:rsid w:val="000F7F2B"/>
    <w:rsid w:val="00100748"/>
    <w:rsid w:val="00100EA7"/>
    <w:rsid w:val="00101487"/>
    <w:rsid w:val="001017FF"/>
    <w:rsid w:val="00101B74"/>
    <w:rsid w:val="001037FD"/>
    <w:rsid w:val="00103D7B"/>
    <w:rsid w:val="0010446B"/>
    <w:rsid w:val="00106005"/>
    <w:rsid w:val="00107F26"/>
    <w:rsid w:val="00110561"/>
    <w:rsid w:val="0011169D"/>
    <w:rsid w:val="00112A4A"/>
    <w:rsid w:val="00113E4A"/>
    <w:rsid w:val="0011461B"/>
    <w:rsid w:val="00114661"/>
    <w:rsid w:val="00114C46"/>
    <w:rsid w:val="001158C0"/>
    <w:rsid w:val="00115CE9"/>
    <w:rsid w:val="00115D92"/>
    <w:rsid w:val="001163CA"/>
    <w:rsid w:val="0011755B"/>
    <w:rsid w:val="00117BEA"/>
    <w:rsid w:val="00120A3F"/>
    <w:rsid w:val="001211DE"/>
    <w:rsid w:val="001217F1"/>
    <w:rsid w:val="00121950"/>
    <w:rsid w:val="00122B68"/>
    <w:rsid w:val="00122C41"/>
    <w:rsid w:val="00122E16"/>
    <w:rsid w:val="00124747"/>
    <w:rsid w:val="00124E82"/>
    <w:rsid w:val="00125292"/>
    <w:rsid w:val="00125298"/>
    <w:rsid w:val="001254AF"/>
    <w:rsid w:val="00125648"/>
    <w:rsid w:val="00127025"/>
    <w:rsid w:val="00127C29"/>
    <w:rsid w:val="001300D3"/>
    <w:rsid w:val="00130607"/>
    <w:rsid w:val="001315F7"/>
    <w:rsid w:val="0013186C"/>
    <w:rsid w:val="00132312"/>
    <w:rsid w:val="00132EF3"/>
    <w:rsid w:val="00132F67"/>
    <w:rsid w:val="00133841"/>
    <w:rsid w:val="00134817"/>
    <w:rsid w:val="00134BA6"/>
    <w:rsid w:val="0013530D"/>
    <w:rsid w:val="00137004"/>
    <w:rsid w:val="0013734E"/>
    <w:rsid w:val="00137E28"/>
    <w:rsid w:val="00140697"/>
    <w:rsid w:val="00140C4F"/>
    <w:rsid w:val="00141508"/>
    <w:rsid w:val="00141715"/>
    <w:rsid w:val="001419F2"/>
    <w:rsid w:val="00141A80"/>
    <w:rsid w:val="00141AE6"/>
    <w:rsid w:val="00142260"/>
    <w:rsid w:val="00142491"/>
    <w:rsid w:val="00142D50"/>
    <w:rsid w:val="00142EA9"/>
    <w:rsid w:val="00142F38"/>
    <w:rsid w:val="001430E2"/>
    <w:rsid w:val="001436F7"/>
    <w:rsid w:val="00144216"/>
    <w:rsid w:val="0014467E"/>
    <w:rsid w:val="00144D9C"/>
    <w:rsid w:val="001452F0"/>
    <w:rsid w:val="0014583A"/>
    <w:rsid w:val="00145DB4"/>
    <w:rsid w:val="00146AD2"/>
    <w:rsid w:val="00150294"/>
    <w:rsid w:val="00150450"/>
    <w:rsid w:val="00151A6A"/>
    <w:rsid w:val="00151F9F"/>
    <w:rsid w:val="0015346E"/>
    <w:rsid w:val="00153C49"/>
    <w:rsid w:val="00154732"/>
    <w:rsid w:val="00154C7C"/>
    <w:rsid w:val="00155A43"/>
    <w:rsid w:val="00155EC5"/>
    <w:rsid w:val="00156F92"/>
    <w:rsid w:val="0015761D"/>
    <w:rsid w:val="001578AA"/>
    <w:rsid w:val="00157CEC"/>
    <w:rsid w:val="00157E9D"/>
    <w:rsid w:val="00160A5D"/>
    <w:rsid w:val="0016204D"/>
    <w:rsid w:val="0016317D"/>
    <w:rsid w:val="00163210"/>
    <w:rsid w:val="0016408D"/>
    <w:rsid w:val="00164ECB"/>
    <w:rsid w:val="00165C81"/>
    <w:rsid w:val="00166FB5"/>
    <w:rsid w:val="00167555"/>
    <w:rsid w:val="0016777C"/>
    <w:rsid w:val="00167C33"/>
    <w:rsid w:val="00170509"/>
    <w:rsid w:val="00170A79"/>
    <w:rsid w:val="001710B4"/>
    <w:rsid w:val="00172772"/>
    <w:rsid w:val="001737B9"/>
    <w:rsid w:val="00173C7E"/>
    <w:rsid w:val="00174630"/>
    <w:rsid w:val="00175BEF"/>
    <w:rsid w:val="0017612B"/>
    <w:rsid w:val="00176241"/>
    <w:rsid w:val="00176C3A"/>
    <w:rsid w:val="001803E0"/>
    <w:rsid w:val="0018080E"/>
    <w:rsid w:val="00180ABE"/>
    <w:rsid w:val="00180E61"/>
    <w:rsid w:val="00181007"/>
    <w:rsid w:val="0018104E"/>
    <w:rsid w:val="001813FB"/>
    <w:rsid w:val="001824C1"/>
    <w:rsid w:val="00182DB2"/>
    <w:rsid w:val="001834AA"/>
    <w:rsid w:val="00183D5E"/>
    <w:rsid w:val="0018434C"/>
    <w:rsid w:val="0018639A"/>
    <w:rsid w:val="001904D6"/>
    <w:rsid w:val="001906B1"/>
    <w:rsid w:val="0019092B"/>
    <w:rsid w:val="00191221"/>
    <w:rsid w:val="00191687"/>
    <w:rsid w:val="00191ADD"/>
    <w:rsid w:val="001924D8"/>
    <w:rsid w:val="001929E4"/>
    <w:rsid w:val="001941D1"/>
    <w:rsid w:val="001942DB"/>
    <w:rsid w:val="00194A2D"/>
    <w:rsid w:val="00195D2D"/>
    <w:rsid w:val="00195DEF"/>
    <w:rsid w:val="001962EE"/>
    <w:rsid w:val="00196F51"/>
    <w:rsid w:val="001973C9"/>
    <w:rsid w:val="00197BF7"/>
    <w:rsid w:val="001A0EB2"/>
    <w:rsid w:val="001A264B"/>
    <w:rsid w:val="001A28BA"/>
    <w:rsid w:val="001A2DB4"/>
    <w:rsid w:val="001A36E7"/>
    <w:rsid w:val="001A3889"/>
    <w:rsid w:val="001A3CB4"/>
    <w:rsid w:val="001A449A"/>
    <w:rsid w:val="001A472D"/>
    <w:rsid w:val="001A50A8"/>
    <w:rsid w:val="001A5A70"/>
    <w:rsid w:val="001A66F4"/>
    <w:rsid w:val="001A67E1"/>
    <w:rsid w:val="001A6BFD"/>
    <w:rsid w:val="001A72A0"/>
    <w:rsid w:val="001A7C75"/>
    <w:rsid w:val="001B065D"/>
    <w:rsid w:val="001B0876"/>
    <w:rsid w:val="001B09B2"/>
    <w:rsid w:val="001B2AB8"/>
    <w:rsid w:val="001B2CA0"/>
    <w:rsid w:val="001B4582"/>
    <w:rsid w:val="001B4D44"/>
    <w:rsid w:val="001B4DB5"/>
    <w:rsid w:val="001B5B2C"/>
    <w:rsid w:val="001B5C0C"/>
    <w:rsid w:val="001B6218"/>
    <w:rsid w:val="001B67A1"/>
    <w:rsid w:val="001B7218"/>
    <w:rsid w:val="001B7372"/>
    <w:rsid w:val="001B7FC5"/>
    <w:rsid w:val="001C002B"/>
    <w:rsid w:val="001C10A3"/>
    <w:rsid w:val="001C1A1E"/>
    <w:rsid w:val="001C26FC"/>
    <w:rsid w:val="001C2D92"/>
    <w:rsid w:val="001C3586"/>
    <w:rsid w:val="001C4416"/>
    <w:rsid w:val="001C5500"/>
    <w:rsid w:val="001C629F"/>
    <w:rsid w:val="001C6815"/>
    <w:rsid w:val="001C6E3C"/>
    <w:rsid w:val="001C7C16"/>
    <w:rsid w:val="001C7E12"/>
    <w:rsid w:val="001D0C29"/>
    <w:rsid w:val="001D0D08"/>
    <w:rsid w:val="001D206B"/>
    <w:rsid w:val="001D21E5"/>
    <w:rsid w:val="001D23BD"/>
    <w:rsid w:val="001D2806"/>
    <w:rsid w:val="001D2B0B"/>
    <w:rsid w:val="001D49BD"/>
    <w:rsid w:val="001D4C5C"/>
    <w:rsid w:val="001D5082"/>
    <w:rsid w:val="001D5C35"/>
    <w:rsid w:val="001D6CC3"/>
    <w:rsid w:val="001D6EC0"/>
    <w:rsid w:val="001D743E"/>
    <w:rsid w:val="001D78AF"/>
    <w:rsid w:val="001D79C3"/>
    <w:rsid w:val="001D7FBF"/>
    <w:rsid w:val="001E2E16"/>
    <w:rsid w:val="001E3EB3"/>
    <w:rsid w:val="001E5217"/>
    <w:rsid w:val="001E64F5"/>
    <w:rsid w:val="001E6582"/>
    <w:rsid w:val="001E6F70"/>
    <w:rsid w:val="001E7C88"/>
    <w:rsid w:val="001F017E"/>
    <w:rsid w:val="001F01AE"/>
    <w:rsid w:val="001F0941"/>
    <w:rsid w:val="001F13FF"/>
    <w:rsid w:val="001F1C78"/>
    <w:rsid w:val="001F1FA3"/>
    <w:rsid w:val="001F31FB"/>
    <w:rsid w:val="001F3B66"/>
    <w:rsid w:val="001F43E2"/>
    <w:rsid w:val="001F4688"/>
    <w:rsid w:val="001F5100"/>
    <w:rsid w:val="001F610D"/>
    <w:rsid w:val="001F6569"/>
    <w:rsid w:val="001F6F71"/>
    <w:rsid w:val="001F72F2"/>
    <w:rsid w:val="00200948"/>
    <w:rsid w:val="002009E1"/>
    <w:rsid w:val="00200C81"/>
    <w:rsid w:val="00200CC4"/>
    <w:rsid w:val="00200DB2"/>
    <w:rsid w:val="00200DC5"/>
    <w:rsid w:val="00201B49"/>
    <w:rsid w:val="002026D3"/>
    <w:rsid w:val="002033A1"/>
    <w:rsid w:val="002033E3"/>
    <w:rsid w:val="00203A42"/>
    <w:rsid w:val="00203A57"/>
    <w:rsid w:val="00203F78"/>
    <w:rsid w:val="00204654"/>
    <w:rsid w:val="00204819"/>
    <w:rsid w:val="00205810"/>
    <w:rsid w:val="00205831"/>
    <w:rsid w:val="002063BE"/>
    <w:rsid w:val="002075CC"/>
    <w:rsid w:val="00210EF5"/>
    <w:rsid w:val="00211864"/>
    <w:rsid w:val="00212604"/>
    <w:rsid w:val="0021296D"/>
    <w:rsid w:val="00215195"/>
    <w:rsid w:val="002158EF"/>
    <w:rsid w:val="00216B13"/>
    <w:rsid w:val="002176AE"/>
    <w:rsid w:val="002176DF"/>
    <w:rsid w:val="00220745"/>
    <w:rsid w:val="00221EB9"/>
    <w:rsid w:val="00222159"/>
    <w:rsid w:val="00222594"/>
    <w:rsid w:val="002238D9"/>
    <w:rsid w:val="00224DB3"/>
    <w:rsid w:val="002264A2"/>
    <w:rsid w:val="002266A1"/>
    <w:rsid w:val="00226A13"/>
    <w:rsid w:val="002273B9"/>
    <w:rsid w:val="00227515"/>
    <w:rsid w:val="002278DA"/>
    <w:rsid w:val="00227C9B"/>
    <w:rsid w:val="002300DD"/>
    <w:rsid w:val="00230BEF"/>
    <w:rsid w:val="0023192E"/>
    <w:rsid w:val="00232FD2"/>
    <w:rsid w:val="00233F40"/>
    <w:rsid w:val="00234503"/>
    <w:rsid w:val="00234643"/>
    <w:rsid w:val="00234D02"/>
    <w:rsid w:val="00234D6C"/>
    <w:rsid w:val="002372DD"/>
    <w:rsid w:val="00237624"/>
    <w:rsid w:val="002401B6"/>
    <w:rsid w:val="002402D9"/>
    <w:rsid w:val="0024047D"/>
    <w:rsid w:val="00240626"/>
    <w:rsid w:val="00241722"/>
    <w:rsid w:val="00242E50"/>
    <w:rsid w:val="002430B1"/>
    <w:rsid w:val="00243D9A"/>
    <w:rsid w:val="00244073"/>
    <w:rsid w:val="002464A3"/>
    <w:rsid w:val="00246B40"/>
    <w:rsid w:val="00247955"/>
    <w:rsid w:val="00247CE5"/>
    <w:rsid w:val="00250641"/>
    <w:rsid w:val="00250955"/>
    <w:rsid w:val="00251520"/>
    <w:rsid w:val="0025218C"/>
    <w:rsid w:val="0025221E"/>
    <w:rsid w:val="00252596"/>
    <w:rsid w:val="0025331F"/>
    <w:rsid w:val="00253E95"/>
    <w:rsid w:val="002540A6"/>
    <w:rsid w:val="00254161"/>
    <w:rsid w:val="0025440A"/>
    <w:rsid w:val="00254905"/>
    <w:rsid w:val="00254AB0"/>
    <w:rsid w:val="002552CB"/>
    <w:rsid w:val="00255DDB"/>
    <w:rsid w:val="0025658C"/>
    <w:rsid w:val="00256E26"/>
    <w:rsid w:val="002571CB"/>
    <w:rsid w:val="00257229"/>
    <w:rsid w:val="00257498"/>
    <w:rsid w:val="00257BD9"/>
    <w:rsid w:val="00260624"/>
    <w:rsid w:val="00260932"/>
    <w:rsid w:val="002610F9"/>
    <w:rsid w:val="00261EAC"/>
    <w:rsid w:val="00262115"/>
    <w:rsid w:val="00262CB2"/>
    <w:rsid w:val="00263AF1"/>
    <w:rsid w:val="00264FD8"/>
    <w:rsid w:val="00264FE9"/>
    <w:rsid w:val="002664FD"/>
    <w:rsid w:val="002665BF"/>
    <w:rsid w:val="002668D9"/>
    <w:rsid w:val="00266BEF"/>
    <w:rsid w:val="00266E5A"/>
    <w:rsid w:val="002672D6"/>
    <w:rsid w:val="002673D9"/>
    <w:rsid w:val="00267490"/>
    <w:rsid w:val="00270BCA"/>
    <w:rsid w:val="00272172"/>
    <w:rsid w:val="002725F6"/>
    <w:rsid w:val="00272902"/>
    <w:rsid w:val="00273F6D"/>
    <w:rsid w:val="00274FEA"/>
    <w:rsid w:val="0027561A"/>
    <w:rsid w:val="00275AC8"/>
    <w:rsid w:val="00275CF6"/>
    <w:rsid w:val="0027616B"/>
    <w:rsid w:val="00276B78"/>
    <w:rsid w:val="00277AA7"/>
    <w:rsid w:val="00277D52"/>
    <w:rsid w:val="002804CD"/>
    <w:rsid w:val="002806ED"/>
    <w:rsid w:val="00282BDF"/>
    <w:rsid w:val="002847E7"/>
    <w:rsid w:val="00284C40"/>
    <w:rsid w:val="002851FB"/>
    <w:rsid w:val="00285C67"/>
    <w:rsid w:val="0028601B"/>
    <w:rsid w:val="00287398"/>
    <w:rsid w:val="00287E9A"/>
    <w:rsid w:val="00290016"/>
    <w:rsid w:val="002915A5"/>
    <w:rsid w:val="00292658"/>
    <w:rsid w:val="002932F0"/>
    <w:rsid w:val="00293A2D"/>
    <w:rsid w:val="00294440"/>
    <w:rsid w:val="00294AA7"/>
    <w:rsid w:val="00294D77"/>
    <w:rsid w:val="00296025"/>
    <w:rsid w:val="0029737E"/>
    <w:rsid w:val="00297436"/>
    <w:rsid w:val="002A03A4"/>
    <w:rsid w:val="002A0A38"/>
    <w:rsid w:val="002A0C4B"/>
    <w:rsid w:val="002A186C"/>
    <w:rsid w:val="002A26D9"/>
    <w:rsid w:val="002A308B"/>
    <w:rsid w:val="002A4C62"/>
    <w:rsid w:val="002A6F29"/>
    <w:rsid w:val="002A72A5"/>
    <w:rsid w:val="002A73B0"/>
    <w:rsid w:val="002A75BA"/>
    <w:rsid w:val="002B07BE"/>
    <w:rsid w:val="002B1DD8"/>
    <w:rsid w:val="002B207F"/>
    <w:rsid w:val="002B273D"/>
    <w:rsid w:val="002B2A08"/>
    <w:rsid w:val="002B3201"/>
    <w:rsid w:val="002B3C8E"/>
    <w:rsid w:val="002B44E2"/>
    <w:rsid w:val="002B4A43"/>
    <w:rsid w:val="002B5C56"/>
    <w:rsid w:val="002B6FED"/>
    <w:rsid w:val="002B76C0"/>
    <w:rsid w:val="002C0DF5"/>
    <w:rsid w:val="002C1701"/>
    <w:rsid w:val="002C2114"/>
    <w:rsid w:val="002C266F"/>
    <w:rsid w:val="002C3097"/>
    <w:rsid w:val="002C3599"/>
    <w:rsid w:val="002C3673"/>
    <w:rsid w:val="002C3F71"/>
    <w:rsid w:val="002C5A2E"/>
    <w:rsid w:val="002C5C25"/>
    <w:rsid w:val="002C6860"/>
    <w:rsid w:val="002C6B1F"/>
    <w:rsid w:val="002C6DD9"/>
    <w:rsid w:val="002C7703"/>
    <w:rsid w:val="002C7D8D"/>
    <w:rsid w:val="002D05C4"/>
    <w:rsid w:val="002D2965"/>
    <w:rsid w:val="002D3289"/>
    <w:rsid w:val="002D3B96"/>
    <w:rsid w:val="002D3D58"/>
    <w:rsid w:val="002D3DF1"/>
    <w:rsid w:val="002D581C"/>
    <w:rsid w:val="002D68B2"/>
    <w:rsid w:val="002D7446"/>
    <w:rsid w:val="002D7904"/>
    <w:rsid w:val="002E04F9"/>
    <w:rsid w:val="002E0CA7"/>
    <w:rsid w:val="002E2D31"/>
    <w:rsid w:val="002E2D57"/>
    <w:rsid w:val="002E3ECD"/>
    <w:rsid w:val="002E4138"/>
    <w:rsid w:val="002E415C"/>
    <w:rsid w:val="002E4589"/>
    <w:rsid w:val="002E4D3F"/>
    <w:rsid w:val="002E4FEB"/>
    <w:rsid w:val="002E54D9"/>
    <w:rsid w:val="002E5528"/>
    <w:rsid w:val="002E5D87"/>
    <w:rsid w:val="002E6897"/>
    <w:rsid w:val="002E6C85"/>
    <w:rsid w:val="002E708E"/>
    <w:rsid w:val="002E71CF"/>
    <w:rsid w:val="002E729E"/>
    <w:rsid w:val="002F005D"/>
    <w:rsid w:val="002F0705"/>
    <w:rsid w:val="002F0CDD"/>
    <w:rsid w:val="002F155B"/>
    <w:rsid w:val="002F169A"/>
    <w:rsid w:val="002F1D00"/>
    <w:rsid w:val="002F31A7"/>
    <w:rsid w:val="002F3764"/>
    <w:rsid w:val="002F42B1"/>
    <w:rsid w:val="002F5607"/>
    <w:rsid w:val="002F657A"/>
    <w:rsid w:val="002F69FF"/>
    <w:rsid w:val="002F74AE"/>
    <w:rsid w:val="00300CC7"/>
    <w:rsid w:val="00301396"/>
    <w:rsid w:val="003017EC"/>
    <w:rsid w:val="00301C72"/>
    <w:rsid w:val="0030228E"/>
    <w:rsid w:val="003022F2"/>
    <w:rsid w:val="003023C6"/>
    <w:rsid w:val="0030338A"/>
    <w:rsid w:val="00303633"/>
    <w:rsid w:val="0030388D"/>
    <w:rsid w:val="00303A07"/>
    <w:rsid w:val="0030478F"/>
    <w:rsid w:val="00305787"/>
    <w:rsid w:val="00305827"/>
    <w:rsid w:val="00305841"/>
    <w:rsid w:val="00305D5D"/>
    <w:rsid w:val="003062EB"/>
    <w:rsid w:val="00306D45"/>
    <w:rsid w:val="00307BCB"/>
    <w:rsid w:val="00307FAE"/>
    <w:rsid w:val="003113B5"/>
    <w:rsid w:val="00311475"/>
    <w:rsid w:val="00311736"/>
    <w:rsid w:val="00312C0B"/>
    <w:rsid w:val="00313C85"/>
    <w:rsid w:val="0031421B"/>
    <w:rsid w:val="003148BB"/>
    <w:rsid w:val="00314D3A"/>
    <w:rsid w:val="0031672C"/>
    <w:rsid w:val="003174E8"/>
    <w:rsid w:val="00317504"/>
    <w:rsid w:val="00317F43"/>
    <w:rsid w:val="00317FAF"/>
    <w:rsid w:val="003201B3"/>
    <w:rsid w:val="00320325"/>
    <w:rsid w:val="00320957"/>
    <w:rsid w:val="00320971"/>
    <w:rsid w:val="00320A7E"/>
    <w:rsid w:val="0032159D"/>
    <w:rsid w:val="00321F40"/>
    <w:rsid w:val="00323150"/>
    <w:rsid w:val="003231E7"/>
    <w:rsid w:val="003234F8"/>
    <w:rsid w:val="00323BC8"/>
    <w:rsid w:val="0032495E"/>
    <w:rsid w:val="00324A63"/>
    <w:rsid w:val="00326EC0"/>
    <w:rsid w:val="003274E3"/>
    <w:rsid w:val="00327CFF"/>
    <w:rsid w:val="0033003A"/>
    <w:rsid w:val="00330D96"/>
    <w:rsid w:val="00331764"/>
    <w:rsid w:val="00331C69"/>
    <w:rsid w:val="00331F8D"/>
    <w:rsid w:val="003349BA"/>
    <w:rsid w:val="00334AF5"/>
    <w:rsid w:val="00334CF9"/>
    <w:rsid w:val="00335652"/>
    <w:rsid w:val="00335C31"/>
    <w:rsid w:val="00335C51"/>
    <w:rsid w:val="0033656E"/>
    <w:rsid w:val="00336CD5"/>
    <w:rsid w:val="00337E4E"/>
    <w:rsid w:val="00340A64"/>
    <w:rsid w:val="00340ACD"/>
    <w:rsid w:val="00340CE5"/>
    <w:rsid w:val="00341083"/>
    <w:rsid w:val="0034220C"/>
    <w:rsid w:val="0034351A"/>
    <w:rsid w:val="003436E1"/>
    <w:rsid w:val="00343CA4"/>
    <w:rsid w:val="00343FCD"/>
    <w:rsid w:val="00344150"/>
    <w:rsid w:val="003444C7"/>
    <w:rsid w:val="0034536B"/>
    <w:rsid w:val="003454F9"/>
    <w:rsid w:val="00346872"/>
    <w:rsid w:val="00346B66"/>
    <w:rsid w:val="003470FC"/>
    <w:rsid w:val="003479E5"/>
    <w:rsid w:val="00347DC4"/>
    <w:rsid w:val="003506A3"/>
    <w:rsid w:val="00350AD8"/>
    <w:rsid w:val="00350FA5"/>
    <w:rsid w:val="003512D6"/>
    <w:rsid w:val="003515C3"/>
    <w:rsid w:val="0035164D"/>
    <w:rsid w:val="003516BD"/>
    <w:rsid w:val="00351CC7"/>
    <w:rsid w:val="00351E32"/>
    <w:rsid w:val="00353560"/>
    <w:rsid w:val="003536AC"/>
    <w:rsid w:val="00354623"/>
    <w:rsid w:val="00355E3A"/>
    <w:rsid w:val="003602D3"/>
    <w:rsid w:val="00360F01"/>
    <w:rsid w:val="003611F6"/>
    <w:rsid w:val="00361216"/>
    <w:rsid w:val="0036125D"/>
    <w:rsid w:val="003612DE"/>
    <w:rsid w:val="003628CC"/>
    <w:rsid w:val="00362AAE"/>
    <w:rsid w:val="00362CF3"/>
    <w:rsid w:val="003632C4"/>
    <w:rsid w:val="003643F9"/>
    <w:rsid w:val="00364A85"/>
    <w:rsid w:val="00364E35"/>
    <w:rsid w:val="00365730"/>
    <w:rsid w:val="0036580E"/>
    <w:rsid w:val="0036587F"/>
    <w:rsid w:val="003664B6"/>
    <w:rsid w:val="00367442"/>
    <w:rsid w:val="00367E21"/>
    <w:rsid w:val="00370716"/>
    <w:rsid w:val="00371543"/>
    <w:rsid w:val="003718BE"/>
    <w:rsid w:val="00371F70"/>
    <w:rsid w:val="00372113"/>
    <w:rsid w:val="003721E2"/>
    <w:rsid w:val="00372327"/>
    <w:rsid w:val="00373E93"/>
    <w:rsid w:val="0037472A"/>
    <w:rsid w:val="003758E3"/>
    <w:rsid w:val="00375B23"/>
    <w:rsid w:val="0037674E"/>
    <w:rsid w:val="00376A29"/>
    <w:rsid w:val="00376AB5"/>
    <w:rsid w:val="0037709A"/>
    <w:rsid w:val="00377524"/>
    <w:rsid w:val="00377D65"/>
    <w:rsid w:val="0038014C"/>
    <w:rsid w:val="00380B91"/>
    <w:rsid w:val="00380BD6"/>
    <w:rsid w:val="00381ED0"/>
    <w:rsid w:val="00381F67"/>
    <w:rsid w:val="00382490"/>
    <w:rsid w:val="00383489"/>
    <w:rsid w:val="00383DAD"/>
    <w:rsid w:val="00383DFD"/>
    <w:rsid w:val="00384883"/>
    <w:rsid w:val="0038494C"/>
    <w:rsid w:val="0038496C"/>
    <w:rsid w:val="00384F48"/>
    <w:rsid w:val="003854BD"/>
    <w:rsid w:val="00386A2A"/>
    <w:rsid w:val="003873FA"/>
    <w:rsid w:val="003875D9"/>
    <w:rsid w:val="00387C9A"/>
    <w:rsid w:val="0039018B"/>
    <w:rsid w:val="0039028C"/>
    <w:rsid w:val="00390414"/>
    <w:rsid w:val="00390856"/>
    <w:rsid w:val="00391546"/>
    <w:rsid w:val="0039415D"/>
    <w:rsid w:val="003945E6"/>
    <w:rsid w:val="00394F3A"/>
    <w:rsid w:val="003952D4"/>
    <w:rsid w:val="00395359"/>
    <w:rsid w:val="00395EE3"/>
    <w:rsid w:val="0039607C"/>
    <w:rsid w:val="00396B92"/>
    <w:rsid w:val="00396CBC"/>
    <w:rsid w:val="00396FDF"/>
    <w:rsid w:val="00397063"/>
    <w:rsid w:val="0039768D"/>
    <w:rsid w:val="003A0BB3"/>
    <w:rsid w:val="003A23DE"/>
    <w:rsid w:val="003A24EE"/>
    <w:rsid w:val="003A27BF"/>
    <w:rsid w:val="003A2BA7"/>
    <w:rsid w:val="003A2C58"/>
    <w:rsid w:val="003A449A"/>
    <w:rsid w:val="003A556C"/>
    <w:rsid w:val="003A5F16"/>
    <w:rsid w:val="003A620B"/>
    <w:rsid w:val="003A653A"/>
    <w:rsid w:val="003A6C79"/>
    <w:rsid w:val="003A6E3B"/>
    <w:rsid w:val="003A77B5"/>
    <w:rsid w:val="003B0845"/>
    <w:rsid w:val="003B08FC"/>
    <w:rsid w:val="003B0E9A"/>
    <w:rsid w:val="003B0F46"/>
    <w:rsid w:val="003B268F"/>
    <w:rsid w:val="003B2D85"/>
    <w:rsid w:val="003B3339"/>
    <w:rsid w:val="003B3926"/>
    <w:rsid w:val="003B3C16"/>
    <w:rsid w:val="003B3D92"/>
    <w:rsid w:val="003B4E67"/>
    <w:rsid w:val="003B591F"/>
    <w:rsid w:val="003B5F3C"/>
    <w:rsid w:val="003B5F3E"/>
    <w:rsid w:val="003B6777"/>
    <w:rsid w:val="003B69DA"/>
    <w:rsid w:val="003B705B"/>
    <w:rsid w:val="003C076F"/>
    <w:rsid w:val="003C0C4A"/>
    <w:rsid w:val="003C1A4C"/>
    <w:rsid w:val="003C2146"/>
    <w:rsid w:val="003C23FA"/>
    <w:rsid w:val="003C263B"/>
    <w:rsid w:val="003C2BAD"/>
    <w:rsid w:val="003C3373"/>
    <w:rsid w:val="003C4875"/>
    <w:rsid w:val="003C4CC2"/>
    <w:rsid w:val="003C4E2F"/>
    <w:rsid w:val="003C5257"/>
    <w:rsid w:val="003C60F6"/>
    <w:rsid w:val="003C6356"/>
    <w:rsid w:val="003C6B1E"/>
    <w:rsid w:val="003C6C98"/>
    <w:rsid w:val="003C781D"/>
    <w:rsid w:val="003C7F39"/>
    <w:rsid w:val="003D04E7"/>
    <w:rsid w:val="003D1D36"/>
    <w:rsid w:val="003D1DD5"/>
    <w:rsid w:val="003D2340"/>
    <w:rsid w:val="003D288C"/>
    <w:rsid w:val="003D29E1"/>
    <w:rsid w:val="003D319D"/>
    <w:rsid w:val="003D31F6"/>
    <w:rsid w:val="003D34E5"/>
    <w:rsid w:val="003D4CE4"/>
    <w:rsid w:val="003D6184"/>
    <w:rsid w:val="003D6204"/>
    <w:rsid w:val="003D6CF6"/>
    <w:rsid w:val="003D6FE1"/>
    <w:rsid w:val="003D726A"/>
    <w:rsid w:val="003D7B46"/>
    <w:rsid w:val="003E03D5"/>
    <w:rsid w:val="003E10C7"/>
    <w:rsid w:val="003E2583"/>
    <w:rsid w:val="003E26D1"/>
    <w:rsid w:val="003E323B"/>
    <w:rsid w:val="003E391D"/>
    <w:rsid w:val="003E438F"/>
    <w:rsid w:val="003E4EBB"/>
    <w:rsid w:val="003E5E7D"/>
    <w:rsid w:val="003E5FFF"/>
    <w:rsid w:val="003E611D"/>
    <w:rsid w:val="003E62FE"/>
    <w:rsid w:val="003E6A25"/>
    <w:rsid w:val="003E6D3F"/>
    <w:rsid w:val="003E6F50"/>
    <w:rsid w:val="003E71E1"/>
    <w:rsid w:val="003E7C91"/>
    <w:rsid w:val="003F0E02"/>
    <w:rsid w:val="003F26FD"/>
    <w:rsid w:val="003F2DB8"/>
    <w:rsid w:val="003F3840"/>
    <w:rsid w:val="003F3CEC"/>
    <w:rsid w:val="003F3E21"/>
    <w:rsid w:val="003F40EF"/>
    <w:rsid w:val="003F4DA3"/>
    <w:rsid w:val="003F561C"/>
    <w:rsid w:val="003F562F"/>
    <w:rsid w:val="003F5D0D"/>
    <w:rsid w:val="003F667C"/>
    <w:rsid w:val="003F72E6"/>
    <w:rsid w:val="003F7395"/>
    <w:rsid w:val="003F7E04"/>
    <w:rsid w:val="004004A4"/>
    <w:rsid w:val="00400CC4"/>
    <w:rsid w:val="0040125E"/>
    <w:rsid w:val="00401690"/>
    <w:rsid w:val="00401F77"/>
    <w:rsid w:val="00402473"/>
    <w:rsid w:val="00402872"/>
    <w:rsid w:val="0040319C"/>
    <w:rsid w:val="0040320D"/>
    <w:rsid w:val="004044C7"/>
    <w:rsid w:val="004045B9"/>
    <w:rsid w:val="00404C63"/>
    <w:rsid w:val="0040556C"/>
    <w:rsid w:val="0040577A"/>
    <w:rsid w:val="00405B0D"/>
    <w:rsid w:val="004067C1"/>
    <w:rsid w:val="00406D8F"/>
    <w:rsid w:val="0040727C"/>
    <w:rsid w:val="0040756D"/>
    <w:rsid w:val="00407CB9"/>
    <w:rsid w:val="00410E73"/>
    <w:rsid w:val="004115AF"/>
    <w:rsid w:val="004115D5"/>
    <w:rsid w:val="00411FDE"/>
    <w:rsid w:val="00412917"/>
    <w:rsid w:val="00413149"/>
    <w:rsid w:val="00413B25"/>
    <w:rsid w:val="00413D31"/>
    <w:rsid w:val="004141E7"/>
    <w:rsid w:val="00414458"/>
    <w:rsid w:val="004148A3"/>
    <w:rsid w:val="00415742"/>
    <w:rsid w:val="0041698F"/>
    <w:rsid w:val="004173CA"/>
    <w:rsid w:val="0042122C"/>
    <w:rsid w:val="00421790"/>
    <w:rsid w:val="00421EC2"/>
    <w:rsid w:val="00422485"/>
    <w:rsid w:val="00422750"/>
    <w:rsid w:val="0042299B"/>
    <w:rsid w:val="00424FAB"/>
    <w:rsid w:val="0042778E"/>
    <w:rsid w:val="00427D6A"/>
    <w:rsid w:val="00430148"/>
    <w:rsid w:val="00430164"/>
    <w:rsid w:val="004321B6"/>
    <w:rsid w:val="0043264C"/>
    <w:rsid w:val="004330F4"/>
    <w:rsid w:val="0043321C"/>
    <w:rsid w:val="00433523"/>
    <w:rsid w:val="00434454"/>
    <w:rsid w:val="00434462"/>
    <w:rsid w:val="00434636"/>
    <w:rsid w:val="004357F1"/>
    <w:rsid w:val="00436AC8"/>
    <w:rsid w:val="004378B5"/>
    <w:rsid w:val="00440054"/>
    <w:rsid w:val="00440C66"/>
    <w:rsid w:val="00441691"/>
    <w:rsid w:val="004419D1"/>
    <w:rsid w:val="004420F5"/>
    <w:rsid w:val="00442ACD"/>
    <w:rsid w:val="00443741"/>
    <w:rsid w:val="00443F4B"/>
    <w:rsid w:val="00443FDB"/>
    <w:rsid w:val="00444599"/>
    <w:rsid w:val="00444ACD"/>
    <w:rsid w:val="00444F39"/>
    <w:rsid w:val="00445D5C"/>
    <w:rsid w:val="0044677A"/>
    <w:rsid w:val="00446AC0"/>
    <w:rsid w:val="00447771"/>
    <w:rsid w:val="00447908"/>
    <w:rsid w:val="00447D8E"/>
    <w:rsid w:val="00447E55"/>
    <w:rsid w:val="004501A6"/>
    <w:rsid w:val="00450E02"/>
    <w:rsid w:val="00451183"/>
    <w:rsid w:val="00451475"/>
    <w:rsid w:val="004522D7"/>
    <w:rsid w:val="004532F6"/>
    <w:rsid w:val="00454315"/>
    <w:rsid w:val="00455ADE"/>
    <w:rsid w:val="00456EBB"/>
    <w:rsid w:val="0045723B"/>
    <w:rsid w:val="00457C00"/>
    <w:rsid w:val="00460BA2"/>
    <w:rsid w:val="00460FF8"/>
    <w:rsid w:val="00461817"/>
    <w:rsid w:val="004625C5"/>
    <w:rsid w:val="0046333C"/>
    <w:rsid w:val="00463395"/>
    <w:rsid w:val="004637A5"/>
    <w:rsid w:val="00464AB2"/>
    <w:rsid w:val="004651BA"/>
    <w:rsid w:val="0046569D"/>
    <w:rsid w:val="0046573D"/>
    <w:rsid w:val="00465D9D"/>
    <w:rsid w:val="004664DA"/>
    <w:rsid w:val="00466ED2"/>
    <w:rsid w:val="0047077C"/>
    <w:rsid w:val="00470850"/>
    <w:rsid w:val="00470A2D"/>
    <w:rsid w:val="004727B1"/>
    <w:rsid w:val="00472D79"/>
    <w:rsid w:val="00473FA1"/>
    <w:rsid w:val="0047515E"/>
    <w:rsid w:val="004753BB"/>
    <w:rsid w:val="0048182F"/>
    <w:rsid w:val="004821F1"/>
    <w:rsid w:val="00482413"/>
    <w:rsid w:val="0048307C"/>
    <w:rsid w:val="004833AF"/>
    <w:rsid w:val="00484F29"/>
    <w:rsid w:val="004853DF"/>
    <w:rsid w:val="00485464"/>
    <w:rsid w:val="00486549"/>
    <w:rsid w:val="00486592"/>
    <w:rsid w:val="00486C5B"/>
    <w:rsid w:val="00487448"/>
    <w:rsid w:val="004878FC"/>
    <w:rsid w:val="004905FF"/>
    <w:rsid w:val="00490D3A"/>
    <w:rsid w:val="00490DD5"/>
    <w:rsid w:val="00491176"/>
    <w:rsid w:val="00491424"/>
    <w:rsid w:val="0049173B"/>
    <w:rsid w:val="0049276B"/>
    <w:rsid w:val="00493EB0"/>
    <w:rsid w:val="00494B9B"/>
    <w:rsid w:val="0049513D"/>
    <w:rsid w:val="00496CA9"/>
    <w:rsid w:val="00496D01"/>
    <w:rsid w:val="004A0A66"/>
    <w:rsid w:val="004A13A5"/>
    <w:rsid w:val="004A1858"/>
    <w:rsid w:val="004A1E43"/>
    <w:rsid w:val="004A348A"/>
    <w:rsid w:val="004A3633"/>
    <w:rsid w:val="004A53B8"/>
    <w:rsid w:val="004A550C"/>
    <w:rsid w:val="004A5AE5"/>
    <w:rsid w:val="004A66D9"/>
    <w:rsid w:val="004A7D2B"/>
    <w:rsid w:val="004B092C"/>
    <w:rsid w:val="004B0DC7"/>
    <w:rsid w:val="004B13A5"/>
    <w:rsid w:val="004B1854"/>
    <w:rsid w:val="004B24DB"/>
    <w:rsid w:val="004B290C"/>
    <w:rsid w:val="004B2C65"/>
    <w:rsid w:val="004B4234"/>
    <w:rsid w:val="004B4871"/>
    <w:rsid w:val="004B499F"/>
    <w:rsid w:val="004B5E1E"/>
    <w:rsid w:val="004B6048"/>
    <w:rsid w:val="004B64EC"/>
    <w:rsid w:val="004B6606"/>
    <w:rsid w:val="004B6693"/>
    <w:rsid w:val="004B6721"/>
    <w:rsid w:val="004B6F9A"/>
    <w:rsid w:val="004B714C"/>
    <w:rsid w:val="004B736B"/>
    <w:rsid w:val="004B76BA"/>
    <w:rsid w:val="004C0229"/>
    <w:rsid w:val="004C0BCA"/>
    <w:rsid w:val="004C0D22"/>
    <w:rsid w:val="004C1503"/>
    <w:rsid w:val="004C2372"/>
    <w:rsid w:val="004C2A4E"/>
    <w:rsid w:val="004C2FBF"/>
    <w:rsid w:val="004C316F"/>
    <w:rsid w:val="004C37C5"/>
    <w:rsid w:val="004C4F3D"/>
    <w:rsid w:val="004C4F81"/>
    <w:rsid w:val="004C4F8D"/>
    <w:rsid w:val="004C6989"/>
    <w:rsid w:val="004C6E4C"/>
    <w:rsid w:val="004C7267"/>
    <w:rsid w:val="004C7FBC"/>
    <w:rsid w:val="004D06D9"/>
    <w:rsid w:val="004D0FCC"/>
    <w:rsid w:val="004D147D"/>
    <w:rsid w:val="004D1564"/>
    <w:rsid w:val="004D234D"/>
    <w:rsid w:val="004D2483"/>
    <w:rsid w:val="004D29E1"/>
    <w:rsid w:val="004D29FD"/>
    <w:rsid w:val="004D2A7F"/>
    <w:rsid w:val="004D2BEE"/>
    <w:rsid w:val="004D33BC"/>
    <w:rsid w:val="004D36DB"/>
    <w:rsid w:val="004D3EBB"/>
    <w:rsid w:val="004D3EFA"/>
    <w:rsid w:val="004D41CD"/>
    <w:rsid w:val="004D459F"/>
    <w:rsid w:val="004D472C"/>
    <w:rsid w:val="004D50D3"/>
    <w:rsid w:val="004D6D1B"/>
    <w:rsid w:val="004E02C8"/>
    <w:rsid w:val="004E0E01"/>
    <w:rsid w:val="004E2ACA"/>
    <w:rsid w:val="004E2CDA"/>
    <w:rsid w:val="004E35F9"/>
    <w:rsid w:val="004E372A"/>
    <w:rsid w:val="004E39D3"/>
    <w:rsid w:val="004E4641"/>
    <w:rsid w:val="004E494C"/>
    <w:rsid w:val="004E4B1B"/>
    <w:rsid w:val="004E5D78"/>
    <w:rsid w:val="004E7617"/>
    <w:rsid w:val="004E7943"/>
    <w:rsid w:val="004E7CB2"/>
    <w:rsid w:val="004F09CB"/>
    <w:rsid w:val="004F2763"/>
    <w:rsid w:val="004F4C95"/>
    <w:rsid w:val="004F5800"/>
    <w:rsid w:val="004F5DDF"/>
    <w:rsid w:val="004F6184"/>
    <w:rsid w:val="004F6225"/>
    <w:rsid w:val="004F62AF"/>
    <w:rsid w:val="004F6D34"/>
    <w:rsid w:val="004F6D3B"/>
    <w:rsid w:val="0050049B"/>
    <w:rsid w:val="0050051C"/>
    <w:rsid w:val="00500BBA"/>
    <w:rsid w:val="00500DBF"/>
    <w:rsid w:val="005018D7"/>
    <w:rsid w:val="0050305B"/>
    <w:rsid w:val="00503173"/>
    <w:rsid w:val="00503A05"/>
    <w:rsid w:val="005042C5"/>
    <w:rsid w:val="00504C2F"/>
    <w:rsid w:val="00505663"/>
    <w:rsid w:val="0050584E"/>
    <w:rsid w:val="00505F29"/>
    <w:rsid w:val="005101C6"/>
    <w:rsid w:val="00510B46"/>
    <w:rsid w:val="00510EDA"/>
    <w:rsid w:val="00511289"/>
    <w:rsid w:val="00512985"/>
    <w:rsid w:val="00513DF6"/>
    <w:rsid w:val="0051486A"/>
    <w:rsid w:val="00514A57"/>
    <w:rsid w:val="00515007"/>
    <w:rsid w:val="00515491"/>
    <w:rsid w:val="005163B1"/>
    <w:rsid w:val="005163C9"/>
    <w:rsid w:val="00516A45"/>
    <w:rsid w:val="005178E3"/>
    <w:rsid w:val="00520E2A"/>
    <w:rsid w:val="00521B09"/>
    <w:rsid w:val="00522956"/>
    <w:rsid w:val="005233FF"/>
    <w:rsid w:val="00523596"/>
    <w:rsid w:val="0052651B"/>
    <w:rsid w:val="005274A5"/>
    <w:rsid w:val="0053024F"/>
    <w:rsid w:val="0053201E"/>
    <w:rsid w:val="00532891"/>
    <w:rsid w:val="00533D3B"/>
    <w:rsid w:val="00533F57"/>
    <w:rsid w:val="005342E8"/>
    <w:rsid w:val="0053465E"/>
    <w:rsid w:val="00534D00"/>
    <w:rsid w:val="00535066"/>
    <w:rsid w:val="00535460"/>
    <w:rsid w:val="00535A86"/>
    <w:rsid w:val="00536536"/>
    <w:rsid w:val="0054019F"/>
    <w:rsid w:val="005417F9"/>
    <w:rsid w:val="005418CF"/>
    <w:rsid w:val="005437E1"/>
    <w:rsid w:val="00543889"/>
    <w:rsid w:val="005443B5"/>
    <w:rsid w:val="0054513F"/>
    <w:rsid w:val="005452D9"/>
    <w:rsid w:val="0054579B"/>
    <w:rsid w:val="005464EE"/>
    <w:rsid w:val="0055096A"/>
    <w:rsid w:val="0055124F"/>
    <w:rsid w:val="00551743"/>
    <w:rsid w:val="00552299"/>
    <w:rsid w:val="0055312D"/>
    <w:rsid w:val="005544DB"/>
    <w:rsid w:val="00554C32"/>
    <w:rsid w:val="00554D2E"/>
    <w:rsid w:val="00554DAC"/>
    <w:rsid w:val="0055521A"/>
    <w:rsid w:val="005555A0"/>
    <w:rsid w:val="00555844"/>
    <w:rsid w:val="005567F9"/>
    <w:rsid w:val="00556BF8"/>
    <w:rsid w:val="005572E5"/>
    <w:rsid w:val="0055799B"/>
    <w:rsid w:val="00557B7D"/>
    <w:rsid w:val="00560491"/>
    <w:rsid w:val="00560D47"/>
    <w:rsid w:val="005610CB"/>
    <w:rsid w:val="00561285"/>
    <w:rsid w:val="005615B3"/>
    <w:rsid w:val="00562852"/>
    <w:rsid w:val="005663C5"/>
    <w:rsid w:val="00566494"/>
    <w:rsid w:val="00566C57"/>
    <w:rsid w:val="00566C85"/>
    <w:rsid w:val="00566CC5"/>
    <w:rsid w:val="00567113"/>
    <w:rsid w:val="00570063"/>
    <w:rsid w:val="00571534"/>
    <w:rsid w:val="005722A3"/>
    <w:rsid w:val="005723EC"/>
    <w:rsid w:val="00572E54"/>
    <w:rsid w:val="005730AB"/>
    <w:rsid w:val="005732BF"/>
    <w:rsid w:val="00574D5C"/>
    <w:rsid w:val="00574E5B"/>
    <w:rsid w:val="0057521E"/>
    <w:rsid w:val="0057538A"/>
    <w:rsid w:val="0057540F"/>
    <w:rsid w:val="005759A9"/>
    <w:rsid w:val="00575BD0"/>
    <w:rsid w:val="00576625"/>
    <w:rsid w:val="00582175"/>
    <w:rsid w:val="00582258"/>
    <w:rsid w:val="00582566"/>
    <w:rsid w:val="005831BE"/>
    <w:rsid w:val="00583680"/>
    <w:rsid w:val="00583B62"/>
    <w:rsid w:val="005846BE"/>
    <w:rsid w:val="0058472A"/>
    <w:rsid w:val="00584C3A"/>
    <w:rsid w:val="00584D9B"/>
    <w:rsid w:val="00584DF5"/>
    <w:rsid w:val="00585E01"/>
    <w:rsid w:val="00586135"/>
    <w:rsid w:val="00586DEB"/>
    <w:rsid w:val="00586EBB"/>
    <w:rsid w:val="00587A3F"/>
    <w:rsid w:val="00587AC1"/>
    <w:rsid w:val="005902B7"/>
    <w:rsid w:val="00590476"/>
    <w:rsid w:val="00590479"/>
    <w:rsid w:val="005904C7"/>
    <w:rsid w:val="005909A7"/>
    <w:rsid w:val="00591F80"/>
    <w:rsid w:val="005925C0"/>
    <w:rsid w:val="00592AAC"/>
    <w:rsid w:val="00592ADE"/>
    <w:rsid w:val="00592F30"/>
    <w:rsid w:val="0059409E"/>
    <w:rsid w:val="00595AD5"/>
    <w:rsid w:val="00596167"/>
    <w:rsid w:val="00596FBC"/>
    <w:rsid w:val="005973E3"/>
    <w:rsid w:val="005A0990"/>
    <w:rsid w:val="005A19F2"/>
    <w:rsid w:val="005A1E6B"/>
    <w:rsid w:val="005A2901"/>
    <w:rsid w:val="005A2B68"/>
    <w:rsid w:val="005A2C3B"/>
    <w:rsid w:val="005A2FF5"/>
    <w:rsid w:val="005A3962"/>
    <w:rsid w:val="005A4162"/>
    <w:rsid w:val="005A4AF3"/>
    <w:rsid w:val="005A676D"/>
    <w:rsid w:val="005A69B6"/>
    <w:rsid w:val="005A6E14"/>
    <w:rsid w:val="005A70FC"/>
    <w:rsid w:val="005A786F"/>
    <w:rsid w:val="005A7AB4"/>
    <w:rsid w:val="005A7B40"/>
    <w:rsid w:val="005B057C"/>
    <w:rsid w:val="005B2982"/>
    <w:rsid w:val="005B38B3"/>
    <w:rsid w:val="005B3FAF"/>
    <w:rsid w:val="005B46C4"/>
    <w:rsid w:val="005B47A7"/>
    <w:rsid w:val="005B5224"/>
    <w:rsid w:val="005B575D"/>
    <w:rsid w:val="005B5A17"/>
    <w:rsid w:val="005B6972"/>
    <w:rsid w:val="005B7004"/>
    <w:rsid w:val="005B7202"/>
    <w:rsid w:val="005B7278"/>
    <w:rsid w:val="005C03A0"/>
    <w:rsid w:val="005C03C2"/>
    <w:rsid w:val="005C0ACA"/>
    <w:rsid w:val="005C267F"/>
    <w:rsid w:val="005C2FA5"/>
    <w:rsid w:val="005C3243"/>
    <w:rsid w:val="005C3744"/>
    <w:rsid w:val="005C3872"/>
    <w:rsid w:val="005C3CA3"/>
    <w:rsid w:val="005C466F"/>
    <w:rsid w:val="005C4973"/>
    <w:rsid w:val="005C49FC"/>
    <w:rsid w:val="005C531B"/>
    <w:rsid w:val="005C55C9"/>
    <w:rsid w:val="005C64B2"/>
    <w:rsid w:val="005C6636"/>
    <w:rsid w:val="005C679D"/>
    <w:rsid w:val="005C6B00"/>
    <w:rsid w:val="005C7354"/>
    <w:rsid w:val="005C736F"/>
    <w:rsid w:val="005D1265"/>
    <w:rsid w:val="005D1CBC"/>
    <w:rsid w:val="005D2597"/>
    <w:rsid w:val="005D29B0"/>
    <w:rsid w:val="005D3371"/>
    <w:rsid w:val="005D33E8"/>
    <w:rsid w:val="005D351D"/>
    <w:rsid w:val="005D4D0F"/>
    <w:rsid w:val="005D5056"/>
    <w:rsid w:val="005D61CC"/>
    <w:rsid w:val="005D7570"/>
    <w:rsid w:val="005D76AA"/>
    <w:rsid w:val="005D7B75"/>
    <w:rsid w:val="005E20D0"/>
    <w:rsid w:val="005E31E9"/>
    <w:rsid w:val="005E33C8"/>
    <w:rsid w:val="005E3E00"/>
    <w:rsid w:val="005E3EC5"/>
    <w:rsid w:val="005E608A"/>
    <w:rsid w:val="005E6201"/>
    <w:rsid w:val="005E6B54"/>
    <w:rsid w:val="005E7649"/>
    <w:rsid w:val="005E7706"/>
    <w:rsid w:val="005F3073"/>
    <w:rsid w:val="005F37CD"/>
    <w:rsid w:val="005F4C2C"/>
    <w:rsid w:val="005F4E81"/>
    <w:rsid w:val="005F579D"/>
    <w:rsid w:val="005F6D86"/>
    <w:rsid w:val="005F7336"/>
    <w:rsid w:val="005F7AD9"/>
    <w:rsid w:val="005F7CFE"/>
    <w:rsid w:val="005F7FC5"/>
    <w:rsid w:val="006008FB"/>
    <w:rsid w:val="00601377"/>
    <w:rsid w:val="00601C62"/>
    <w:rsid w:val="00601FD2"/>
    <w:rsid w:val="00602AAD"/>
    <w:rsid w:val="00602B1C"/>
    <w:rsid w:val="00603A36"/>
    <w:rsid w:val="00603FE1"/>
    <w:rsid w:val="0060427B"/>
    <w:rsid w:val="00605145"/>
    <w:rsid w:val="00605E24"/>
    <w:rsid w:val="00605E6E"/>
    <w:rsid w:val="0060654C"/>
    <w:rsid w:val="00606E9A"/>
    <w:rsid w:val="00610F80"/>
    <w:rsid w:val="006116A8"/>
    <w:rsid w:val="00612A82"/>
    <w:rsid w:val="00612CF6"/>
    <w:rsid w:val="006137B0"/>
    <w:rsid w:val="006146F5"/>
    <w:rsid w:val="00614E5B"/>
    <w:rsid w:val="0061560C"/>
    <w:rsid w:val="00615CC6"/>
    <w:rsid w:val="00617FF8"/>
    <w:rsid w:val="0062036F"/>
    <w:rsid w:val="006203A0"/>
    <w:rsid w:val="00620581"/>
    <w:rsid w:val="006225F4"/>
    <w:rsid w:val="00622735"/>
    <w:rsid w:val="0062456E"/>
    <w:rsid w:val="0062564B"/>
    <w:rsid w:val="00625D11"/>
    <w:rsid w:val="00625D36"/>
    <w:rsid w:val="00626087"/>
    <w:rsid w:val="00627753"/>
    <w:rsid w:val="0062787E"/>
    <w:rsid w:val="00627EF5"/>
    <w:rsid w:val="00630825"/>
    <w:rsid w:val="0063114E"/>
    <w:rsid w:val="006312FF"/>
    <w:rsid w:val="00631DD5"/>
    <w:rsid w:val="0063252E"/>
    <w:rsid w:val="00632642"/>
    <w:rsid w:val="006329F4"/>
    <w:rsid w:val="00632C66"/>
    <w:rsid w:val="00633062"/>
    <w:rsid w:val="0063330F"/>
    <w:rsid w:val="00634313"/>
    <w:rsid w:val="006343B1"/>
    <w:rsid w:val="00634C60"/>
    <w:rsid w:val="006354D2"/>
    <w:rsid w:val="00636020"/>
    <w:rsid w:val="006361F3"/>
    <w:rsid w:val="00636465"/>
    <w:rsid w:val="00636FA1"/>
    <w:rsid w:val="00637501"/>
    <w:rsid w:val="00637637"/>
    <w:rsid w:val="00637D19"/>
    <w:rsid w:val="006404A3"/>
    <w:rsid w:val="00640A7A"/>
    <w:rsid w:val="00641186"/>
    <w:rsid w:val="0064280B"/>
    <w:rsid w:val="00646674"/>
    <w:rsid w:val="006473F6"/>
    <w:rsid w:val="006505FC"/>
    <w:rsid w:val="00651350"/>
    <w:rsid w:val="0065274E"/>
    <w:rsid w:val="00652867"/>
    <w:rsid w:val="006539DA"/>
    <w:rsid w:val="00653DC7"/>
    <w:rsid w:val="00654A1F"/>
    <w:rsid w:val="006559DD"/>
    <w:rsid w:val="00656AD1"/>
    <w:rsid w:val="006572E3"/>
    <w:rsid w:val="00657C0B"/>
    <w:rsid w:val="00660B20"/>
    <w:rsid w:val="0066150E"/>
    <w:rsid w:val="00661514"/>
    <w:rsid w:val="00661D48"/>
    <w:rsid w:val="006628E0"/>
    <w:rsid w:val="0066298A"/>
    <w:rsid w:val="00663D77"/>
    <w:rsid w:val="00664007"/>
    <w:rsid w:val="006645AE"/>
    <w:rsid w:val="00665674"/>
    <w:rsid w:val="0066624D"/>
    <w:rsid w:val="0066645E"/>
    <w:rsid w:val="00666477"/>
    <w:rsid w:val="006669BB"/>
    <w:rsid w:val="00666B62"/>
    <w:rsid w:val="006677F3"/>
    <w:rsid w:val="00667B48"/>
    <w:rsid w:val="0067042B"/>
    <w:rsid w:val="00670462"/>
    <w:rsid w:val="0067103B"/>
    <w:rsid w:val="006713EA"/>
    <w:rsid w:val="00671F34"/>
    <w:rsid w:val="0067207F"/>
    <w:rsid w:val="0067234A"/>
    <w:rsid w:val="00672A8C"/>
    <w:rsid w:val="00675AAB"/>
    <w:rsid w:val="00675EC2"/>
    <w:rsid w:val="00676276"/>
    <w:rsid w:val="0067652E"/>
    <w:rsid w:val="006766CB"/>
    <w:rsid w:val="006768DD"/>
    <w:rsid w:val="00676A4D"/>
    <w:rsid w:val="00677256"/>
    <w:rsid w:val="0067775B"/>
    <w:rsid w:val="00677AD6"/>
    <w:rsid w:val="006802DD"/>
    <w:rsid w:val="00680931"/>
    <w:rsid w:val="00682228"/>
    <w:rsid w:val="00682582"/>
    <w:rsid w:val="00682E75"/>
    <w:rsid w:val="0068383F"/>
    <w:rsid w:val="00683FBE"/>
    <w:rsid w:val="0068462D"/>
    <w:rsid w:val="006846DC"/>
    <w:rsid w:val="00684BC7"/>
    <w:rsid w:val="006857E9"/>
    <w:rsid w:val="006868D0"/>
    <w:rsid w:val="00686B74"/>
    <w:rsid w:val="006871DB"/>
    <w:rsid w:val="00687712"/>
    <w:rsid w:val="006903A3"/>
    <w:rsid w:val="00690D8D"/>
    <w:rsid w:val="006910A0"/>
    <w:rsid w:val="0069128B"/>
    <w:rsid w:val="006919BA"/>
    <w:rsid w:val="00691A77"/>
    <w:rsid w:val="00691D8B"/>
    <w:rsid w:val="006927D2"/>
    <w:rsid w:val="00693375"/>
    <w:rsid w:val="006936EE"/>
    <w:rsid w:val="0069438C"/>
    <w:rsid w:val="006952DB"/>
    <w:rsid w:val="00695593"/>
    <w:rsid w:val="006955F8"/>
    <w:rsid w:val="006979F1"/>
    <w:rsid w:val="00697A2E"/>
    <w:rsid w:val="00697ACC"/>
    <w:rsid w:val="006A020E"/>
    <w:rsid w:val="006A07AA"/>
    <w:rsid w:val="006A13B0"/>
    <w:rsid w:val="006A176A"/>
    <w:rsid w:val="006A2304"/>
    <w:rsid w:val="006A3A21"/>
    <w:rsid w:val="006A3DF3"/>
    <w:rsid w:val="006A3E2D"/>
    <w:rsid w:val="006A3EE1"/>
    <w:rsid w:val="006A4038"/>
    <w:rsid w:val="006A4A9C"/>
    <w:rsid w:val="006A4C94"/>
    <w:rsid w:val="006A4F5C"/>
    <w:rsid w:val="006A5080"/>
    <w:rsid w:val="006A58A8"/>
    <w:rsid w:val="006A5A02"/>
    <w:rsid w:val="006A5C57"/>
    <w:rsid w:val="006A5E88"/>
    <w:rsid w:val="006A6E19"/>
    <w:rsid w:val="006A7096"/>
    <w:rsid w:val="006A743E"/>
    <w:rsid w:val="006A77A0"/>
    <w:rsid w:val="006A789C"/>
    <w:rsid w:val="006A7AAA"/>
    <w:rsid w:val="006A7DC4"/>
    <w:rsid w:val="006B0DFE"/>
    <w:rsid w:val="006B164A"/>
    <w:rsid w:val="006B2425"/>
    <w:rsid w:val="006B3E4F"/>
    <w:rsid w:val="006B4178"/>
    <w:rsid w:val="006B5651"/>
    <w:rsid w:val="006B5C27"/>
    <w:rsid w:val="006B603E"/>
    <w:rsid w:val="006B624C"/>
    <w:rsid w:val="006B668A"/>
    <w:rsid w:val="006B6A3B"/>
    <w:rsid w:val="006B7072"/>
    <w:rsid w:val="006B731A"/>
    <w:rsid w:val="006B7AE2"/>
    <w:rsid w:val="006B7F22"/>
    <w:rsid w:val="006C013C"/>
    <w:rsid w:val="006C1146"/>
    <w:rsid w:val="006C170F"/>
    <w:rsid w:val="006C18C8"/>
    <w:rsid w:val="006C3093"/>
    <w:rsid w:val="006C32B2"/>
    <w:rsid w:val="006C4273"/>
    <w:rsid w:val="006C44E2"/>
    <w:rsid w:val="006C46A4"/>
    <w:rsid w:val="006C4B50"/>
    <w:rsid w:val="006C56CF"/>
    <w:rsid w:val="006C68AC"/>
    <w:rsid w:val="006C6ADD"/>
    <w:rsid w:val="006C71B0"/>
    <w:rsid w:val="006C729B"/>
    <w:rsid w:val="006C73EC"/>
    <w:rsid w:val="006D0C3A"/>
    <w:rsid w:val="006D1081"/>
    <w:rsid w:val="006D1204"/>
    <w:rsid w:val="006D157C"/>
    <w:rsid w:val="006D2365"/>
    <w:rsid w:val="006D2759"/>
    <w:rsid w:val="006D2B9D"/>
    <w:rsid w:val="006D2E96"/>
    <w:rsid w:val="006D2F34"/>
    <w:rsid w:val="006D36EA"/>
    <w:rsid w:val="006D3EBD"/>
    <w:rsid w:val="006D4157"/>
    <w:rsid w:val="006D43C4"/>
    <w:rsid w:val="006D47D9"/>
    <w:rsid w:val="006D4868"/>
    <w:rsid w:val="006D5195"/>
    <w:rsid w:val="006D51B6"/>
    <w:rsid w:val="006D6D72"/>
    <w:rsid w:val="006E0832"/>
    <w:rsid w:val="006E0D75"/>
    <w:rsid w:val="006E1A6D"/>
    <w:rsid w:val="006E2175"/>
    <w:rsid w:val="006E33E9"/>
    <w:rsid w:val="006E3ECD"/>
    <w:rsid w:val="006E3F24"/>
    <w:rsid w:val="006E4375"/>
    <w:rsid w:val="006E4A24"/>
    <w:rsid w:val="006E520E"/>
    <w:rsid w:val="006E55D8"/>
    <w:rsid w:val="006E5D78"/>
    <w:rsid w:val="006E7253"/>
    <w:rsid w:val="006F0687"/>
    <w:rsid w:val="006F1F10"/>
    <w:rsid w:val="006F22D3"/>
    <w:rsid w:val="006F282F"/>
    <w:rsid w:val="006F2C0E"/>
    <w:rsid w:val="006F31A6"/>
    <w:rsid w:val="006F3684"/>
    <w:rsid w:val="006F3BAA"/>
    <w:rsid w:val="006F4AEA"/>
    <w:rsid w:val="006F643E"/>
    <w:rsid w:val="006F6B22"/>
    <w:rsid w:val="006F7F6B"/>
    <w:rsid w:val="00701084"/>
    <w:rsid w:val="0070112F"/>
    <w:rsid w:val="00701334"/>
    <w:rsid w:val="00701927"/>
    <w:rsid w:val="00702ECE"/>
    <w:rsid w:val="00702FB0"/>
    <w:rsid w:val="00704EC2"/>
    <w:rsid w:val="007052DC"/>
    <w:rsid w:val="007053E4"/>
    <w:rsid w:val="00705A71"/>
    <w:rsid w:val="00705A80"/>
    <w:rsid w:val="00705FC2"/>
    <w:rsid w:val="007065AC"/>
    <w:rsid w:val="007078D1"/>
    <w:rsid w:val="00707FBC"/>
    <w:rsid w:val="007101A4"/>
    <w:rsid w:val="00712A7F"/>
    <w:rsid w:val="00712D5A"/>
    <w:rsid w:val="007130C6"/>
    <w:rsid w:val="0071447E"/>
    <w:rsid w:val="00716598"/>
    <w:rsid w:val="00716F32"/>
    <w:rsid w:val="00716FE5"/>
    <w:rsid w:val="00717B77"/>
    <w:rsid w:val="00720740"/>
    <w:rsid w:val="007217C9"/>
    <w:rsid w:val="00722FED"/>
    <w:rsid w:val="00723530"/>
    <w:rsid w:val="00723D7F"/>
    <w:rsid w:val="00723F25"/>
    <w:rsid w:val="00724963"/>
    <w:rsid w:val="00724B8A"/>
    <w:rsid w:val="00725575"/>
    <w:rsid w:val="00725A42"/>
    <w:rsid w:val="00725A90"/>
    <w:rsid w:val="00726584"/>
    <w:rsid w:val="007274D2"/>
    <w:rsid w:val="0072794F"/>
    <w:rsid w:val="00727F8D"/>
    <w:rsid w:val="00731458"/>
    <w:rsid w:val="0073160B"/>
    <w:rsid w:val="00731A18"/>
    <w:rsid w:val="007324C7"/>
    <w:rsid w:val="00732F46"/>
    <w:rsid w:val="007331B9"/>
    <w:rsid w:val="00733717"/>
    <w:rsid w:val="007340E6"/>
    <w:rsid w:val="0073427D"/>
    <w:rsid w:val="0073445F"/>
    <w:rsid w:val="00734AE7"/>
    <w:rsid w:val="00734DE3"/>
    <w:rsid w:val="007358CB"/>
    <w:rsid w:val="00735AF5"/>
    <w:rsid w:val="00737370"/>
    <w:rsid w:val="007378FD"/>
    <w:rsid w:val="00737A3C"/>
    <w:rsid w:val="00737B7B"/>
    <w:rsid w:val="00737C47"/>
    <w:rsid w:val="00741A6E"/>
    <w:rsid w:val="00741ADF"/>
    <w:rsid w:val="007446B0"/>
    <w:rsid w:val="00745105"/>
    <w:rsid w:val="00745D80"/>
    <w:rsid w:val="0075019D"/>
    <w:rsid w:val="0075176B"/>
    <w:rsid w:val="0075286F"/>
    <w:rsid w:val="00752A88"/>
    <w:rsid w:val="00752D38"/>
    <w:rsid w:val="00752EA9"/>
    <w:rsid w:val="007535AD"/>
    <w:rsid w:val="00753D62"/>
    <w:rsid w:val="00754133"/>
    <w:rsid w:val="007541B3"/>
    <w:rsid w:val="007543C3"/>
    <w:rsid w:val="00754939"/>
    <w:rsid w:val="00755214"/>
    <w:rsid w:val="00756305"/>
    <w:rsid w:val="00756CEB"/>
    <w:rsid w:val="00757125"/>
    <w:rsid w:val="00757963"/>
    <w:rsid w:val="00757F12"/>
    <w:rsid w:val="00760140"/>
    <w:rsid w:val="0076044C"/>
    <w:rsid w:val="00760FFA"/>
    <w:rsid w:val="0076141E"/>
    <w:rsid w:val="007615D5"/>
    <w:rsid w:val="00761A97"/>
    <w:rsid w:val="00761D80"/>
    <w:rsid w:val="00761EE6"/>
    <w:rsid w:val="0076261A"/>
    <w:rsid w:val="007629DB"/>
    <w:rsid w:val="00762E79"/>
    <w:rsid w:val="0076325A"/>
    <w:rsid w:val="00764089"/>
    <w:rsid w:val="007646FF"/>
    <w:rsid w:val="007649A5"/>
    <w:rsid w:val="0076504B"/>
    <w:rsid w:val="007660AB"/>
    <w:rsid w:val="0076619C"/>
    <w:rsid w:val="007670F0"/>
    <w:rsid w:val="007702F7"/>
    <w:rsid w:val="007711D8"/>
    <w:rsid w:val="00772A0B"/>
    <w:rsid w:val="007730F6"/>
    <w:rsid w:val="00773485"/>
    <w:rsid w:val="00774120"/>
    <w:rsid w:val="007754FD"/>
    <w:rsid w:val="007759D1"/>
    <w:rsid w:val="00775C87"/>
    <w:rsid w:val="00776141"/>
    <w:rsid w:val="00776335"/>
    <w:rsid w:val="007766D1"/>
    <w:rsid w:val="00776AE6"/>
    <w:rsid w:val="007773F5"/>
    <w:rsid w:val="00777F70"/>
    <w:rsid w:val="00780865"/>
    <w:rsid w:val="007818A1"/>
    <w:rsid w:val="00781A43"/>
    <w:rsid w:val="00781CD2"/>
    <w:rsid w:val="0078204D"/>
    <w:rsid w:val="007829FB"/>
    <w:rsid w:val="00782E75"/>
    <w:rsid w:val="00783E0C"/>
    <w:rsid w:val="0078420E"/>
    <w:rsid w:val="007842A2"/>
    <w:rsid w:val="00784758"/>
    <w:rsid w:val="00785CF1"/>
    <w:rsid w:val="00786A6A"/>
    <w:rsid w:val="00787200"/>
    <w:rsid w:val="00787C46"/>
    <w:rsid w:val="007906C0"/>
    <w:rsid w:val="007913C2"/>
    <w:rsid w:val="00791570"/>
    <w:rsid w:val="00791629"/>
    <w:rsid w:val="00791886"/>
    <w:rsid w:val="007924AE"/>
    <w:rsid w:val="00792842"/>
    <w:rsid w:val="007928AB"/>
    <w:rsid w:val="00792B61"/>
    <w:rsid w:val="00793313"/>
    <w:rsid w:val="00793679"/>
    <w:rsid w:val="00793741"/>
    <w:rsid w:val="00793A42"/>
    <w:rsid w:val="00794036"/>
    <w:rsid w:val="00794C78"/>
    <w:rsid w:val="00794D38"/>
    <w:rsid w:val="00795142"/>
    <w:rsid w:val="007955E9"/>
    <w:rsid w:val="00796981"/>
    <w:rsid w:val="007972EB"/>
    <w:rsid w:val="00797BA4"/>
    <w:rsid w:val="00797E6B"/>
    <w:rsid w:val="007A0042"/>
    <w:rsid w:val="007A0737"/>
    <w:rsid w:val="007A0D74"/>
    <w:rsid w:val="007A25AD"/>
    <w:rsid w:val="007A2737"/>
    <w:rsid w:val="007A2852"/>
    <w:rsid w:val="007A4186"/>
    <w:rsid w:val="007A50E2"/>
    <w:rsid w:val="007A5459"/>
    <w:rsid w:val="007A5A8A"/>
    <w:rsid w:val="007A6228"/>
    <w:rsid w:val="007A6A5F"/>
    <w:rsid w:val="007A6ABC"/>
    <w:rsid w:val="007A6D37"/>
    <w:rsid w:val="007A7092"/>
    <w:rsid w:val="007A7146"/>
    <w:rsid w:val="007A7EFE"/>
    <w:rsid w:val="007B12A5"/>
    <w:rsid w:val="007B3BDF"/>
    <w:rsid w:val="007B3EB3"/>
    <w:rsid w:val="007B4013"/>
    <w:rsid w:val="007B4160"/>
    <w:rsid w:val="007B434C"/>
    <w:rsid w:val="007B4877"/>
    <w:rsid w:val="007B49E4"/>
    <w:rsid w:val="007B512A"/>
    <w:rsid w:val="007B67F6"/>
    <w:rsid w:val="007B784E"/>
    <w:rsid w:val="007B7EDD"/>
    <w:rsid w:val="007B7F69"/>
    <w:rsid w:val="007C027F"/>
    <w:rsid w:val="007C1B37"/>
    <w:rsid w:val="007C254B"/>
    <w:rsid w:val="007C2891"/>
    <w:rsid w:val="007C3225"/>
    <w:rsid w:val="007C4623"/>
    <w:rsid w:val="007C46DA"/>
    <w:rsid w:val="007C4705"/>
    <w:rsid w:val="007C4AA2"/>
    <w:rsid w:val="007C4CA9"/>
    <w:rsid w:val="007C4EF8"/>
    <w:rsid w:val="007C510A"/>
    <w:rsid w:val="007C6E67"/>
    <w:rsid w:val="007C7076"/>
    <w:rsid w:val="007C7252"/>
    <w:rsid w:val="007C7A64"/>
    <w:rsid w:val="007C7C04"/>
    <w:rsid w:val="007D02AE"/>
    <w:rsid w:val="007D11BF"/>
    <w:rsid w:val="007D3705"/>
    <w:rsid w:val="007D4574"/>
    <w:rsid w:val="007D47DF"/>
    <w:rsid w:val="007D4A92"/>
    <w:rsid w:val="007D4F2F"/>
    <w:rsid w:val="007D5BBB"/>
    <w:rsid w:val="007D6553"/>
    <w:rsid w:val="007D71A9"/>
    <w:rsid w:val="007D7D4D"/>
    <w:rsid w:val="007E16EF"/>
    <w:rsid w:val="007E1AE2"/>
    <w:rsid w:val="007E2BB3"/>
    <w:rsid w:val="007E4477"/>
    <w:rsid w:val="007E44AC"/>
    <w:rsid w:val="007E4B48"/>
    <w:rsid w:val="007E4F9A"/>
    <w:rsid w:val="007E5583"/>
    <w:rsid w:val="007E592A"/>
    <w:rsid w:val="007E6680"/>
    <w:rsid w:val="007E67B3"/>
    <w:rsid w:val="007E7423"/>
    <w:rsid w:val="007E7AC1"/>
    <w:rsid w:val="007E7E57"/>
    <w:rsid w:val="007E7F5F"/>
    <w:rsid w:val="007F13AD"/>
    <w:rsid w:val="007F2503"/>
    <w:rsid w:val="007F2D36"/>
    <w:rsid w:val="007F341A"/>
    <w:rsid w:val="007F3E6E"/>
    <w:rsid w:val="007F4716"/>
    <w:rsid w:val="007F4BC0"/>
    <w:rsid w:val="007F5414"/>
    <w:rsid w:val="007F6EDA"/>
    <w:rsid w:val="007F6EE6"/>
    <w:rsid w:val="007F6F88"/>
    <w:rsid w:val="007F7057"/>
    <w:rsid w:val="007F7360"/>
    <w:rsid w:val="007F7F36"/>
    <w:rsid w:val="008005B1"/>
    <w:rsid w:val="0080129B"/>
    <w:rsid w:val="008017F1"/>
    <w:rsid w:val="00801E0C"/>
    <w:rsid w:val="00802E2F"/>
    <w:rsid w:val="008033ED"/>
    <w:rsid w:val="00803F59"/>
    <w:rsid w:val="00804F14"/>
    <w:rsid w:val="008056FF"/>
    <w:rsid w:val="00805FEA"/>
    <w:rsid w:val="00806090"/>
    <w:rsid w:val="008063A2"/>
    <w:rsid w:val="0080736E"/>
    <w:rsid w:val="008078E2"/>
    <w:rsid w:val="00807A15"/>
    <w:rsid w:val="00807A25"/>
    <w:rsid w:val="008101A2"/>
    <w:rsid w:val="00811CEC"/>
    <w:rsid w:val="0081398F"/>
    <w:rsid w:val="00814516"/>
    <w:rsid w:val="008166BC"/>
    <w:rsid w:val="0081672A"/>
    <w:rsid w:val="00816EC2"/>
    <w:rsid w:val="00817415"/>
    <w:rsid w:val="00817519"/>
    <w:rsid w:val="008175C6"/>
    <w:rsid w:val="00817D65"/>
    <w:rsid w:val="00817E35"/>
    <w:rsid w:val="0082028A"/>
    <w:rsid w:val="008204CA"/>
    <w:rsid w:val="00820BD7"/>
    <w:rsid w:val="00821084"/>
    <w:rsid w:val="00821542"/>
    <w:rsid w:val="008239E4"/>
    <w:rsid w:val="0082438F"/>
    <w:rsid w:val="0082589F"/>
    <w:rsid w:val="00825919"/>
    <w:rsid w:val="00826051"/>
    <w:rsid w:val="00827992"/>
    <w:rsid w:val="0083065C"/>
    <w:rsid w:val="008307C7"/>
    <w:rsid w:val="00830A1A"/>
    <w:rsid w:val="00830AAD"/>
    <w:rsid w:val="00830BBB"/>
    <w:rsid w:val="00830D1C"/>
    <w:rsid w:val="00831201"/>
    <w:rsid w:val="00831496"/>
    <w:rsid w:val="0083207A"/>
    <w:rsid w:val="0083316D"/>
    <w:rsid w:val="00833AE3"/>
    <w:rsid w:val="00833BEA"/>
    <w:rsid w:val="00833ED5"/>
    <w:rsid w:val="0083498B"/>
    <w:rsid w:val="00834A4F"/>
    <w:rsid w:val="0083535E"/>
    <w:rsid w:val="008354F2"/>
    <w:rsid w:val="0083601E"/>
    <w:rsid w:val="00836F32"/>
    <w:rsid w:val="008379E6"/>
    <w:rsid w:val="008400C3"/>
    <w:rsid w:val="00840C64"/>
    <w:rsid w:val="00841D61"/>
    <w:rsid w:val="00841EDE"/>
    <w:rsid w:val="0084213D"/>
    <w:rsid w:val="00843510"/>
    <w:rsid w:val="00845077"/>
    <w:rsid w:val="00846104"/>
    <w:rsid w:val="0084627E"/>
    <w:rsid w:val="0084648A"/>
    <w:rsid w:val="00846CCE"/>
    <w:rsid w:val="00847FA5"/>
    <w:rsid w:val="00850081"/>
    <w:rsid w:val="0085060C"/>
    <w:rsid w:val="00851731"/>
    <w:rsid w:val="008518FB"/>
    <w:rsid w:val="00851F14"/>
    <w:rsid w:val="008529E2"/>
    <w:rsid w:val="00852EAA"/>
    <w:rsid w:val="00852F2E"/>
    <w:rsid w:val="0085310C"/>
    <w:rsid w:val="00853334"/>
    <w:rsid w:val="00854131"/>
    <w:rsid w:val="00854B31"/>
    <w:rsid w:val="0085621E"/>
    <w:rsid w:val="008564FB"/>
    <w:rsid w:val="00856B0F"/>
    <w:rsid w:val="00857958"/>
    <w:rsid w:val="00857FCF"/>
    <w:rsid w:val="008610D9"/>
    <w:rsid w:val="00861416"/>
    <w:rsid w:val="00861464"/>
    <w:rsid w:val="008614AD"/>
    <w:rsid w:val="0086160E"/>
    <w:rsid w:val="0086220C"/>
    <w:rsid w:val="00862211"/>
    <w:rsid w:val="00863070"/>
    <w:rsid w:val="0086488B"/>
    <w:rsid w:val="00864964"/>
    <w:rsid w:val="008658B7"/>
    <w:rsid w:val="00865D03"/>
    <w:rsid w:val="00866230"/>
    <w:rsid w:val="0086658A"/>
    <w:rsid w:val="00866F58"/>
    <w:rsid w:val="00867D90"/>
    <w:rsid w:val="00867E54"/>
    <w:rsid w:val="00870F2B"/>
    <w:rsid w:val="008722BC"/>
    <w:rsid w:val="00872EC6"/>
    <w:rsid w:val="00873391"/>
    <w:rsid w:val="00873424"/>
    <w:rsid w:val="008738E1"/>
    <w:rsid w:val="008746D9"/>
    <w:rsid w:val="00874AB3"/>
    <w:rsid w:val="00874D3E"/>
    <w:rsid w:val="008763DC"/>
    <w:rsid w:val="008773C9"/>
    <w:rsid w:val="008808D5"/>
    <w:rsid w:val="0088096E"/>
    <w:rsid w:val="0088192E"/>
    <w:rsid w:val="00882A5F"/>
    <w:rsid w:val="00882B47"/>
    <w:rsid w:val="00882BFD"/>
    <w:rsid w:val="008830CB"/>
    <w:rsid w:val="0088378B"/>
    <w:rsid w:val="00883B8F"/>
    <w:rsid w:val="00884F7A"/>
    <w:rsid w:val="008851E7"/>
    <w:rsid w:val="00885B41"/>
    <w:rsid w:val="00885CBA"/>
    <w:rsid w:val="008870ED"/>
    <w:rsid w:val="00887946"/>
    <w:rsid w:val="0089114E"/>
    <w:rsid w:val="00893186"/>
    <w:rsid w:val="008931AE"/>
    <w:rsid w:val="00893264"/>
    <w:rsid w:val="0089474D"/>
    <w:rsid w:val="00894D2D"/>
    <w:rsid w:val="00894D36"/>
    <w:rsid w:val="008950B0"/>
    <w:rsid w:val="008A00CB"/>
    <w:rsid w:val="008A1065"/>
    <w:rsid w:val="008A30A4"/>
    <w:rsid w:val="008A5E02"/>
    <w:rsid w:val="008B00A9"/>
    <w:rsid w:val="008B165C"/>
    <w:rsid w:val="008B18ED"/>
    <w:rsid w:val="008B225D"/>
    <w:rsid w:val="008B30F5"/>
    <w:rsid w:val="008B37AF"/>
    <w:rsid w:val="008B39B9"/>
    <w:rsid w:val="008B458E"/>
    <w:rsid w:val="008B46EE"/>
    <w:rsid w:val="008B538B"/>
    <w:rsid w:val="008B53E5"/>
    <w:rsid w:val="008B6812"/>
    <w:rsid w:val="008C0D92"/>
    <w:rsid w:val="008C1535"/>
    <w:rsid w:val="008C15D9"/>
    <w:rsid w:val="008C32DE"/>
    <w:rsid w:val="008C4122"/>
    <w:rsid w:val="008C448E"/>
    <w:rsid w:val="008C473C"/>
    <w:rsid w:val="008C4F69"/>
    <w:rsid w:val="008C5744"/>
    <w:rsid w:val="008C5BF3"/>
    <w:rsid w:val="008C62CB"/>
    <w:rsid w:val="008C664B"/>
    <w:rsid w:val="008C71A8"/>
    <w:rsid w:val="008D01B4"/>
    <w:rsid w:val="008D044B"/>
    <w:rsid w:val="008D0646"/>
    <w:rsid w:val="008D06C5"/>
    <w:rsid w:val="008D12FF"/>
    <w:rsid w:val="008D1879"/>
    <w:rsid w:val="008D1957"/>
    <w:rsid w:val="008D2287"/>
    <w:rsid w:val="008D519D"/>
    <w:rsid w:val="008D57FE"/>
    <w:rsid w:val="008D600B"/>
    <w:rsid w:val="008D7682"/>
    <w:rsid w:val="008D7A6B"/>
    <w:rsid w:val="008D7ADE"/>
    <w:rsid w:val="008E0363"/>
    <w:rsid w:val="008E0B40"/>
    <w:rsid w:val="008E0F70"/>
    <w:rsid w:val="008E1168"/>
    <w:rsid w:val="008E120A"/>
    <w:rsid w:val="008E1AD6"/>
    <w:rsid w:val="008E1E82"/>
    <w:rsid w:val="008E2869"/>
    <w:rsid w:val="008E2C3C"/>
    <w:rsid w:val="008E2D69"/>
    <w:rsid w:val="008E3121"/>
    <w:rsid w:val="008E3D4D"/>
    <w:rsid w:val="008E3DCE"/>
    <w:rsid w:val="008E3DD3"/>
    <w:rsid w:val="008E4152"/>
    <w:rsid w:val="008E45C3"/>
    <w:rsid w:val="008E57E0"/>
    <w:rsid w:val="008E666A"/>
    <w:rsid w:val="008E7911"/>
    <w:rsid w:val="008F1528"/>
    <w:rsid w:val="008F2061"/>
    <w:rsid w:val="008F2360"/>
    <w:rsid w:val="008F2E9E"/>
    <w:rsid w:val="008F45C9"/>
    <w:rsid w:val="008F4A7C"/>
    <w:rsid w:val="008F5414"/>
    <w:rsid w:val="008F5979"/>
    <w:rsid w:val="008F6288"/>
    <w:rsid w:val="008F673A"/>
    <w:rsid w:val="008F6E4E"/>
    <w:rsid w:val="008F7525"/>
    <w:rsid w:val="008F7B6E"/>
    <w:rsid w:val="008F7FD1"/>
    <w:rsid w:val="00900331"/>
    <w:rsid w:val="00900BFF"/>
    <w:rsid w:val="009029B1"/>
    <w:rsid w:val="00902CE9"/>
    <w:rsid w:val="00902D13"/>
    <w:rsid w:val="00903559"/>
    <w:rsid w:val="009039DF"/>
    <w:rsid w:val="00903C23"/>
    <w:rsid w:val="00903C47"/>
    <w:rsid w:val="00905451"/>
    <w:rsid w:val="009057CE"/>
    <w:rsid w:val="00905B8D"/>
    <w:rsid w:val="0090620D"/>
    <w:rsid w:val="009066CD"/>
    <w:rsid w:val="009068FF"/>
    <w:rsid w:val="00906B51"/>
    <w:rsid w:val="00906DC4"/>
    <w:rsid w:val="009071B8"/>
    <w:rsid w:val="0090782E"/>
    <w:rsid w:val="009078AB"/>
    <w:rsid w:val="009106C5"/>
    <w:rsid w:val="009109FB"/>
    <w:rsid w:val="00910C33"/>
    <w:rsid w:val="00911076"/>
    <w:rsid w:val="0091242E"/>
    <w:rsid w:val="00913271"/>
    <w:rsid w:val="00913763"/>
    <w:rsid w:val="0091400D"/>
    <w:rsid w:val="00914289"/>
    <w:rsid w:val="00914E95"/>
    <w:rsid w:val="00914FC8"/>
    <w:rsid w:val="009151D9"/>
    <w:rsid w:val="00915F14"/>
    <w:rsid w:val="00915F52"/>
    <w:rsid w:val="00915FD3"/>
    <w:rsid w:val="00916032"/>
    <w:rsid w:val="00916369"/>
    <w:rsid w:val="009201FE"/>
    <w:rsid w:val="00922383"/>
    <w:rsid w:val="00922722"/>
    <w:rsid w:val="00922C33"/>
    <w:rsid w:val="00922E44"/>
    <w:rsid w:val="0092409B"/>
    <w:rsid w:val="00924FDA"/>
    <w:rsid w:val="009251A6"/>
    <w:rsid w:val="009255F4"/>
    <w:rsid w:val="00925D0E"/>
    <w:rsid w:val="00925D87"/>
    <w:rsid w:val="00926642"/>
    <w:rsid w:val="00926F99"/>
    <w:rsid w:val="00927BE1"/>
    <w:rsid w:val="00927D99"/>
    <w:rsid w:val="00927DC9"/>
    <w:rsid w:val="00930924"/>
    <w:rsid w:val="00932940"/>
    <w:rsid w:val="00932A15"/>
    <w:rsid w:val="0093392D"/>
    <w:rsid w:val="009373B7"/>
    <w:rsid w:val="0093743B"/>
    <w:rsid w:val="009407BE"/>
    <w:rsid w:val="00940CC5"/>
    <w:rsid w:val="00940F63"/>
    <w:rsid w:val="00941112"/>
    <w:rsid w:val="009414C9"/>
    <w:rsid w:val="00942388"/>
    <w:rsid w:val="00942716"/>
    <w:rsid w:val="00942A29"/>
    <w:rsid w:val="00942EEB"/>
    <w:rsid w:val="009433A9"/>
    <w:rsid w:val="00943E9D"/>
    <w:rsid w:val="009444EE"/>
    <w:rsid w:val="009448C5"/>
    <w:rsid w:val="00944ECB"/>
    <w:rsid w:val="0094640D"/>
    <w:rsid w:val="009468B5"/>
    <w:rsid w:val="009471D1"/>
    <w:rsid w:val="009506E6"/>
    <w:rsid w:val="00951219"/>
    <w:rsid w:val="00951AF2"/>
    <w:rsid w:val="00952BED"/>
    <w:rsid w:val="00952C5D"/>
    <w:rsid w:val="00952C98"/>
    <w:rsid w:val="00953ABC"/>
    <w:rsid w:val="009562CF"/>
    <w:rsid w:val="00956701"/>
    <w:rsid w:val="00957E02"/>
    <w:rsid w:val="009602B9"/>
    <w:rsid w:val="0096048B"/>
    <w:rsid w:val="0096074C"/>
    <w:rsid w:val="00960858"/>
    <w:rsid w:val="00960A35"/>
    <w:rsid w:val="00960FF8"/>
    <w:rsid w:val="009627AC"/>
    <w:rsid w:val="00963A1F"/>
    <w:rsid w:val="00963A78"/>
    <w:rsid w:val="009647ED"/>
    <w:rsid w:val="00965200"/>
    <w:rsid w:val="009660AC"/>
    <w:rsid w:val="009665ED"/>
    <w:rsid w:val="00966DAF"/>
    <w:rsid w:val="00966FC0"/>
    <w:rsid w:val="0096724A"/>
    <w:rsid w:val="00970960"/>
    <w:rsid w:val="00970ADC"/>
    <w:rsid w:val="00971933"/>
    <w:rsid w:val="009721D4"/>
    <w:rsid w:val="00974B88"/>
    <w:rsid w:val="009756CC"/>
    <w:rsid w:val="00975C5B"/>
    <w:rsid w:val="0097613A"/>
    <w:rsid w:val="00976CAE"/>
    <w:rsid w:val="0097759A"/>
    <w:rsid w:val="00977A5E"/>
    <w:rsid w:val="0098004F"/>
    <w:rsid w:val="009816AA"/>
    <w:rsid w:val="00981FE3"/>
    <w:rsid w:val="00982187"/>
    <w:rsid w:val="009832E5"/>
    <w:rsid w:val="0098374E"/>
    <w:rsid w:val="00983BB0"/>
    <w:rsid w:val="009840F9"/>
    <w:rsid w:val="009842C3"/>
    <w:rsid w:val="00984EA3"/>
    <w:rsid w:val="00985E5B"/>
    <w:rsid w:val="0098616A"/>
    <w:rsid w:val="00987061"/>
    <w:rsid w:val="00987148"/>
    <w:rsid w:val="009909A3"/>
    <w:rsid w:val="0099159A"/>
    <w:rsid w:val="00991923"/>
    <w:rsid w:val="0099339F"/>
    <w:rsid w:val="00994553"/>
    <w:rsid w:val="00994C72"/>
    <w:rsid w:val="00995140"/>
    <w:rsid w:val="00995DAE"/>
    <w:rsid w:val="00996195"/>
    <w:rsid w:val="009968BE"/>
    <w:rsid w:val="00996E4A"/>
    <w:rsid w:val="00996F03"/>
    <w:rsid w:val="0099713B"/>
    <w:rsid w:val="00997399"/>
    <w:rsid w:val="009978C9"/>
    <w:rsid w:val="00997B6B"/>
    <w:rsid w:val="00997CF7"/>
    <w:rsid w:val="009A2C31"/>
    <w:rsid w:val="009A2C57"/>
    <w:rsid w:val="009A33E2"/>
    <w:rsid w:val="009A398D"/>
    <w:rsid w:val="009A451E"/>
    <w:rsid w:val="009A53C5"/>
    <w:rsid w:val="009A57E1"/>
    <w:rsid w:val="009A592A"/>
    <w:rsid w:val="009A5ADC"/>
    <w:rsid w:val="009A5BFC"/>
    <w:rsid w:val="009A5F14"/>
    <w:rsid w:val="009A644F"/>
    <w:rsid w:val="009A6BA8"/>
    <w:rsid w:val="009A7120"/>
    <w:rsid w:val="009A73F8"/>
    <w:rsid w:val="009A7672"/>
    <w:rsid w:val="009A7C1A"/>
    <w:rsid w:val="009B007B"/>
    <w:rsid w:val="009B09CC"/>
    <w:rsid w:val="009B1832"/>
    <w:rsid w:val="009B1AA3"/>
    <w:rsid w:val="009B1DBB"/>
    <w:rsid w:val="009B2AD8"/>
    <w:rsid w:val="009B3207"/>
    <w:rsid w:val="009B37A4"/>
    <w:rsid w:val="009B3AE9"/>
    <w:rsid w:val="009B3B5A"/>
    <w:rsid w:val="009B3F65"/>
    <w:rsid w:val="009B5CE0"/>
    <w:rsid w:val="009B615A"/>
    <w:rsid w:val="009B6E12"/>
    <w:rsid w:val="009B79BD"/>
    <w:rsid w:val="009C0A89"/>
    <w:rsid w:val="009C1FA9"/>
    <w:rsid w:val="009C1FEC"/>
    <w:rsid w:val="009C264A"/>
    <w:rsid w:val="009C2A48"/>
    <w:rsid w:val="009C3250"/>
    <w:rsid w:val="009C43D0"/>
    <w:rsid w:val="009C4569"/>
    <w:rsid w:val="009C4F71"/>
    <w:rsid w:val="009C5D30"/>
    <w:rsid w:val="009C5F53"/>
    <w:rsid w:val="009C6720"/>
    <w:rsid w:val="009C7E0B"/>
    <w:rsid w:val="009C7FE9"/>
    <w:rsid w:val="009D0755"/>
    <w:rsid w:val="009D0C7F"/>
    <w:rsid w:val="009D1995"/>
    <w:rsid w:val="009D20E9"/>
    <w:rsid w:val="009D30E0"/>
    <w:rsid w:val="009D3887"/>
    <w:rsid w:val="009D6AD0"/>
    <w:rsid w:val="009D7245"/>
    <w:rsid w:val="009D7A3A"/>
    <w:rsid w:val="009D7E6B"/>
    <w:rsid w:val="009E0861"/>
    <w:rsid w:val="009E1496"/>
    <w:rsid w:val="009E23D1"/>
    <w:rsid w:val="009E2DDF"/>
    <w:rsid w:val="009E37BB"/>
    <w:rsid w:val="009E3897"/>
    <w:rsid w:val="009E3F6A"/>
    <w:rsid w:val="009E4E58"/>
    <w:rsid w:val="009E4FCF"/>
    <w:rsid w:val="009E53C4"/>
    <w:rsid w:val="009E6375"/>
    <w:rsid w:val="009F02C2"/>
    <w:rsid w:val="009F1B0E"/>
    <w:rsid w:val="009F2477"/>
    <w:rsid w:val="009F2F99"/>
    <w:rsid w:val="009F39C8"/>
    <w:rsid w:val="009F4564"/>
    <w:rsid w:val="009F4822"/>
    <w:rsid w:val="009F525C"/>
    <w:rsid w:val="009F70BE"/>
    <w:rsid w:val="009F793D"/>
    <w:rsid w:val="00A00246"/>
    <w:rsid w:val="00A004A4"/>
    <w:rsid w:val="00A0125A"/>
    <w:rsid w:val="00A0135A"/>
    <w:rsid w:val="00A019B5"/>
    <w:rsid w:val="00A01B29"/>
    <w:rsid w:val="00A04F5F"/>
    <w:rsid w:val="00A054F0"/>
    <w:rsid w:val="00A055D2"/>
    <w:rsid w:val="00A06710"/>
    <w:rsid w:val="00A069BF"/>
    <w:rsid w:val="00A06A73"/>
    <w:rsid w:val="00A06EA7"/>
    <w:rsid w:val="00A06F7B"/>
    <w:rsid w:val="00A0750A"/>
    <w:rsid w:val="00A07C60"/>
    <w:rsid w:val="00A10515"/>
    <w:rsid w:val="00A10F2F"/>
    <w:rsid w:val="00A114E3"/>
    <w:rsid w:val="00A13194"/>
    <w:rsid w:val="00A136FA"/>
    <w:rsid w:val="00A15D92"/>
    <w:rsid w:val="00A16E18"/>
    <w:rsid w:val="00A17027"/>
    <w:rsid w:val="00A17F82"/>
    <w:rsid w:val="00A209C8"/>
    <w:rsid w:val="00A20BD6"/>
    <w:rsid w:val="00A21439"/>
    <w:rsid w:val="00A22561"/>
    <w:rsid w:val="00A236F0"/>
    <w:rsid w:val="00A23EA6"/>
    <w:rsid w:val="00A242C9"/>
    <w:rsid w:val="00A24DE6"/>
    <w:rsid w:val="00A24DFD"/>
    <w:rsid w:val="00A24E60"/>
    <w:rsid w:val="00A251AF"/>
    <w:rsid w:val="00A2594C"/>
    <w:rsid w:val="00A25AD7"/>
    <w:rsid w:val="00A269F6"/>
    <w:rsid w:val="00A26FE4"/>
    <w:rsid w:val="00A300E6"/>
    <w:rsid w:val="00A30452"/>
    <w:rsid w:val="00A3095F"/>
    <w:rsid w:val="00A309D4"/>
    <w:rsid w:val="00A30A0C"/>
    <w:rsid w:val="00A30EA3"/>
    <w:rsid w:val="00A31F70"/>
    <w:rsid w:val="00A31FBD"/>
    <w:rsid w:val="00A339C6"/>
    <w:rsid w:val="00A33B5A"/>
    <w:rsid w:val="00A33E33"/>
    <w:rsid w:val="00A33F84"/>
    <w:rsid w:val="00A347B6"/>
    <w:rsid w:val="00A35A4D"/>
    <w:rsid w:val="00A37191"/>
    <w:rsid w:val="00A403EB"/>
    <w:rsid w:val="00A40506"/>
    <w:rsid w:val="00A4213C"/>
    <w:rsid w:val="00A422B3"/>
    <w:rsid w:val="00A431F7"/>
    <w:rsid w:val="00A43A98"/>
    <w:rsid w:val="00A43E94"/>
    <w:rsid w:val="00A440C6"/>
    <w:rsid w:val="00A442AD"/>
    <w:rsid w:val="00A44A33"/>
    <w:rsid w:val="00A46DA2"/>
    <w:rsid w:val="00A46E73"/>
    <w:rsid w:val="00A47822"/>
    <w:rsid w:val="00A47B61"/>
    <w:rsid w:val="00A47BC1"/>
    <w:rsid w:val="00A50075"/>
    <w:rsid w:val="00A502B1"/>
    <w:rsid w:val="00A50545"/>
    <w:rsid w:val="00A50C93"/>
    <w:rsid w:val="00A51A60"/>
    <w:rsid w:val="00A52038"/>
    <w:rsid w:val="00A5278A"/>
    <w:rsid w:val="00A534DD"/>
    <w:rsid w:val="00A53B81"/>
    <w:rsid w:val="00A54340"/>
    <w:rsid w:val="00A545CD"/>
    <w:rsid w:val="00A55235"/>
    <w:rsid w:val="00A5700C"/>
    <w:rsid w:val="00A5713E"/>
    <w:rsid w:val="00A57460"/>
    <w:rsid w:val="00A57825"/>
    <w:rsid w:val="00A57909"/>
    <w:rsid w:val="00A57BBD"/>
    <w:rsid w:val="00A607FE"/>
    <w:rsid w:val="00A60E1F"/>
    <w:rsid w:val="00A61D72"/>
    <w:rsid w:val="00A6236E"/>
    <w:rsid w:val="00A635C7"/>
    <w:rsid w:val="00A63804"/>
    <w:rsid w:val="00A64066"/>
    <w:rsid w:val="00A64374"/>
    <w:rsid w:val="00A643D1"/>
    <w:rsid w:val="00A6468F"/>
    <w:rsid w:val="00A64B00"/>
    <w:rsid w:val="00A64C87"/>
    <w:rsid w:val="00A65C0B"/>
    <w:rsid w:val="00A66563"/>
    <w:rsid w:val="00A66738"/>
    <w:rsid w:val="00A668F6"/>
    <w:rsid w:val="00A679EB"/>
    <w:rsid w:val="00A7030E"/>
    <w:rsid w:val="00A707C8"/>
    <w:rsid w:val="00A71244"/>
    <w:rsid w:val="00A716F9"/>
    <w:rsid w:val="00A71A11"/>
    <w:rsid w:val="00A71D01"/>
    <w:rsid w:val="00A725F4"/>
    <w:rsid w:val="00A754E5"/>
    <w:rsid w:val="00A75E0A"/>
    <w:rsid w:val="00A76866"/>
    <w:rsid w:val="00A76AD6"/>
    <w:rsid w:val="00A8078E"/>
    <w:rsid w:val="00A807E2"/>
    <w:rsid w:val="00A822FD"/>
    <w:rsid w:val="00A82708"/>
    <w:rsid w:val="00A8328A"/>
    <w:rsid w:val="00A83D67"/>
    <w:rsid w:val="00A840AC"/>
    <w:rsid w:val="00A84BA8"/>
    <w:rsid w:val="00A86F7F"/>
    <w:rsid w:val="00A877F7"/>
    <w:rsid w:val="00A878FE"/>
    <w:rsid w:val="00A905A1"/>
    <w:rsid w:val="00A9079E"/>
    <w:rsid w:val="00A916C5"/>
    <w:rsid w:val="00A91EAB"/>
    <w:rsid w:val="00A92476"/>
    <w:rsid w:val="00A9388D"/>
    <w:rsid w:val="00A93D7E"/>
    <w:rsid w:val="00A957C0"/>
    <w:rsid w:val="00A97748"/>
    <w:rsid w:val="00A97DC3"/>
    <w:rsid w:val="00AA0222"/>
    <w:rsid w:val="00AA04D2"/>
    <w:rsid w:val="00AA0C2C"/>
    <w:rsid w:val="00AA103F"/>
    <w:rsid w:val="00AA23D7"/>
    <w:rsid w:val="00AA27A9"/>
    <w:rsid w:val="00AA3707"/>
    <w:rsid w:val="00AA3C46"/>
    <w:rsid w:val="00AA4242"/>
    <w:rsid w:val="00AA4F65"/>
    <w:rsid w:val="00AA7D86"/>
    <w:rsid w:val="00AB04F7"/>
    <w:rsid w:val="00AB064A"/>
    <w:rsid w:val="00AB09D1"/>
    <w:rsid w:val="00AB13E8"/>
    <w:rsid w:val="00AB2E7E"/>
    <w:rsid w:val="00AB3466"/>
    <w:rsid w:val="00AB3A75"/>
    <w:rsid w:val="00AB3C7C"/>
    <w:rsid w:val="00AB3D45"/>
    <w:rsid w:val="00AB3F12"/>
    <w:rsid w:val="00AB43CF"/>
    <w:rsid w:val="00AB43D4"/>
    <w:rsid w:val="00AB5405"/>
    <w:rsid w:val="00AB5A37"/>
    <w:rsid w:val="00AB5B25"/>
    <w:rsid w:val="00AB5C46"/>
    <w:rsid w:val="00AB7C31"/>
    <w:rsid w:val="00AC07A1"/>
    <w:rsid w:val="00AC0AAF"/>
    <w:rsid w:val="00AC0EB2"/>
    <w:rsid w:val="00AC1068"/>
    <w:rsid w:val="00AC187C"/>
    <w:rsid w:val="00AC3565"/>
    <w:rsid w:val="00AC3E4D"/>
    <w:rsid w:val="00AC4879"/>
    <w:rsid w:val="00AC48F3"/>
    <w:rsid w:val="00AC4D24"/>
    <w:rsid w:val="00AC501A"/>
    <w:rsid w:val="00AC637D"/>
    <w:rsid w:val="00AC70D4"/>
    <w:rsid w:val="00AC754D"/>
    <w:rsid w:val="00AC7D24"/>
    <w:rsid w:val="00AD054C"/>
    <w:rsid w:val="00AD1D5E"/>
    <w:rsid w:val="00AD2E59"/>
    <w:rsid w:val="00AD3A47"/>
    <w:rsid w:val="00AD3B53"/>
    <w:rsid w:val="00AD5BA3"/>
    <w:rsid w:val="00AD5D70"/>
    <w:rsid w:val="00AE0170"/>
    <w:rsid w:val="00AE12D1"/>
    <w:rsid w:val="00AE15FC"/>
    <w:rsid w:val="00AE1ABA"/>
    <w:rsid w:val="00AE1F46"/>
    <w:rsid w:val="00AE22ED"/>
    <w:rsid w:val="00AE2A42"/>
    <w:rsid w:val="00AE31FE"/>
    <w:rsid w:val="00AE3E56"/>
    <w:rsid w:val="00AE4045"/>
    <w:rsid w:val="00AE4236"/>
    <w:rsid w:val="00AE49D2"/>
    <w:rsid w:val="00AE6C93"/>
    <w:rsid w:val="00AE7CC9"/>
    <w:rsid w:val="00AE7F78"/>
    <w:rsid w:val="00AF05E5"/>
    <w:rsid w:val="00AF1DFF"/>
    <w:rsid w:val="00AF228C"/>
    <w:rsid w:val="00AF23ED"/>
    <w:rsid w:val="00AF27F8"/>
    <w:rsid w:val="00AF32C2"/>
    <w:rsid w:val="00AF3382"/>
    <w:rsid w:val="00AF36F5"/>
    <w:rsid w:val="00AF37C9"/>
    <w:rsid w:val="00AF38A8"/>
    <w:rsid w:val="00AF4EC0"/>
    <w:rsid w:val="00AF5008"/>
    <w:rsid w:val="00AF507F"/>
    <w:rsid w:val="00AF55E4"/>
    <w:rsid w:val="00AF6507"/>
    <w:rsid w:val="00AF6A07"/>
    <w:rsid w:val="00B00F96"/>
    <w:rsid w:val="00B01BBC"/>
    <w:rsid w:val="00B03793"/>
    <w:rsid w:val="00B046C0"/>
    <w:rsid w:val="00B04E86"/>
    <w:rsid w:val="00B05354"/>
    <w:rsid w:val="00B0581B"/>
    <w:rsid w:val="00B064A5"/>
    <w:rsid w:val="00B0689B"/>
    <w:rsid w:val="00B06C91"/>
    <w:rsid w:val="00B07240"/>
    <w:rsid w:val="00B10D41"/>
    <w:rsid w:val="00B10DBF"/>
    <w:rsid w:val="00B11901"/>
    <w:rsid w:val="00B125EA"/>
    <w:rsid w:val="00B12C38"/>
    <w:rsid w:val="00B12C59"/>
    <w:rsid w:val="00B13532"/>
    <w:rsid w:val="00B13DA0"/>
    <w:rsid w:val="00B14338"/>
    <w:rsid w:val="00B1453A"/>
    <w:rsid w:val="00B148C1"/>
    <w:rsid w:val="00B149E4"/>
    <w:rsid w:val="00B14BAB"/>
    <w:rsid w:val="00B14FA6"/>
    <w:rsid w:val="00B153E8"/>
    <w:rsid w:val="00B15A70"/>
    <w:rsid w:val="00B20174"/>
    <w:rsid w:val="00B205B1"/>
    <w:rsid w:val="00B20F7D"/>
    <w:rsid w:val="00B211E1"/>
    <w:rsid w:val="00B21B1E"/>
    <w:rsid w:val="00B24070"/>
    <w:rsid w:val="00B24388"/>
    <w:rsid w:val="00B247BA"/>
    <w:rsid w:val="00B24B3B"/>
    <w:rsid w:val="00B258FE"/>
    <w:rsid w:val="00B25948"/>
    <w:rsid w:val="00B2661E"/>
    <w:rsid w:val="00B26F09"/>
    <w:rsid w:val="00B271CA"/>
    <w:rsid w:val="00B27969"/>
    <w:rsid w:val="00B27A09"/>
    <w:rsid w:val="00B301B5"/>
    <w:rsid w:val="00B30AC6"/>
    <w:rsid w:val="00B30F3A"/>
    <w:rsid w:val="00B313CA"/>
    <w:rsid w:val="00B34155"/>
    <w:rsid w:val="00B34C5D"/>
    <w:rsid w:val="00B3504B"/>
    <w:rsid w:val="00B352B1"/>
    <w:rsid w:val="00B35989"/>
    <w:rsid w:val="00B360CA"/>
    <w:rsid w:val="00B360DC"/>
    <w:rsid w:val="00B36265"/>
    <w:rsid w:val="00B370BF"/>
    <w:rsid w:val="00B378CF"/>
    <w:rsid w:val="00B379CD"/>
    <w:rsid w:val="00B37D98"/>
    <w:rsid w:val="00B37EE3"/>
    <w:rsid w:val="00B40142"/>
    <w:rsid w:val="00B406F0"/>
    <w:rsid w:val="00B40CE6"/>
    <w:rsid w:val="00B40DFB"/>
    <w:rsid w:val="00B41F87"/>
    <w:rsid w:val="00B41F92"/>
    <w:rsid w:val="00B436D5"/>
    <w:rsid w:val="00B43ACA"/>
    <w:rsid w:val="00B457F4"/>
    <w:rsid w:val="00B45C6C"/>
    <w:rsid w:val="00B4634E"/>
    <w:rsid w:val="00B46B10"/>
    <w:rsid w:val="00B476A0"/>
    <w:rsid w:val="00B47858"/>
    <w:rsid w:val="00B51CFD"/>
    <w:rsid w:val="00B51EFA"/>
    <w:rsid w:val="00B5331F"/>
    <w:rsid w:val="00B53518"/>
    <w:rsid w:val="00B535B4"/>
    <w:rsid w:val="00B53B53"/>
    <w:rsid w:val="00B54DA1"/>
    <w:rsid w:val="00B555F6"/>
    <w:rsid w:val="00B60074"/>
    <w:rsid w:val="00B6146B"/>
    <w:rsid w:val="00B6228A"/>
    <w:rsid w:val="00B62C86"/>
    <w:rsid w:val="00B62DE5"/>
    <w:rsid w:val="00B63564"/>
    <w:rsid w:val="00B6369F"/>
    <w:rsid w:val="00B63917"/>
    <w:rsid w:val="00B63DCF"/>
    <w:rsid w:val="00B644E4"/>
    <w:rsid w:val="00B64584"/>
    <w:rsid w:val="00B648C5"/>
    <w:rsid w:val="00B649CA"/>
    <w:rsid w:val="00B64CBD"/>
    <w:rsid w:val="00B64F46"/>
    <w:rsid w:val="00B65175"/>
    <w:rsid w:val="00B668AC"/>
    <w:rsid w:val="00B66F52"/>
    <w:rsid w:val="00B6707A"/>
    <w:rsid w:val="00B67247"/>
    <w:rsid w:val="00B675BA"/>
    <w:rsid w:val="00B67E8F"/>
    <w:rsid w:val="00B67FF8"/>
    <w:rsid w:val="00B7080A"/>
    <w:rsid w:val="00B70AF9"/>
    <w:rsid w:val="00B711C8"/>
    <w:rsid w:val="00B71A64"/>
    <w:rsid w:val="00B72436"/>
    <w:rsid w:val="00B729CD"/>
    <w:rsid w:val="00B733A1"/>
    <w:rsid w:val="00B73FBC"/>
    <w:rsid w:val="00B742A9"/>
    <w:rsid w:val="00B74FBE"/>
    <w:rsid w:val="00B75C5A"/>
    <w:rsid w:val="00B75E6B"/>
    <w:rsid w:val="00B76128"/>
    <w:rsid w:val="00B761B1"/>
    <w:rsid w:val="00B7638D"/>
    <w:rsid w:val="00B76D2F"/>
    <w:rsid w:val="00B810C9"/>
    <w:rsid w:val="00B81BFE"/>
    <w:rsid w:val="00B82122"/>
    <w:rsid w:val="00B830A4"/>
    <w:rsid w:val="00B83480"/>
    <w:rsid w:val="00B8483C"/>
    <w:rsid w:val="00B84A42"/>
    <w:rsid w:val="00B84BC6"/>
    <w:rsid w:val="00B8679D"/>
    <w:rsid w:val="00B878D9"/>
    <w:rsid w:val="00B90958"/>
    <w:rsid w:val="00B90BA1"/>
    <w:rsid w:val="00B90D91"/>
    <w:rsid w:val="00B919F3"/>
    <w:rsid w:val="00B9226D"/>
    <w:rsid w:val="00B9346C"/>
    <w:rsid w:val="00B93981"/>
    <w:rsid w:val="00B942CA"/>
    <w:rsid w:val="00B94812"/>
    <w:rsid w:val="00B94E95"/>
    <w:rsid w:val="00B95496"/>
    <w:rsid w:val="00B97171"/>
    <w:rsid w:val="00BA0EAA"/>
    <w:rsid w:val="00BA1A49"/>
    <w:rsid w:val="00BA2246"/>
    <w:rsid w:val="00BA2B8E"/>
    <w:rsid w:val="00BA3F55"/>
    <w:rsid w:val="00BA4554"/>
    <w:rsid w:val="00BA4BA4"/>
    <w:rsid w:val="00BA4DC6"/>
    <w:rsid w:val="00BA4F5F"/>
    <w:rsid w:val="00BA5589"/>
    <w:rsid w:val="00BA59C9"/>
    <w:rsid w:val="00BA61B8"/>
    <w:rsid w:val="00BA693A"/>
    <w:rsid w:val="00BA6B13"/>
    <w:rsid w:val="00BA6F73"/>
    <w:rsid w:val="00BA7360"/>
    <w:rsid w:val="00BA7640"/>
    <w:rsid w:val="00BA7E6B"/>
    <w:rsid w:val="00BA7F6E"/>
    <w:rsid w:val="00BB0139"/>
    <w:rsid w:val="00BB099D"/>
    <w:rsid w:val="00BB1221"/>
    <w:rsid w:val="00BB23D9"/>
    <w:rsid w:val="00BB2594"/>
    <w:rsid w:val="00BB2734"/>
    <w:rsid w:val="00BB359B"/>
    <w:rsid w:val="00BB3F4D"/>
    <w:rsid w:val="00BB42C0"/>
    <w:rsid w:val="00BB4477"/>
    <w:rsid w:val="00BB4506"/>
    <w:rsid w:val="00BB5635"/>
    <w:rsid w:val="00BB698A"/>
    <w:rsid w:val="00BB6D8A"/>
    <w:rsid w:val="00BB70C6"/>
    <w:rsid w:val="00BB7898"/>
    <w:rsid w:val="00BC0743"/>
    <w:rsid w:val="00BC17EE"/>
    <w:rsid w:val="00BC1921"/>
    <w:rsid w:val="00BC2BEF"/>
    <w:rsid w:val="00BC30A5"/>
    <w:rsid w:val="00BC31E8"/>
    <w:rsid w:val="00BC3EAA"/>
    <w:rsid w:val="00BC4127"/>
    <w:rsid w:val="00BC42A2"/>
    <w:rsid w:val="00BC43CD"/>
    <w:rsid w:val="00BC550D"/>
    <w:rsid w:val="00BC5A18"/>
    <w:rsid w:val="00BC7AED"/>
    <w:rsid w:val="00BD00A1"/>
    <w:rsid w:val="00BD04DD"/>
    <w:rsid w:val="00BD0506"/>
    <w:rsid w:val="00BD0ACF"/>
    <w:rsid w:val="00BD1285"/>
    <w:rsid w:val="00BD13DF"/>
    <w:rsid w:val="00BD14FC"/>
    <w:rsid w:val="00BD32B9"/>
    <w:rsid w:val="00BD39D3"/>
    <w:rsid w:val="00BD586F"/>
    <w:rsid w:val="00BD59D0"/>
    <w:rsid w:val="00BD6161"/>
    <w:rsid w:val="00BD66D1"/>
    <w:rsid w:val="00BD6832"/>
    <w:rsid w:val="00BD689C"/>
    <w:rsid w:val="00BE0E3E"/>
    <w:rsid w:val="00BE0FA8"/>
    <w:rsid w:val="00BE1736"/>
    <w:rsid w:val="00BE1CBA"/>
    <w:rsid w:val="00BE1DD5"/>
    <w:rsid w:val="00BE2456"/>
    <w:rsid w:val="00BE26F7"/>
    <w:rsid w:val="00BE2B0C"/>
    <w:rsid w:val="00BE448B"/>
    <w:rsid w:val="00BE46BD"/>
    <w:rsid w:val="00BE4D7B"/>
    <w:rsid w:val="00BE5082"/>
    <w:rsid w:val="00BE52DB"/>
    <w:rsid w:val="00BE64D9"/>
    <w:rsid w:val="00BE6FC8"/>
    <w:rsid w:val="00BE7083"/>
    <w:rsid w:val="00BE7912"/>
    <w:rsid w:val="00BE7D91"/>
    <w:rsid w:val="00BF08DA"/>
    <w:rsid w:val="00BF0BF8"/>
    <w:rsid w:val="00BF12B6"/>
    <w:rsid w:val="00BF2050"/>
    <w:rsid w:val="00BF2622"/>
    <w:rsid w:val="00BF291B"/>
    <w:rsid w:val="00BF38D9"/>
    <w:rsid w:val="00BF38F4"/>
    <w:rsid w:val="00BF4F37"/>
    <w:rsid w:val="00BF5040"/>
    <w:rsid w:val="00BF5156"/>
    <w:rsid w:val="00BF5D3E"/>
    <w:rsid w:val="00BF663E"/>
    <w:rsid w:val="00BF6AB0"/>
    <w:rsid w:val="00BF73C8"/>
    <w:rsid w:val="00BF7BB6"/>
    <w:rsid w:val="00BF7D5C"/>
    <w:rsid w:val="00C00323"/>
    <w:rsid w:val="00C01E18"/>
    <w:rsid w:val="00C02201"/>
    <w:rsid w:val="00C02D42"/>
    <w:rsid w:val="00C033EE"/>
    <w:rsid w:val="00C044EC"/>
    <w:rsid w:val="00C04C28"/>
    <w:rsid w:val="00C053AB"/>
    <w:rsid w:val="00C05A92"/>
    <w:rsid w:val="00C07067"/>
    <w:rsid w:val="00C07725"/>
    <w:rsid w:val="00C103AD"/>
    <w:rsid w:val="00C10B27"/>
    <w:rsid w:val="00C10D5C"/>
    <w:rsid w:val="00C1177F"/>
    <w:rsid w:val="00C12238"/>
    <w:rsid w:val="00C1302D"/>
    <w:rsid w:val="00C1478A"/>
    <w:rsid w:val="00C14E11"/>
    <w:rsid w:val="00C1503C"/>
    <w:rsid w:val="00C16442"/>
    <w:rsid w:val="00C16944"/>
    <w:rsid w:val="00C169AE"/>
    <w:rsid w:val="00C16C01"/>
    <w:rsid w:val="00C173B8"/>
    <w:rsid w:val="00C17E3F"/>
    <w:rsid w:val="00C200A3"/>
    <w:rsid w:val="00C200D5"/>
    <w:rsid w:val="00C20A79"/>
    <w:rsid w:val="00C212CA"/>
    <w:rsid w:val="00C21A3B"/>
    <w:rsid w:val="00C21B80"/>
    <w:rsid w:val="00C22A5B"/>
    <w:rsid w:val="00C23C4A"/>
    <w:rsid w:val="00C23DC3"/>
    <w:rsid w:val="00C24186"/>
    <w:rsid w:val="00C24853"/>
    <w:rsid w:val="00C2495F"/>
    <w:rsid w:val="00C24BFF"/>
    <w:rsid w:val="00C24C5B"/>
    <w:rsid w:val="00C25730"/>
    <w:rsid w:val="00C25DCB"/>
    <w:rsid w:val="00C262A7"/>
    <w:rsid w:val="00C26BDC"/>
    <w:rsid w:val="00C27618"/>
    <w:rsid w:val="00C27A05"/>
    <w:rsid w:val="00C30947"/>
    <w:rsid w:val="00C31631"/>
    <w:rsid w:val="00C31CE7"/>
    <w:rsid w:val="00C3210B"/>
    <w:rsid w:val="00C32675"/>
    <w:rsid w:val="00C3332C"/>
    <w:rsid w:val="00C34A63"/>
    <w:rsid w:val="00C3790E"/>
    <w:rsid w:val="00C40D5D"/>
    <w:rsid w:val="00C416B4"/>
    <w:rsid w:val="00C41E9B"/>
    <w:rsid w:val="00C41EF8"/>
    <w:rsid w:val="00C4295C"/>
    <w:rsid w:val="00C42D31"/>
    <w:rsid w:val="00C436D8"/>
    <w:rsid w:val="00C43D0E"/>
    <w:rsid w:val="00C4478D"/>
    <w:rsid w:val="00C44843"/>
    <w:rsid w:val="00C44DF6"/>
    <w:rsid w:val="00C451FA"/>
    <w:rsid w:val="00C456DF"/>
    <w:rsid w:val="00C46FF5"/>
    <w:rsid w:val="00C5169F"/>
    <w:rsid w:val="00C52B30"/>
    <w:rsid w:val="00C5336A"/>
    <w:rsid w:val="00C562D3"/>
    <w:rsid w:val="00C56347"/>
    <w:rsid w:val="00C566EF"/>
    <w:rsid w:val="00C6042B"/>
    <w:rsid w:val="00C60723"/>
    <w:rsid w:val="00C61217"/>
    <w:rsid w:val="00C620A6"/>
    <w:rsid w:val="00C623BD"/>
    <w:rsid w:val="00C62DEE"/>
    <w:rsid w:val="00C63279"/>
    <w:rsid w:val="00C6353C"/>
    <w:rsid w:val="00C64B53"/>
    <w:rsid w:val="00C64CCD"/>
    <w:rsid w:val="00C651E4"/>
    <w:rsid w:val="00C66530"/>
    <w:rsid w:val="00C66ABA"/>
    <w:rsid w:val="00C66DF2"/>
    <w:rsid w:val="00C66FD6"/>
    <w:rsid w:val="00C67127"/>
    <w:rsid w:val="00C70A62"/>
    <w:rsid w:val="00C71EC0"/>
    <w:rsid w:val="00C71FBA"/>
    <w:rsid w:val="00C7233E"/>
    <w:rsid w:val="00C72408"/>
    <w:rsid w:val="00C72A2F"/>
    <w:rsid w:val="00C74588"/>
    <w:rsid w:val="00C7505F"/>
    <w:rsid w:val="00C751E7"/>
    <w:rsid w:val="00C765EA"/>
    <w:rsid w:val="00C76716"/>
    <w:rsid w:val="00C77551"/>
    <w:rsid w:val="00C8012B"/>
    <w:rsid w:val="00C802A2"/>
    <w:rsid w:val="00C812BD"/>
    <w:rsid w:val="00C8292C"/>
    <w:rsid w:val="00C82DD3"/>
    <w:rsid w:val="00C83135"/>
    <w:rsid w:val="00C842E4"/>
    <w:rsid w:val="00C84502"/>
    <w:rsid w:val="00C84637"/>
    <w:rsid w:val="00C84C94"/>
    <w:rsid w:val="00C84FC2"/>
    <w:rsid w:val="00C87849"/>
    <w:rsid w:val="00C8794F"/>
    <w:rsid w:val="00C90127"/>
    <w:rsid w:val="00C90341"/>
    <w:rsid w:val="00C90591"/>
    <w:rsid w:val="00C917D2"/>
    <w:rsid w:val="00C91DEC"/>
    <w:rsid w:val="00C927DC"/>
    <w:rsid w:val="00C929EE"/>
    <w:rsid w:val="00C92D5F"/>
    <w:rsid w:val="00C93861"/>
    <w:rsid w:val="00C93BA7"/>
    <w:rsid w:val="00C94285"/>
    <w:rsid w:val="00C94377"/>
    <w:rsid w:val="00C94C97"/>
    <w:rsid w:val="00C94F5A"/>
    <w:rsid w:val="00C95307"/>
    <w:rsid w:val="00C9586F"/>
    <w:rsid w:val="00C95C72"/>
    <w:rsid w:val="00C95ED2"/>
    <w:rsid w:val="00C9617C"/>
    <w:rsid w:val="00C96E48"/>
    <w:rsid w:val="00C9728C"/>
    <w:rsid w:val="00C97DDF"/>
    <w:rsid w:val="00C97EA0"/>
    <w:rsid w:val="00CA0E34"/>
    <w:rsid w:val="00CA11CF"/>
    <w:rsid w:val="00CA1B60"/>
    <w:rsid w:val="00CA2A0E"/>
    <w:rsid w:val="00CA31DF"/>
    <w:rsid w:val="00CA3410"/>
    <w:rsid w:val="00CA4945"/>
    <w:rsid w:val="00CA54E3"/>
    <w:rsid w:val="00CA5E61"/>
    <w:rsid w:val="00CA696E"/>
    <w:rsid w:val="00CA79FC"/>
    <w:rsid w:val="00CA7C84"/>
    <w:rsid w:val="00CA7ED8"/>
    <w:rsid w:val="00CB03F6"/>
    <w:rsid w:val="00CB07FB"/>
    <w:rsid w:val="00CB10B7"/>
    <w:rsid w:val="00CB1267"/>
    <w:rsid w:val="00CB12D3"/>
    <w:rsid w:val="00CB3A8F"/>
    <w:rsid w:val="00CB3B4C"/>
    <w:rsid w:val="00CB4146"/>
    <w:rsid w:val="00CB4D36"/>
    <w:rsid w:val="00CB5039"/>
    <w:rsid w:val="00CB52AD"/>
    <w:rsid w:val="00CB57F7"/>
    <w:rsid w:val="00CB5B77"/>
    <w:rsid w:val="00CB5F54"/>
    <w:rsid w:val="00CB6BA9"/>
    <w:rsid w:val="00CB70E7"/>
    <w:rsid w:val="00CB7B29"/>
    <w:rsid w:val="00CC032F"/>
    <w:rsid w:val="00CC260A"/>
    <w:rsid w:val="00CC29A5"/>
    <w:rsid w:val="00CC2EB0"/>
    <w:rsid w:val="00CC320F"/>
    <w:rsid w:val="00CC388B"/>
    <w:rsid w:val="00CC3903"/>
    <w:rsid w:val="00CC3BCA"/>
    <w:rsid w:val="00CC3C9B"/>
    <w:rsid w:val="00CC4A51"/>
    <w:rsid w:val="00CC661E"/>
    <w:rsid w:val="00CC7101"/>
    <w:rsid w:val="00CC74CA"/>
    <w:rsid w:val="00CC7A2F"/>
    <w:rsid w:val="00CC7CDA"/>
    <w:rsid w:val="00CD054D"/>
    <w:rsid w:val="00CD079D"/>
    <w:rsid w:val="00CD105D"/>
    <w:rsid w:val="00CD153E"/>
    <w:rsid w:val="00CD1AF1"/>
    <w:rsid w:val="00CD20B6"/>
    <w:rsid w:val="00CD220F"/>
    <w:rsid w:val="00CD259F"/>
    <w:rsid w:val="00CD2EA2"/>
    <w:rsid w:val="00CD31EC"/>
    <w:rsid w:val="00CD4B19"/>
    <w:rsid w:val="00CD4B60"/>
    <w:rsid w:val="00CD4BB8"/>
    <w:rsid w:val="00CD4C61"/>
    <w:rsid w:val="00CD507B"/>
    <w:rsid w:val="00CD5289"/>
    <w:rsid w:val="00CD57C7"/>
    <w:rsid w:val="00CD6B35"/>
    <w:rsid w:val="00CD7214"/>
    <w:rsid w:val="00CE0869"/>
    <w:rsid w:val="00CE1148"/>
    <w:rsid w:val="00CE1598"/>
    <w:rsid w:val="00CE1662"/>
    <w:rsid w:val="00CE2102"/>
    <w:rsid w:val="00CE268E"/>
    <w:rsid w:val="00CE27C0"/>
    <w:rsid w:val="00CE4FFF"/>
    <w:rsid w:val="00CE763B"/>
    <w:rsid w:val="00CE7A26"/>
    <w:rsid w:val="00CF065D"/>
    <w:rsid w:val="00CF0E9A"/>
    <w:rsid w:val="00CF167D"/>
    <w:rsid w:val="00CF1746"/>
    <w:rsid w:val="00CF240C"/>
    <w:rsid w:val="00CF33FC"/>
    <w:rsid w:val="00CF34AC"/>
    <w:rsid w:val="00CF34F8"/>
    <w:rsid w:val="00CF5058"/>
    <w:rsid w:val="00CF512E"/>
    <w:rsid w:val="00CF5C18"/>
    <w:rsid w:val="00CF5EBA"/>
    <w:rsid w:val="00CF77C6"/>
    <w:rsid w:val="00D005FC"/>
    <w:rsid w:val="00D013D0"/>
    <w:rsid w:val="00D01BC2"/>
    <w:rsid w:val="00D02819"/>
    <w:rsid w:val="00D034DD"/>
    <w:rsid w:val="00D03C5A"/>
    <w:rsid w:val="00D03DB8"/>
    <w:rsid w:val="00D044E1"/>
    <w:rsid w:val="00D04ADA"/>
    <w:rsid w:val="00D05874"/>
    <w:rsid w:val="00D0595A"/>
    <w:rsid w:val="00D05ACB"/>
    <w:rsid w:val="00D06757"/>
    <w:rsid w:val="00D0729C"/>
    <w:rsid w:val="00D0761A"/>
    <w:rsid w:val="00D07E0A"/>
    <w:rsid w:val="00D07E29"/>
    <w:rsid w:val="00D107C9"/>
    <w:rsid w:val="00D10CD3"/>
    <w:rsid w:val="00D12581"/>
    <w:rsid w:val="00D1370D"/>
    <w:rsid w:val="00D13EAE"/>
    <w:rsid w:val="00D15285"/>
    <w:rsid w:val="00D154A2"/>
    <w:rsid w:val="00D156A1"/>
    <w:rsid w:val="00D166DE"/>
    <w:rsid w:val="00D173D8"/>
    <w:rsid w:val="00D17718"/>
    <w:rsid w:val="00D200C2"/>
    <w:rsid w:val="00D20589"/>
    <w:rsid w:val="00D207A4"/>
    <w:rsid w:val="00D212D5"/>
    <w:rsid w:val="00D21758"/>
    <w:rsid w:val="00D21A52"/>
    <w:rsid w:val="00D224F8"/>
    <w:rsid w:val="00D22C2C"/>
    <w:rsid w:val="00D23680"/>
    <w:rsid w:val="00D23931"/>
    <w:rsid w:val="00D23D17"/>
    <w:rsid w:val="00D23D2D"/>
    <w:rsid w:val="00D243C8"/>
    <w:rsid w:val="00D2480D"/>
    <w:rsid w:val="00D248F9"/>
    <w:rsid w:val="00D24926"/>
    <w:rsid w:val="00D2523A"/>
    <w:rsid w:val="00D25725"/>
    <w:rsid w:val="00D26F52"/>
    <w:rsid w:val="00D26F6F"/>
    <w:rsid w:val="00D270EC"/>
    <w:rsid w:val="00D31224"/>
    <w:rsid w:val="00D314FF"/>
    <w:rsid w:val="00D31644"/>
    <w:rsid w:val="00D34D2B"/>
    <w:rsid w:val="00D35201"/>
    <w:rsid w:val="00D35993"/>
    <w:rsid w:val="00D361AD"/>
    <w:rsid w:val="00D362AC"/>
    <w:rsid w:val="00D3681D"/>
    <w:rsid w:val="00D37520"/>
    <w:rsid w:val="00D3773E"/>
    <w:rsid w:val="00D410DD"/>
    <w:rsid w:val="00D41188"/>
    <w:rsid w:val="00D413EC"/>
    <w:rsid w:val="00D44692"/>
    <w:rsid w:val="00D45A6A"/>
    <w:rsid w:val="00D45D5F"/>
    <w:rsid w:val="00D46A34"/>
    <w:rsid w:val="00D50C04"/>
    <w:rsid w:val="00D50CF0"/>
    <w:rsid w:val="00D51347"/>
    <w:rsid w:val="00D51933"/>
    <w:rsid w:val="00D559F8"/>
    <w:rsid w:val="00D55AE3"/>
    <w:rsid w:val="00D55B08"/>
    <w:rsid w:val="00D566FD"/>
    <w:rsid w:val="00D5707F"/>
    <w:rsid w:val="00D57361"/>
    <w:rsid w:val="00D573DC"/>
    <w:rsid w:val="00D60308"/>
    <w:rsid w:val="00D607A4"/>
    <w:rsid w:val="00D61B78"/>
    <w:rsid w:val="00D61E6C"/>
    <w:rsid w:val="00D63755"/>
    <w:rsid w:val="00D645B7"/>
    <w:rsid w:val="00D64943"/>
    <w:rsid w:val="00D66C34"/>
    <w:rsid w:val="00D66D95"/>
    <w:rsid w:val="00D679E5"/>
    <w:rsid w:val="00D67CC3"/>
    <w:rsid w:val="00D70637"/>
    <w:rsid w:val="00D708AF"/>
    <w:rsid w:val="00D7108C"/>
    <w:rsid w:val="00D7270F"/>
    <w:rsid w:val="00D72B60"/>
    <w:rsid w:val="00D739E5"/>
    <w:rsid w:val="00D73F03"/>
    <w:rsid w:val="00D74940"/>
    <w:rsid w:val="00D751E3"/>
    <w:rsid w:val="00D756F7"/>
    <w:rsid w:val="00D75B06"/>
    <w:rsid w:val="00D75D7E"/>
    <w:rsid w:val="00D75DDA"/>
    <w:rsid w:val="00D771A0"/>
    <w:rsid w:val="00D77713"/>
    <w:rsid w:val="00D809A0"/>
    <w:rsid w:val="00D82012"/>
    <w:rsid w:val="00D82531"/>
    <w:rsid w:val="00D82910"/>
    <w:rsid w:val="00D829CC"/>
    <w:rsid w:val="00D834E1"/>
    <w:rsid w:val="00D83BE9"/>
    <w:rsid w:val="00D83DE4"/>
    <w:rsid w:val="00D84576"/>
    <w:rsid w:val="00D847DD"/>
    <w:rsid w:val="00D84843"/>
    <w:rsid w:val="00D84D0B"/>
    <w:rsid w:val="00D85028"/>
    <w:rsid w:val="00D86627"/>
    <w:rsid w:val="00D866A3"/>
    <w:rsid w:val="00D87033"/>
    <w:rsid w:val="00D9004E"/>
    <w:rsid w:val="00D90518"/>
    <w:rsid w:val="00D90CB2"/>
    <w:rsid w:val="00D90D56"/>
    <w:rsid w:val="00D9293F"/>
    <w:rsid w:val="00D92D4E"/>
    <w:rsid w:val="00D933B0"/>
    <w:rsid w:val="00D93425"/>
    <w:rsid w:val="00D938E8"/>
    <w:rsid w:val="00D93D16"/>
    <w:rsid w:val="00D9450B"/>
    <w:rsid w:val="00D94638"/>
    <w:rsid w:val="00D95A94"/>
    <w:rsid w:val="00D96A94"/>
    <w:rsid w:val="00D971C5"/>
    <w:rsid w:val="00D97629"/>
    <w:rsid w:val="00D97BE8"/>
    <w:rsid w:val="00DA07D8"/>
    <w:rsid w:val="00DA09F8"/>
    <w:rsid w:val="00DA0AC1"/>
    <w:rsid w:val="00DA0D9F"/>
    <w:rsid w:val="00DA0F40"/>
    <w:rsid w:val="00DA10E4"/>
    <w:rsid w:val="00DA142A"/>
    <w:rsid w:val="00DA1524"/>
    <w:rsid w:val="00DA19CA"/>
    <w:rsid w:val="00DA1ABC"/>
    <w:rsid w:val="00DA2BC2"/>
    <w:rsid w:val="00DA2E83"/>
    <w:rsid w:val="00DA2EA5"/>
    <w:rsid w:val="00DA3CD5"/>
    <w:rsid w:val="00DA4941"/>
    <w:rsid w:val="00DA49EE"/>
    <w:rsid w:val="00DA5199"/>
    <w:rsid w:val="00DB0F01"/>
    <w:rsid w:val="00DB2535"/>
    <w:rsid w:val="00DB27C9"/>
    <w:rsid w:val="00DB2DA6"/>
    <w:rsid w:val="00DB4EA8"/>
    <w:rsid w:val="00DB4ED9"/>
    <w:rsid w:val="00DB5ACE"/>
    <w:rsid w:val="00DB7ABC"/>
    <w:rsid w:val="00DB7ACA"/>
    <w:rsid w:val="00DC185C"/>
    <w:rsid w:val="00DC192D"/>
    <w:rsid w:val="00DC233E"/>
    <w:rsid w:val="00DC28A2"/>
    <w:rsid w:val="00DC3544"/>
    <w:rsid w:val="00DC46A4"/>
    <w:rsid w:val="00DC589C"/>
    <w:rsid w:val="00DD00AE"/>
    <w:rsid w:val="00DD032C"/>
    <w:rsid w:val="00DD1F73"/>
    <w:rsid w:val="00DD2E39"/>
    <w:rsid w:val="00DD5151"/>
    <w:rsid w:val="00DD603E"/>
    <w:rsid w:val="00DD7409"/>
    <w:rsid w:val="00DD7730"/>
    <w:rsid w:val="00DE1A1D"/>
    <w:rsid w:val="00DE230D"/>
    <w:rsid w:val="00DE27FC"/>
    <w:rsid w:val="00DE4231"/>
    <w:rsid w:val="00DE459B"/>
    <w:rsid w:val="00DE5D22"/>
    <w:rsid w:val="00DE60DA"/>
    <w:rsid w:val="00DE6162"/>
    <w:rsid w:val="00DF0565"/>
    <w:rsid w:val="00DF26A4"/>
    <w:rsid w:val="00DF34B1"/>
    <w:rsid w:val="00DF47C5"/>
    <w:rsid w:val="00DF4D5C"/>
    <w:rsid w:val="00DF5F52"/>
    <w:rsid w:val="00DF667A"/>
    <w:rsid w:val="00DF66DF"/>
    <w:rsid w:val="00DF7448"/>
    <w:rsid w:val="00E008C5"/>
    <w:rsid w:val="00E00C6E"/>
    <w:rsid w:val="00E01696"/>
    <w:rsid w:val="00E02F20"/>
    <w:rsid w:val="00E03B5E"/>
    <w:rsid w:val="00E04404"/>
    <w:rsid w:val="00E04663"/>
    <w:rsid w:val="00E061E6"/>
    <w:rsid w:val="00E0629A"/>
    <w:rsid w:val="00E06624"/>
    <w:rsid w:val="00E07500"/>
    <w:rsid w:val="00E07717"/>
    <w:rsid w:val="00E077C1"/>
    <w:rsid w:val="00E07ED2"/>
    <w:rsid w:val="00E10D68"/>
    <w:rsid w:val="00E10E90"/>
    <w:rsid w:val="00E112D8"/>
    <w:rsid w:val="00E11ABF"/>
    <w:rsid w:val="00E11C81"/>
    <w:rsid w:val="00E1252E"/>
    <w:rsid w:val="00E127C4"/>
    <w:rsid w:val="00E13B6D"/>
    <w:rsid w:val="00E142C3"/>
    <w:rsid w:val="00E144BA"/>
    <w:rsid w:val="00E14ABD"/>
    <w:rsid w:val="00E14BA4"/>
    <w:rsid w:val="00E154CA"/>
    <w:rsid w:val="00E16FFF"/>
    <w:rsid w:val="00E171C8"/>
    <w:rsid w:val="00E17929"/>
    <w:rsid w:val="00E17B9F"/>
    <w:rsid w:val="00E201BF"/>
    <w:rsid w:val="00E2052D"/>
    <w:rsid w:val="00E20907"/>
    <w:rsid w:val="00E20D1A"/>
    <w:rsid w:val="00E20EE6"/>
    <w:rsid w:val="00E22535"/>
    <w:rsid w:val="00E2271C"/>
    <w:rsid w:val="00E228C8"/>
    <w:rsid w:val="00E22BD1"/>
    <w:rsid w:val="00E23044"/>
    <w:rsid w:val="00E23BC1"/>
    <w:rsid w:val="00E24429"/>
    <w:rsid w:val="00E24BF1"/>
    <w:rsid w:val="00E2576D"/>
    <w:rsid w:val="00E26C7D"/>
    <w:rsid w:val="00E2724A"/>
    <w:rsid w:val="00E27CAF"/>
    <w:rsid w:val="00E27E92"/>
    <w:rsid w:val="00E30A14"/>
    <w:rsid w:val="00E31B55"/>
    <w:rsid w:val="00E32270"/>
    <w:rsid w:val="00E32B01"/>
    <w:rsid w:val="00E330B5"/>
    <w:rsid w:val="00E33A50"/>
    <w:rsid w:val="00E33FBD"/>
    <w:rsid w:val="00E3478E"/>
    <w:rsid w:val="00E3506B"/>
    <w:rsid w:val="00E35E15"/>
    <w:rsid w:val="00E3684F"/>
    <w:rsid w:val="00E3764B"/>
    <w:rsid w:val="00E40288"/>
    <w:rsid w:val="00E40BA1"/>
    <w:rsid w:val="00E42305"/>
    <w:rsid w:val="00E42674"/>
    <w:rsid w:val="00E436EF"/>
    <w:rsid w:val="00E43BB4"/>
    <w:rsid w:val="00E454A8"/>
    <w:rsid w:val="00E462EE"/>
    <w:rsid w:val="00E46812"/>
    <w:rsid w:val="00E47097"/>
    <w:rsid w:val="00E5199F"/>
    <w:rsid w:val="00E52872"/>
    <w:rsid w:val="00E52AA7"/>
    <w:rsid w:val="00E52AEB"/>
    <w:rsid w:val="00E52BD7"/>
    <w:rsid w:val="00E5309B"/>
    <w:rsid w:val="00E532C4"/>
    <w:rsid w:val="00E53D5F"/>
    <w:rsid w:val="00E53FA6"/>
    <w:rsid w:val="00E5474F"/>
    <w:rsid w:val="00E55250"/>
    <w:rsid w:val="00E55AE8"/>
    <w:rsid w:val="00E55EFD"/>
    <w:rsid w:val="00E55F94"/>
    <w:rsid w:val="00E570AA"/>
    <w:rsid w:val="00E5781D"/>
    <w:rsid w:val="00E61589"/>
    <w:rsid w:val="00E6162C"/>
    <w:rsid w:val="00E617EC"/>
    <w:rsid w:val="00E6273F"/>
    <w:rsid w:val="00E628D4"/>
    <w:rsid w:val="00E62DBC"/>
    <w:rsid w:val="00E630A9"/>
    <w:rsid w:val="00E642B9"/>
    <w:rsid w:val="00E64D83"/>
    <w:rsid w:val="00E67772"/>
    <w:rsid w:val="00E67A77"/>
    <w:rsid w:val="00E67CE7"/>
    <w:rsid w:val="00E7051F"/>
    <w:rsid w:val="00E7086E"/>
    <w:rsid w:val="00E70E5F"/>
    <w:rsid w:val="00E71074"/>
    <w:rsid w:val="00E710D7"/>
    <w:rsid w:val="00E713EB"/>
    <w:rsid w:val="00E71817"/>
    <w:rsid w:val="00E722B9"/>
    <w:rsid w:val="00E72696"/>
    <w:rsid w:val="00E7272F"/>
    <w:rsid w:val="00E729A0"/>
    <w:rsid w:val="00E75453"/>
    <w:rsid w:val="00E759E2"/>
    <w:rsid w:val="00E75E3A"/>
    <w:rsid w:val="00E76179"/>
    <w:rsid w:val="00E7750D"/>
    <w:rsid w:val="00E77988"/>
    <w:rsid w:val="00E80643"/>
    <w:rsid w:val="00E81AB2"/>
    <w:rsid w:val="00E81ADE"/>
    <w:rsid w:val="00E81BB5"/>
    <w:rsid w:val="00E820E7"/>
    <w:rsid w:val="00E8413C"/>
    <w:rsid w:val="00E84540"/>
    <w:rsid w:val="00E85EE2"/>
    <w:rsid w:val="00E8707C"/>
    <w:rsid w:val="00E901B0"/>
    <w:rsid w:val="00E9078E"/>
    <w:rsid w:val="00E91167"/>
    <w:rsid w:val="00E928BF"/>
    <w:rsid w:val="00E94C33"/>
    <w:rsid w:val="00E94F57"/>
    <w:rsid w:val="00E95293"/>
    <w:rsid w:val="00E95475"/>
    <w:rsid w:val="00E95DCC"/>
    <w:rsid w:val="00E96B69"/>
    <w:rsid w:val="00E96E53"/>
    <w:rsid w:val="00E97355"/>
    <w:rsid w:val="00E975AC"/>
    <w:rsid w:val="00E97BDC"/>
    <w:rsid w:val="00EA0022"/>
    <w:rsid w:val="00EA130B"/>
    <w:rsid w:val="00EA174F"/>
    <w:rsid w:val="00EA2D39"/>
    <w:rsid w:val="00EA2E6D"/>
    <w:rsid w:val="00EA30BC"/>
    <w:rsid w:val="00EA34B0"/>
    <w:rsid w:val="00EA3EF3"/>
    <w:rsid w:val="00EA3F2C"/>
    <w:rsid w:val="00EA4928"/>
    <w:rsid w:val="00EA54C6"/>
    <w:rsid w:val="00EA6271"/>
    <w:rsid w:val="00EA6AE9"/>
    <w:rsid w:val="00EA783E"/>
    <w:rsid w:val="00EB004D"/>
    <w:rsid w:val="00EB08FE"/>
    <w:rsid w:val="00EB1089"/>
    <w:rsid w:val="00EB19F3"/>
    <w:rsid w:val="00EB37DC"/>
    <w:rsid w:val="00EB3B22"/>
    <w:rsid w:val="00EB44C7"/>
    <w:rsid w:val="00EB491A"/>
    <w:rsid w:val="00EB55ED"/>
    <w:rsid w:val="00EB57BF"/>
    <w:rsid w:val="00EB63CD"/>
    <w:rsid w:val="00EB6D1C"/>
    <w:rsid w:val="00EB6DBB"/>
    <w:rsid w:val="00EB6E40"/>
    <w:rsid w:val="00EB6EC2"/>
    <w:rsid w:val="00EB7297"/>
    <w:rsid w:val="00EC0012"/>
    <w:rsid w:val="00EC0106"/>
    <w:rsid w:val="00EC030A"/>
    <w:rsid w:val="00EC0DF0"/>
    <w:rsid w:val="00EC12DB"/>
    <w:rsid w:val="00EC1D3A"/>
    <w:rsid w:val="00EC2A5A"/>
    <w:rsid w:val="00EC35A3"/>
    <w:rsid w:val="00EC4C6E"/>
    <w:rsid w:val="00EC63E1"/>
    <w:rsid w:val="00EC65C8"/>
    <w:rsid w:val="00EC685C"/>
    <w:rsid w:val="00EC71B9"/>
    <w:rsid w:val="00EC7B55"/>
    <w:rsid w:val="00EC7C25"/>
    <w:rsid w:val="00ED000D"/>
    <w:rsid w:val="00ED0128"/>
    <w:rsid w:val="00ED0168"/>
    <w:rsid w:val="00ED0CEF"/>
    <w:rsid w:val="00ED1675"/>
    <w:rsid w:val="00ED1B0A"/>
    <w:rsid w:val="00ED20F2"/>
    <w:rsid w:val="00ED24C7"/>
    <w:rsid w:val="00ED4805"/>
    <w:rsid w:val="00ED57B1"/>
    <w:rsid w:val="00ED6165"/>
    <w:rsid w:val="00ED64A4"/>
    <w:rsid w:val="00ED6FC7"/>
    <w:rsid w:val="00ED7E6F"/>
    <w:rsid w:val="00EE024B"/>
    <w:rsid w:val="00EE0303"/>
    <w:rsid w:val="00EE0A0F"/>
    <w:rsid w:val="00EE1D6A"/>
    <w:rsid w:val="00EE1DB5"/>
    <w:rsid w:val="00EE2125"/>
    <w:rsid w:val="00EE3111"/>
    <w:rsid w:val="00EE3AEB"/>
    <w:rsid w:val="00EE41F1"/>
    <w:rsid w:val="00EE5427"/>
    <w:rsid w:val="00EE5501"/>
    <w:rsid w:val="00EE62BC"/>
    <w:rsid w:val="00EE7040"/>
    <w:rsid w:val="00EE72F6"/>
    <w:rsid w:val="00EE7917"/>
    <w:rsid w:val="00EE7EEF"/>
    <w:rsid w:val="00EF436C"/>
    <w:rsid w:val="00EF47C1"/>
    <w:rsid w:val="00EF5263"/>
    <w:rsid w:val="00EF52A2"/>
    <w:rsid w:val="00EF5695"/>
    <w:rsid w:val="00EF64B5"/>
    <w:rsid w:val="00EF6677"/>
    <w:rsid w:val="00EF66A0"/>
    <w:rsid w:val="00EF6B6E"/>
    <w:rsid w:val="00EF71C6"/>
    <w:rsid w:val="00EF725E"/>
    <w:rsid w:val="00EF76CA"/>
    <w:rsid w:val="00EF7740"/>
    <w:rsid w:val="00F00383"/>
    <w:rsid w:val="00F00B24"/>
    <w:rsid w:val="00F01575"/>
    <w:rsid w:val="00F02E4D"/>
    <w:rsid w:val="00F03F5D"/>
    <w:rsid w:val="00F03FBF"/>
    <w:rsid w:val="00F0418F"/>
    <w:rsid w:val="00F041E7"/>
    <w:rsid w:val="00F06FE1"/>
    <w:rsid w:val="00F07439"/>
    <w:rsid w:val="00F07D56"/>
    <w:rsid w:val="00F107BD"/>
    <w:rsid w:val="00F10947"/>
    <w:rsid w:val="00F11C53"/>
    <w:rsid w:val="00F13152"/>
    <w:rsid w:val="00F1332B"/>
    <w:rsid w:val="00F13C6E"/>
    <w:rsid w:val="00F13DAA"/>
    <w:rsid w:val="00F141CF"/>
    <w:rsid w:val="00F1424D"/>
    <w:rsid w:val="00F1438C"/>
    <w:rsid w:val="00F149A5"/>
    <w:rsid w:val="00F15389"/>
    <w:rsid w:val="00F153C6"/>
    <w:rsid w:val="00F16A42"/>
    <w:rsid w:val="00F17873"/>
    <w:rsid w:val="00F2039D"/>
    <w:rsid w:val="00F2041A"/>
    <w:rsid w:val="00F210BC"/>
    <w:rsid w:val="00F21F64"/>
    <w:rsid w:val="00F23F53"/>
    <w:rsid w:val="00F24EB4"/>
    <w:rsid w:val="00F2708A"/>
    <w:rsid w:val="00F27879"/>
    <w:rsid w:val="00F278BA"/>
    <w:rsid w:val="00F27FD3"/>
    <w:rsid w:val="00F30357"/>
    <w:rsid w:val="00F30D31"/>
    <w:rsid w:val="00F31825"/>
    <w:rsid w:val="00F31B5B"/>
    <w:rsid w:val="00F31C99"/>
    <w:rsid w:val="00F3299C"/>
    <w:rsid w:val="00F32BCE"/>
    <w:rsid w:val="00F33E50"/>
    <w:rsid w:val="00F34102"/>
    <w:rsid w:val="00F341EF"/>
    <w:rsid w:val="00F3526F"/>
    <w:rsid w:val="00F35F7E"/>
    <w:rsid w:val="00F368F6"/>
    <w:rsid w:val="00F3714C"/>
    <w:rsid w:val="00F375BA"/>
    <w:rsid w:val="00F406A7"/>
    <w:rsid w:val="00F4078F"/>
    <w:rsid w:val="00F41870"/>
    <w:rsid w:val="00F41B69"/>
    <w:rsid w:val="00F41E5C"/>
    <w:rsid w:val="00F41F0F"/>
    <w:rsid w:val="00F42EEA"/>
    <w:rsid w:val="00F443DF"/>
    <w:rsid w:val="00F44545"/>
    <w:rsid w:val="00F4483F"/>
    <w:rsid w:val="00F448C0"/>
    <w:rsid w:val="00F44DF6"/>
    <w:rsid w:val="00F4596B"/>
    <w:rsid w:val="00F45E93"/>
    <w:rsid w:val="00F47D60"/>
    <w:rsid w:val="00F502C6"/>
    <w:rsid w:val="00F50615"/>
    <w:rsid w:val="00F509FF"/>
    <w:rsid w:val="00F50A05"/>
    <w:rsid w:val="00F5141C"/>
    <w:rsid w:val="00F51A36"/>
    <w:rsid w:val="00F52C43"/>
    <w:rsid w:val="00F531AF"/>
    <w:rsid w:val="00F53817"/>
    <w:rsid w:val="00F53B30"/>
    <w:rsid w:val="00F53D2D"/>
    <w:rsid w:val="00F54340"/>
    <w:rsid w:val="00F54632"/>
    <w:rsid w:val="00F54876"/>
    <w:rsid w:val="00F54E61"/>
    <w:rsid w:val="00F55151"/>
    <w:rsid w:val="00F561FF"/>
    <w:rsid w:val="00F566FD"/>
    <w:rsid w:val="00F57145"/>
    <w:rsid w:val="00F57404"/>
    <w:rsid w:val="00F57CCC"/>
    <w:rsid w:val="00F60735"/>
    <w:rsid w:val="00F60CA8"/>
    <w:rsid w:val="00F613B3"/>
    <w:rsid w:val="00F61476"/>
    <w:rsid w:val="00F61658"/>
    <w:rsid w:val="00F61859"/>
    <w:rsid w:val="00F62093"/>
    <w:rsid w:val="00F628FC"/>
    <w:rsid w:val="00F637AC"/>
    <w:rsid w:val="00F639F8"/>
    <w:rsid w:val="00F646C3"/>
    <w:rsid w:val="00F651A4"/>
    <w:rsid w:val="00F657FF"/>
    <w:rsid w:val="00F664A5"/>
    <w:rsid w:val="00F66D46"/>
    <w:rsid w:val="00F67040"/>
    <w:rsid w:val="00F67346"/>
    <w:rsid w:val="00F67750"/>
    <w:rsid w:val="00F70118"/>
    <w:rsid w:val="00F70BB5"/>
    <w:rsid w:val="00F71113"/>
    <w:rsid w:val="00F7117E"/>
    <w:rsid w:val="00F71661"/>
    <w:rsid w:val="00F72623"/>
    <w:rsid w:val="00F72AFE"/>
    <w:rsid w:val="00F72C93"/>
    <w:rsid w:val="00F73176"/>
    <w:rsid w:val="00F7327A"/>
    <w:rsid w:val="00F738AB"/>
    <w:rsid w:val="00F73991"/>
    <w:rsid w:val="00F7435A"/>
    <w:rsid w:val="00F7463A"/>
    <w:rsid w:val="00F74A4D"/>
    <w:rsid w:val="00F74C05"/>
    <w:rsid w:val="00F75DFE"/>
    <w:rsid w:val="00F763E0"/>
    <w:rsid w:val="00F7661C"/>
    <w:rsid w:val="00F76A23"/>
    <w:rsid w:val="00F770DE"/>
    <w:rsid w:val="00F77113"/>
    <w:rsid w:val="00F77137"/>
    <w:rsid w:val="00F8152D"/>
    <w:rsid w:val="00F81DB1"/>
    <w:rsid w:val="00F83197"/>
    <w:rsid w:val="00F8358D"/>
    <w:rsid w:val="00F83E57"/>
    <w:rsid w:val="00F8404F"/>
    <w:rsid w:val="00F86638"/>
    <w:rsid w:val="00F87BAA"/>
    <w:rsid w:val="00F87E37"/>
    <w:rsid w:val="00F87EA9"/>
    <w:rsid w:val="00F900CB"/>
    <w:rsid w:val="00F90109"/>
    <w:rsid w:val="00F91289"/>
    <w:rsid w:val="00F92CDD"/>
    <w:rsid w:val="00F934E7"/>
    <w:rsid w:val="00F9470D"/>
    <w:rsid w:val="00F94AA7"/>
    <w:rsid w:val="00F952C0"/>
    <w:rsid w:val="00F96326"/>
    <w:rsid w:val="00F96344"/>
    <w:rsid w:val="00F96829"/>
    <w:rsid w:val="00F9773F"/>
    <w:rsid w:val="00F97F61"/>
    <w:rsid w:val="00FA00ED"/>
    <w:rsid w:val="00FA0F71"/>
    <w:rsid w:val="00FA10F3"/>
    <w:rsid w:val="00FA20F4"/>
    <w:rsid w:val="00FA25FF"/>
    <w:rsid w:val="00FA30A7"/>
    <w:rsid w:val="00FA30D0"/>
    <w:rsid w:val="00FA3CE8"/>
    <w:rsid w:val="00FA4DAB"/>
    <w:rsid w:val="00FA5719"/>
    <w:rsid w:val="00FA60A4"/>
    <w:rsid w:val="00FA62AA"/>
    <w:rsid w:val="00FA6356"/>
    <w:rsid w:val="00FA7584"/>
    <w:rsid w:val="00FA76BE"/>
    <w:rsid w:val="00FB0CC6"/>
    <w:rsid w:val="00FB1CC0"/>
    <w:rsid w:val="00FB1FCC"/>
    <w:rsid w:val="00FB2038"/>
    <w:rsid w:val="00FB28F2"/>
    <w:rsid w:val="00FB3024"/>
    <w:rsid w:val="00FB36B0"/>
    <w:rsid w:val="00FB4009"/>
    <w:rsid w:val="00FB424A"/>
    <w:rsid w:val="00FB5ED1"/>
    <w:rsid w:val="00FB64BF"/>
    <w:rsid w:val="00FB7CE5"/>
    <w:rsid w:val="00FB7E83"/>
    <w:rsid w:val="00FC04E4"/>
    <w:rsid w:val="00FC08A0"/>
    <w:rsid w:val="00FC0AD7"/>
    <w:rsid w:val="00FC1706"/>
    <w:rsid w:val="00FC2E7B"/>
    <w:rsid w:val="00FC34A4"/>
    <w:rsid w:val="00FC3564"/>
    <w:rsid w:val="00FC3683"/>
    <w:rsid w:val="00FC37E4"/>
    <w:rsid w:val="00FC5090"/>
    <w:rsid w:val="00FC6A84"/>
    <w:rsid w:val="00FC6EF7"/>
    <w:rsid w:val="00FC7632"/>
    <w:rsid w:val="00FC7CDD"/>
    <w:rsid w:val="00FC7FEF"/>
    <w:rsid w:val="00FD0E85"/>
    <w:rsid w:val="00FD108C"/>
    <w:rsid w:val="00FD12C3"/>
    <w:rsid w:val="00FD3955"/>
    <w:rsid w:val="00FD492D"/>
    <w:rsid w:val="00FD5020"/>
    <w:rsid w:val="00FD6CF1"/>
    <w:rsid w:val="00FE0628"/>
    <w:rsid w:val="00FE1D65"/>
    <w:rsid w:val="00FE2467"/>
    <w:rsid w:val="00FE2AC0"/>
    <w:rsid w:val="00FE2CC6"/>
    <w:rsid w:val="00FE2D9B"/>
    <w:rsid w:val="00FE3041"/>
    <w:rsid w:val="00FE32BA"/>
    <w:rsid w:val="00FE334D"/>
    <w:rsid w:val="00FE3732"/>
    <w:rsid w:val="00FE4A50"/>
    <w:rsid w:val="00FE5132"/>
    <w:rsid w:val="00FE55AD"/>
    <w:rsid w:val="00FE6248"/>
    <w:rsid w:val="00FE74E1"/>
    <w:rsid w:val="00FF015E"/>
    <w:rsid w:val="00FF0494"/>
    <w:rsid w:val="00FF13AA"/>
    <w:rsid w:val="00FF18DF"/>
    <w:rsid w:val="00FF2D14"/>
    <w:rsid w:val="00FF341B"/>
    <w:rsid w:val="00FF34D8"/>
    <w:rsid w:val="00FF3B4E"/>
    <w:rsid w:val="00FF3BAD"/>
    <w:rsid w:val="00FF3D71"/>
    <w:rsid w:val="00FF3F8F"/>
    <w:rsid w:val="00FF428A"/>
    <w:rsid w:val="00FF5B95"/>
    <w:rsid w:val="00FF60C6"/>
    <w:rsid w:val="00FF7514"/>
    <w:rsid w:val="3A1A0E6A"/>
    <w:rsid w:val="79B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169B0"/>
  <w15:chartTrackingRefBased/>
  <w15:docId w15:val="{E1A4D2A0-2D74-4951-9F75-CB5D89EF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E6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16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E616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0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0E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EB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F7711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BA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6A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D75D7E"/>
    <w:pPr>
      <w:tabs>
        <w:tab w:val="left" w:pos="264"/>
      </w:tabs>
      <w:spacing w:after="0" w:line="240" w:lineRule="auto"/>
      <w:ind w:left="264" w:hanging="264"/>
    </w:pPr>
  </w:style>
  <w:style w:type="character" w:styleId="Hyperlink">
    <w:name w:val="Hyperlink"/>
    <w:basedOn w:val="DefaultParagraphFont"/>
    <w:uiPriority w:val="99"/>
    <w:unhideWhenUsed/>
    <w:rsid w:val="004148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25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A77B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7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E8"/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3349B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125EA"/>
    <w:rPr>
      <w:color w:val="2B579A"/>
      <w:shd w:val="clear" w:color="auto" w:fill="E1DFDD"/>
    </w:rPr>
  </w:style>
  <w:style w:type="paragraph" w:customStyle="1" w:styleId="Default">
    <w:name w:val="Default"/>
    <w:rsid w:val="00EB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J-ArticleTitle">
    <w:name w:val="BJ-ArticleTitle"/>
    <w:basedOn w:val="Normal"/>
    <w:rsid w:val="00F87E37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C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C9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C6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4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9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7CB1D2FA6574F8F37A777B4C7F0C7" ma:contentTypeVersion="12" ma:contentTypeDescription="Create a new document." ma:contentTypeScope="" ma:versionID="05ca0b84b5dd0efb14f0a04058cd2cd4">
  <xsd:schema xmlns:xsd="http://www.w3.org/2001/XMLSchema" xmlns:xs="http://www.w3.org/2001/XMLSchema" xmlns:p="http://schemas.microsoft.com/office/2006/metadata/properties" xmlns:ns2="a27d7ec5-d062-47db-85e7-8bc1e494d8a1" xmlns:ns3="6b3d0183-9231-40f1-9921-763eb13c58da" targetNamespace="http://schemas.microsoft.com/office/2006/metadata/properties" ma:root="true" ma:fieldsID="1e11480d205204d7e0a9d54b35fd3403" ns2:_="" ns3:_="">
    <xsd:import namespace="a27d7ec5-d062-47db-85e7-8bc1e494d8a1"/>
    <xsd:import namespace="6b3d0183-9231-40f1-9921-763eb13c5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7ec5-d062-47db-85e7-8bc1e494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0183-9231-40f1-9921-763eb13c5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2FA4-5D67-4D47-BF85-0134C0282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d7ec5-d062-47db-85e7-8bc1e494d8a1"/>
    <ds:schemaRef ds:uri="6b3d0183-9231-40f1-9921-763eb13c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55EC6-49AE-4862-832B-935F36D44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677EC-BD89-439C-912A-ADD5EB7D2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B4E28-428D-E541-B286-18E5507E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Links>
    <vt:vector size="12" baseType="variant">
      <vt:variant>
        <vt:i4>5963841</vt:i4>
      </vt:variant>
      <vt:variant>
        <vt:i4>6</vt:i4>
      </vt:variant>
      <vt:variant>
        <vt:i4>0</vt:i4>
      </vt:variant>
      <vt:variant>
        <vt:i4>5</vt:i4>
      </vt:variant>
      <vt:variant>
        <vt:lpwstr>http://www.clinicalstudydatarequest.com/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mailto:Nina.Shah@ucsf.edu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Shaw</dc:creator>
  <cp:keywords/>
  <dc:description/>
  <cp:lastModifiedBy>Johanna Todd</cp:lastModifiedBy>
  <cp:revision>2</cp:revision>
  <dcterms:created xsi:type="dcterms:W3CDTF">2021-06-02T10:00:00Z</dcterms:created>
  <dcterms:modified xsi:type="dcterms:W3CDTF">2021-06-02T10:00:00Z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0x0101003C87CB1D2FA6574F8F37A777B4C7F0C7</vt:lpwstr>
  </property>
  <property fmtid="{D5CDD505-2E9C-101B-9397-08002B2CF9AE}" pid="3" name="ZOTERO_PREF_1">
    <vt:lpwstr>&lt;data data-version="3" zotero-version="5.0.96.2"&gt;&lt;session id="HqoOHq0Q"/&gt;&lt;style id="http://www.zotero.org/styles/future-oncology" hasBibliography="1" bibliographyStyleHasBeenSet="1"/&gt;&lt;prefs&gt;&lt;pref name="fieldType" value="Field"/&gt;&lt;/prefs&gt;&lt;/data&gt;</vt:lpwstr>
  </property>
</Properties>
</file>