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D5D83E" w14:textId="77777777" w:rsidR="00374BAE" w:rsidRDefault="00374BAE" w:rsidP="00374BAE">
      <w:pPr>
        <w:spacing w:line="480" w:lineRule="auto"/>
        <w:rPr>
          <w:rFonts w:ascii="Times New Roman" w:hAnsi="Times New Roman" w:cs="Times New Roman"/>
          <w:b/>
          <w:sz w:val="24"/>
          <w:szCs w:val="24"/>
        </w:rPr>
      </w:pPr>
      <w:r>
        <w:rPr>
          <w:rFonts w:ascii="Times New Roman" w:hAnsi="Times New Roman" w:cs="Times New Roman"/>
          <w:b/>
          <w:sz w:val="24"/>
          <w:szCs w:val="24"/>
        </w:rPr>
        <w:t>Computational drug repositioning for ischemic stroke: Neuroprotective drug discovery</w:t>
      </w:r>
    </w:p>
    <w:p w14:paraId="07D59D1E" w14:textId="77777777" w:rsidR="00374BAE" w:rsidRDefault="00374BAE" w:rsidP="00374BAE">
      <w:pPr>
        <w:autoSpaceDE w:val="0"/>
        <w:autoSpaceDN w:val="0"/>
        <w:adjustRightInd w:val="0"/>
        <w:spacing w:line="480" w:lineRule="auto"/>
        <w:rPr>
          <w:rFonts w:ascii="Times New Roman" w:eastAsia="宋体" w:hAnsi="Times New Roman" w:cs="Times New Roman"/>
          <w:sz w:val="24"/>
          <w:szCs w:val="24"/>
          <w:vertAlign w:val="superscript"/>
        </w:rPr>
      </w:pPr>
      <w:proofErr w:type="spellStart"/>
      <w:r>
        <w:rPr>
          <w:rFonts w:ascii="Times New Roman" w:eastAsia="宋体" w:hAnsi="Times New Roman" w:cs="Times New Roman"/>
          <w:sz w:val="24"/>
          <w:szCs w:val="24"/>
        </w:rPr>
        <w:t>Yunong</w:t>
      </w:r>
      <w:proofErr w:type="spellEnd"/>
      <w:r>
        <w:rPr>
          <w:rFonts w:ascii="Times New Roman" w:eastAsia="宋体" w:hAnsi="Times New Roman" w:cs="Times New Roman"/>
          <w:sz w:val="24"/>
          <w:szCs w:val="24"/>
        </w:rPr>
        <w:t xml:space="preserve"> Li</w:t>
      </w:r>
      <w:r>
        <w:rPr>
          <w:rFonts w:ascii="Times New Roman" w:eastAsia="宋体" w:hAnsi="Times New Roman" w:cs="Times New Roman"/>
          <w:sz w:val="24"/>
          <w:szCs w:val="24"/>
          <w:vertAlign w:val="superscript"/>
        </w:rPr>
        <w:t>1#</w:t>
      </w:r>
      <w:r>
        <w:rPr>
          <w:rFonts w:ascii="Times New Roman" w:eastAsia="宋体" w:hAnsi="Times New Roman" w:cs="Times New Roman"/>
          <w:sz w:val="24"/>
          <w:szCs w:val="24"/>
        </w:rPr>
        <w:t xml:space="preserve">, </w:t>
      </w:r>
      <w:proofErr w:type="spellStart"/>
      <w:r>
        <w:rPr>
          <w:rFonts w:ascii="Times New Roman" w:eastAsia="宋体" w:hAnsi="Times New Roman" w:cs="Times New Roman"/>
          <w:sz w:val="24"/>
          <w:szCs w:val="24"/>
        </w:rPr>
        <w:t>Jingbo</w:t>
      </w:r>
      <w:proofErr w:type="spellEnd"/>
      <w:r>
        <w:rPr>
          <w:rFonts w:ascii="Times New Roman" w:eastAsia="宋体" w:hAnsi="Times New Roman" w:cs="Times New Roman"/>
          <w:sz w:val="24"/>
          <w:szCs w:val="24"/>
        </w:rPr>
        <w:t xml:space="preserve"> Yang</w:t>
      </w:r>
      <w:r>
        <w:rPr>
          <w:rFonts w:ascii="Times New Roman" w:eastAsia="宋体" w:hAnsi="Times New Roman" w:cs="Times New Roman"/>
          <w:sz w:val="24"/>
          <w:szCs w:val="24"/>
          <w:vertAlign w:val="superscript"/>
        </w:rPr>
        <w:t>1</w:t>
      </w:r>
      <w:r>
        <w:rPr>
          <w:rFonts w:ascii="Times New Roman" w:eastAsia="宋体" w:hAnsi="Times New Roman" w:cs="Times New Roman" w:hint="eastAsia"/>
          <w:sz w:val="24"/>
          <w:szCs w:val="24"/>
          <w:vertAlign w:val="superscript"/>
        </w:rPr>
        <w:t>#</w:t>
      </w:r>
      <w:r>
        <w:rPr>
          <w:rFonts w:ascii="Times New Roman" w:eastAsia="宋体" w:hAnsi="Times New Roman" w:cs="Times New Roman"/>
          <w:sz w:val="24"/>
          <w:szCs w:val="24"/>
        </w:rPr>
        <w:t>, Yan Zhang</w:t>
      </w:r>
      <w:r>
        <w:rPr>
          <w:rFonts w:ascii="Times New Roman" w:eastAsia="宋体" w:hAnsi="Times New Roman" w:cs="Times New Roman"/>
          <w:sz w:val="24"/>
          <w:szCs w:val="24"/>
          <w:vertAlign w:val="superscript"/>
        </w:rPr>
        <w:t>1</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proofErr w:type="spellStart"/>
      <w:r>
        <w:rPr>
          <w:rFonts w:ascii="Times New Roman" w:eastAsia="宋体" w:hAnsi="Times New Roman" w:cs="Times New Roman" w:hint="eastAsia"/>
          <w:sz w:val="24"/>
          <w:szCs w:val="24"/>
        </w:rPr>
        <w:t>Qingkang</w:t>
      </w:r>
      <w:proofErr w:type="spellEnd"/>
      <w:r>
        <w:rPr>
          <w:rFonts w:ascii="Times New Roman" w:eastAsia="宋体" w:hAnsi="Times New Roman" w:cs="Times New Roman" w:hint="eastAsia"/>
          <w:sz w:val="24"/>
          <w:szCs w:val="24"/>
        </w:rPr>
        <w:t xml:space="preserve"> Meng</w:t>
      </w:r>
      <w:r>
        <w:rPr>
          <w:rFonts w:ascii="Times New Roman" w:eastAsia="宋体" w:hAnsi="Times New Roman" w:cs="Times New Roman"/>
          <w:sz w:val="24"/>
          <w:szCs w:val="24"/>
          <w:vertAlign w:val="superscript"/>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Andreas Bender</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 xml:space="preserve">, </w:t>
      </w:r>
      <w:proofErr w:type="spellStart"/>
      <w:r>
        <w:rPr>
          <w:rFonts w:ascii="Times New Roman" w:eastAsia="宋体" w:hAnsi="Times New Roman" w:cs="Times New Roman"/>
          <w:sz w:val="24"/>
          <w:szCs w:val="24"/>
        </w:rPr>
        <w:t>Xiujie</w:t>
      </w:r>
      <w:proofErr w:type="spellEnd"/>
      <w:r>
        <w:rPr>
          <w:rFonts w:ascii="Times New Roman" w:eastAsia="宋体" w:hAnsi="Times New Roman" w:cs="Times New Roman"/>
          <w:sz w:val="24"/>
          <w:szCs w:val="24"/>
        </w:rPr>
        <w:t xml:space="preserve"> Chen</w:t>
      </w:r>
      <w:r>
        <w:rPr>
          <w:rFonts w:ascii="Times New Roman" w:eastAsia="宋体" w:hAnsi="Times New Roman" w:cs="Times New Roman"/>
          <w:sz w:val="24"/>
          <w:szCs w:val="24"/>
          <w:vertAlign w:val="superscript"/>
        </w:rPr>
        <w:t>1*</w:t>
      </w:r>
    </w:p>
    <w:p w14:paraId="28F92C2A" w14:textId="77777777" w:rsidR="00374BAE" w:rsidRDefault="00374BAE" w:rsidP="00374BAE">
      <w:pPr>
        <w:autoSpaceDE w:val="0"/>
        <w:autoSpaceDN w:val="0"/>
        <w:adjustRightInd w:val="0"/>
        <w:spacing w:line="480" w:lineRule="auto"/>
        <w:rPr>
          <w:rFonts w:ascii="Times New Roman" w:eastAsia="宋体" w:hAnsi="Times New Roman" w:cs="Times New Roman"/>
          <w:sz w:val="24"/>
          <w:szCs w:val="24"/>
        </w:rPr>
      </w:pPr>
      <w:r>
        <w:rPr>
          <w:rFonts w:ascii="Times New Roman" w:eastAsia="宋体" w:hAnsi="Times New Roman" w:cs="Times New Roman"/>
          <w:sz w:val="24"/>
          <w:szCs w:val="24"/>
        </w:rPr>
        <w:t>1. Harbin Medical University, Harbin, Heilongjiang, China.</w:t>
      </w:r>
    </w:p>
    <w:p w14:paraId="7A201DCC" w14:textId="77777777" w:rsidR="00374BAE" w:rsidRDefault="00374BAE" w:rsidP="00374BAE">
      <w:pPr>
        <w:autoSpaceDE w:val="0"/>
        <w:autoSpaceDN w:val="0"/>
        <w:adjustRightInd w:val="0"/>
        <w:spacing w:line="480" w:lineRule="auto"/>
        <w:rPr>
          <w:rFonts w:ascii="Times New Roman" w:eastAsia="宋体" w:hAnsi="Times New Roman" w:cs="Times New Roman"/>
          <w:sz w:val="24"/>
          <w:szCs w:val="24"/>
        </w:rPr>
      </w:pPr>
      <w:r>
        <w:rPr>
          <w:rFonts w:ascii="Times New Roman" w:eastAsia="宋体" w:hAnsi="Times New Roman" w:cs="Times New Roman"/>
          <w:sz w:val="24"/>
          <w:szCs w:val="24"/>
        </w:rPr>
        <w:t>2. Department of Chemistry, University of Cambridge, Cambridge, United Kingdom.</w:t>
      </w:r>
    </w:p>
    <w:p w14:paraId="3D241372" w14:textId="77777777" w:rsidR="00374BAE" w:rsidRDefault="00374BAE" w:rsidP="00374BAE">
      <w:pPr>
        <w:autoSpaceDE w:val="0"/>
        <w:autoSpaceDN w:val="0"/>
        <w:adjustRightInd w:val="0"/>
        <w:spacing w:line="48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These authors contribute equally to this work.</w:t>
      </w:r>
    </w:p>
    <w:p w14:paraId="2C0ACB77" w14:textId="77777777" w:rsidR="00374BAE" w:rsidRDefault="00374BAE" w:rsidP="00374BAE">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*Corresponding authors:</w:t>
      </w:r>
    </w:p>
    <w:p w14:paraId="352C5FE9" w14:textId="77777777" w:rsidR="00374BAE" w:rsidRDefault="00374BAE" w:rsidP="00374BAE">
      <w:pPr>
        <w:numPr>
          <w:ilvl w:val="0"/>
          <w:numId w:val="1"/>
        </w:numPr>
        <w:spacing w:line="480" w:lineRule="auto"/>
        <w:rPr>
          <w:rFonts w:ascii="Times New Roman" w:hAnsi="Times New Roman" w:cs="Times New Roman"/>
          <w:b/>
          <w:sz w:val="24"/>
          <w:szCs w:val="24"/>
        </w:rPr>
      </w:pPr>
      <w:proofErr w:type="spellStart"/>
      <w:r>
        <w:rPr>
          <w:rFonts w:ascii="Times New Roman" w:hAnsi="Times New Roman" w:cs="Times New Roman"/>
          <w:b/>
          <w:sz w:val="24"/>
          <w:szCs w:val="24"/>
        </w:rPr>
        <w:t>Xiujie</w:t>
      </w:r>
      <w:proofErr w:type="spellEnd"/>
      <w:r>
        <w:rPr>
          <w:rFonts w:ascii="Times New Roman" w:hAnsi="Times New Roman" w:cs="Times New Roman"/>
          <w:b/>
          <w:sz w:val="24"/>
          <w:szCs w:val="24"/>
        </w:rPr>
        <w:t xml:space="preserve"> Chen, Harbin Medical University, Harbin 150001, Heilongjiang, China. Telephone: +86-451-86352422, Email: chenxiujie@ems.hrbmu.edu.cn.</w:t>
      </w:r>
    </w:p>
    <w:p w14:paraId="026832A8" w14:textId="77777777" w:rsidR="00374BAE" w:rsidRDefault="00374BAE" w:rsidP="00374BAE">
      <w:pPr>
        <w:numPr>
          <w:ilvl w:val="0"/>
          <w:numId w:val="1"/>
        </w:numPr>
        <w:spacing w:line="480" w:lineRule="auto"/>
        <w:rPr>
          <w:rFonts w:ascii="Times New Roman" w:hAnsi="Times New Roman" w:cs="Times New Roman"/>
          <w:b/>
          <w:sz w:val="24"/>
          <w:szCs w:val="24"/>
        </w:rPr>
      </w:pPr>
      <w:r>
        <w:rPr>
          <w:rFonts w:ascii="Times New Roman" w:hAnsi="Times New Roman" w:cs="Times New Roman"/>
          <w:b/>
          <w:sz w:val="24"/>
          <w:szCs w:val="24"/>
        </w:rPr>
        <w:t>Andreas Bender, Cambridge university, Cambridge CB2 1 EW, United Kingdom. Mobile Phone: +44(79) 06158533, Email: ab454@cam.ac.uk.</w:t>
      </w:r>
    </w:p>
    <w:p w14:paraId="7CF5869A" w14:textId="68519432" w:rsidR="00374BAE" w:rsidRPr="00C27120" w:rsidRDefault="00374BAE" w:rsidP="004433DD">
      <w:pPr>
        <w:autoSpaceDE w:val="0"/>
        <w:autoSpaceDN w:val="0"/>
        <w:adjustRightInd w:val="0"/>
        <w:spacing w:line="480" w:lineRule="auto"/>
        <w:rPr>
          <w:rFonts w:ascii="Times New Roman" w:hAnsi="Times New Roman" w:cs="Times New Roman"/>
          <w:bCs/>
          <w:kern w:val="0"/>
          <w:sz w:val="24"/>
          <w:szCs w:val="24"/>
        </w:rPr>
      </w:pPr>
      <w:r w:rsidRPr="00C27120">
        <w:rPr>
          <w:rFonts w:ascii="Times New Roman" w:hAnsi="Times New Roman" w:cs="Times New Roman" w:hint="eastAsia"/>
          <w:bCs/>
          <w:kern w:val="0"/>
          <w:sz w:val="24"/>
          <w:szCs w:val="24"/>
        </w:rPr>
        <w:t>（</w:t>
      </w:r>
      <w:r w:rsidRPr="00C27120">
        <w:rPr>
          <w:rFonts w:ascii="Times New Roman" w:hAnsi="Times New Roman" w:cs="Times New Roman" w:hint="eastAsia"/>
          <w:bCs/>
          <w:kern w:val="0"/>
          <w:sz w:val="24"/>
          <w:szCs w:val="24"/>
        </w:rPr>
        <w:t>t</w:t>
      </w:r>
      <w:r w:rsidRPr="00C27120">
        <w:rPr>
          <w:rFonts w:ascii="Times New Roman" w:hAnsi="Times New Roman" w:cs="Times New Roman"/>
          <w:bCs/>
          <w:kern w:val="0"/>
          <w:sz w:val="24"/>
          <w:szCs w:val="24"/>
        </w:rPr>
        <w:t xml:space="preserve">he </w:t>
      </w:r>
      <w:r w:rsidRPr="00C27120">
        <w:rPr>
          <w:rFonts w:ascii="Times New Roman" w:hAnsi="Times New Roman" w:cs="Times New Roman"/>
          <w:bCs/>
          <w:kern w:val="0"/>
          <w:sz w:val="24"/>
          <w:szCs w:val="24"/>
        </w:rPr>
        <w:t>submission</w:t>
      </w:r>
      <w:r w:rsidRPr="00C27120">
        <w:rPr>
          <w:rFonts w:ascii="Times New Roman" w:hAnsi="Times New Roman" w:cs="Times New Roman"/>
          <w:bCs/>
          <w:kern w:val="0"/>
          <w:sz w:val="24"/>
          <w:szCs w:val="24"/>
        </w:rPr>
        <w:t xml:space="preserve"> contains 5 </w:t>
      </w:r>
      <w:r w:rsidRPr="00C27120">
        <w:rPr>
          <w:rFonts w:ascii="Times New Roman" w:hAnsi="Times New Roman" w:cs="Times New Roman"/>
          <w:bCs/>
          <w:kern w:val="0"/>
          <w:sz w:val="24"/>
          <w:szCs w:val="24"/>
        </w:rPr>
        <w:t>Figure</w:t>
      </w:r>
      <w:r w:rsidRPr="00C27120">
        <w:rPr>
          <w:rFonts w:ascii="Times New Roman" w:hAnsi="Times New Roman" w:cs="Times New Roman"/>
          <w:bCs/>
          <w:kern w:val="0"/>
          <w:sz w:val="24"/>
          <w:szCs w:val="24"/>
        </w:rPr>
        <w:t>s,</w:t>
      </w:r>
      <w:r w:rsidR="00774E24" w:rsidRPr="00C27120">
        <w:rPr>
          <w:rFonts w:ascii="Times New Roman" w:hAnsi="Times New Roman" w:cs="Times New Roman"/>
          <w:bCs/>
          <w:kern w:val="0"/>
          <w:sz w:val="24"/>
          <w:szCs w:val="24"/>
        </w:rPr>
        <w:t xml:space="preserve"> 5</w:t>
      </w:r>
      <w:r w:rsidRPr="00C27120">
        <w:rPr>
          <w:rFonts w:ascii="Times New Roman" w:hAnsi="Times New Roman" w:cs="Times New Roman"/>
          <w:bCs/>
          <w:kern w:val="0"/>
          <w:sz w:val="24"/>
          <w:szCs w:val="24"/>
        </w:rPr>
        <w:t xml:space="preserve"> </w:t>
      </w:r>
      <w:r w:rsidRPr="00C27120">
        <w:rPr>
          <w:rFonts w:ascii="Times New Roman" w:hAnsi="Times New Roman" w:cs="Times New Roman"/>
          <w:bCs/>
          <w:kern w:val="0"/>
          <w:sz w:val="24"/>
          <w:szCs w:val="24"/>
        </w:rPr>
        <w:t>Supplementary Table</w:t>
      </w:r>
      <w:r w:rsidRPr="00C27120">
        <w:rPr>
          <w:rFonts w:ascii="Times New Roman" w:hAnsi="Times New Roman" w:cs="Times New Roman"/>
          <w:bCs/>
          <w:kern w:val="0"/>
          <w:sz w:val="24"/>
          <w:szCs w:val="24"/>
        </w:rPr>
        <w:t>s</w:t>
      </w:r>
      <w:r w:rsidR="00774E24" w:rsidRPr="00C27120">
        <w:rPr>
          <w:rFonts w:ascii="Times New Roman" w:hAnsi="Times New Roman" w:cs="Times New Roman"/>
          <w:bCs/>
          <w:kern w:val="0"/>
          <w:sz w:val="24"/>
          <w:szCs w:val="24"/>
        </w:rPr>
        <w:t xml:space="preserve"> and</w:t>
      </w:r>
      <w:r w:rsidRPr="00C27120">
        <w:rPr>
          <w:rFonts w:ascii="Times New Roman" w:hAnsi="Times New Roman" w:cs="Times New Roman"/>
          <w:bCs/>
          <w:kern w:val="0"/>
          <w:sz w:val="24"/>
          <w:szCs w:val="24"/>
        </w:rPr>
        <w:t xml:space="preserve"> 2 </w:t>
      </w:r>
      <w:r w:rsidRPr="00C27120">
        <w:rPr>
          <w:rFonts w:ascii="Times New Roman" w:hAnsi="Times New Roman" w:cs="Times New Roman"/>
          <w:bCs/>
          <w:kern w:val="0"/>
          <w:sz w:val="24"/>
          <w:szCs w:val="24"/>
        </w:rPr>
        <w:t>Supplementary Figure</w:t>
      </w:r>
      <w:r w:rsidRPr="00C27120">
        <w:rPr>
          <w:rFonts w:ascii="Times New Roman" w:hAnsi="Times New Roman" w:cs="Times New Roman"/>
          <w:bCs/>
          <w:kern w:val="0"/>
          <w:sz w:val="24"/>
          <w:szCs w:val="24"/>
        </w:rPr>
        <w:t>s</w:t>
      </w:r>
      <w:r w:rsidRPr="00C27120">
        <w:rPr>
          <w:rFonts w:ascii="Times New Roman" w:hAnsi="Times New Roman" w:cs="Times New Roman" w:hint="eastAsia"/>
          <w:bCs/>
          <w:kern w:val="0"/>
          <w:sz w:val="24"/>
          <w:szCs w:val="24"/>
        </w:rPr>
        <w:t>）</w:t>
      </w:r>
    </w:p>
    <w:p w14:paraId="2EA5320B" w14:textId="196CC606" w:rsidR="004433DD" w:rsidRDefault="004433DD" w:rsidP="004433DD">
      <w:pPr>
        <w:autoSpaceDE w:val="0"/>
        <w:autoSpaceDN w:val="0"/>
        <w:adjustRightInd w:val="0"/>
        <w:spacing w:line="480" w:lineRule="auto"/>
        <w:rPr>
          <w:rFonts w:ascii="Times New Roman" w:hAnsi="Times New Roman" w:cs="Times New Roman"/>
          <w:b/>
          <w:kern w:val="0"/>
          <w:sz w:val="24"/>
          <w:szCs w:val="24"/>
        </w:rPr>
      </w:pPr>
      <w:r w:rsidRPr="00A11388">
        <w:rPr>
          <w:rFonts w:ascii="Times New Roman" w:hAnsi="Times New Roman" w:cs="Times New Roman"/>
          <w:b/>
          <w:kern w:val="0"/>
          <w:sz w:val="24"/>
          <w:szCs w:val="24"/>
        </w:rPr>
        <w:t>Materials and Methods</w:t>
      </w:r>
    </w:p>
    <w:p w14:paraId="177EE210" w14:textId="77777777" w:rsidR="00DA532A" w:rsidRDefault="00DA532A" w:rsidP="00852DD3">
      <w:pPr>
        <w:autoSpaceDE w:val="0"/>
        <w:autoSpaceDN w:val="0"/>
        <w:adjustRightInd w:val="0"/>
        <w:spacing w:line="480" w:lineRule="auto"/>
        <w:rPr>
          <w:rFonts w:ascii="Times New Roman" w:hAnsi="Times New Roman" w:cs="Times New Roman"/>
          <w:b/>
          <w:bCs/>
          <w:sz w:val="24"/>
          <w:szCs w:val="24"/>
        </w:rPr>
      </w:pPr>
      <w:r w:rsidRPr="00A11388">
        <w:rPr>
          <w:rFonts w:ascii="Times New Roman" w:hAnsi="Times New Roman" w:cs="Times New Roman"/>
          <w:b/>
          <w:bCs/>
          <w:sz w:val="24"/>
          <w:szCs w:val="24"/>
        </w:rPr>
        <w:t xml:space="preserve">Identification and </w:t>
      </w:r>
      <w:r w:rsidRPr="00A11388">
        <w:rPr>
          <w:rFonts w:ascii="Times New Roman" w:eastAsia="宋体" w:hAnsi="Times New Roman" w:cs="Times New Roman"/>
          <w:b/>
          <w:color w:val="000000"/>
          <w:sz w:val="24"/>
          <w:szCs w:val="24"/>
        </w:rPr>
        <w:t>quantification of</w:t>
      </w:r>
      <w:r w:rsidRPr="00A11388">
        <w:rPr>
          <w:rFonts w:ascii="Times New Roman" w:hAnsi="Times New Roman" w:cs="Times New Roman"/>
          <w:b/>
          <w:bCs/>
          <w:sz w:val="24"/>
          <w:szCs w:val="24"/>
        </w:rPr>
        <w:t xml:space="preserve"> gene-domain-substructure-drug relationships</w:t>
      </w:r>
    </w:p>
    <w:p w14:paraId="79B350A8" w14:textId="4BA02BD4" w:rsidR="00DA532A" w:rsidRPr="00A11388" w:rsidRDefault="00DA532A" w:rsidP="00DA532A">
      <w:pPr>
        <w:autoSpaceDE w:val="0"/>
        <w:autoSpaceDN w:val="0"/>
        <w:adjustRightInd w:val="0"/>
        <w:spacing w:line="480" w:lineRule="auto"/>
        <w:ind w:firstLine="420"/>
        <w:rPr>
          <w:rFonts w:ascii="Times New Roman" w:hAnsi="Times New Roman" w:cs="Times New Roman"/>
          <w:bCs/>
          <w:sz w:val="24"/>
          <w:szCs w:val="24"/>
        </w:rPr>
      </w:pPr>
      <w:r w:rsidRPr="00A11388">
        <w:rPr>
          <w:rFonts w:ascii="Times New Roman" w:hAnsi="Times New Roman" w:cs="Times New Roman"/>
          <w:bCs/>
          <w:sz w:val="24"/>
          <w:szCs w:val="24"/>
        </w:rPr>
        <w:t xml:space="preserve">Gene-domain, substructure-drug and domain-substructure relationships were extracted by the following steps, respectively. Step 1: </w:t>
      </w:r>
      <w:r w:rsidRPr="00A11388">
        <w:rPr>
          <w:rFonts w:ascii="Times New Roman" w:eastAsia="宋体" w:hAnsi="Times New Roman" w:cs="Times New Roman"/>
          <w:sz w:val="24"/>
          <w:szCs w:val="24"/>
        </w:rPr>
        <w:t xml:space="preserve">we identified the proteins corresponding to the prioritized candidate genes in DAVID database and further utilized the method of web crawler to extract domain data related to proteins in </w:t>
      </w:r>
      <w:proofErr w:type="spellStart"/>
      <w:r w:rsidRPr="00A11388">
        <w:rPr>
          <w:rFonts w:ascii="Times New Roman" w:eastAsia="宋体" w:hAnsi="Times New Roman" w:cs="Times New Roman"/>
          <w:sz w:val="24"/>
          <w:szCs w:val="24"/>
        </w:rPr>
        <w:t>UniProt</w:t>
      </w:r>
      <w:proofErr w:type="spellEnd"/>
      <w:r w:rsidRPr="00A11388">
        <w:rPr>
          <w:rFonts w:ascii="Times New Roman" w:eastAsia="宋体" w:hAnsi="Times New Roman" w:cs="Times New Roman"/>
          <w:sz w:val="24"/>
          <w:szCs w:val="24"/>
        </w:rPr>
        <w:t xml:space="preserve"> database</w:t>
      </w:r>
      <w:r w:rsidRPr="00DA532A">
        <w:rPr>
          <w:rFonts w:ascii="Times New Roman" w:eastAsia="宋体" w:hAnsi="Times New Roman" w:cs="Times New Roman"/>
          <w:sz w:val="24"/>
          <w:szCs w:val="24"/>
        </w:rPr>
        <w:t>. Thus</w:t>
      </w:r>
      <w:r w:rsidRPr="00A11388">
        <w:rPr>
          <w:rFonts w:ascii="Times New Roman" w:eastAsia="宋体" w:hAnsi="Times New Roman" w:cs="Times New Roman"/>
          <w:sz w:val="24"/>
          <w:szCs w:val="24"/>
        </w:rPr>
        <w:t xml:space="preserve">, we obtained the gene-domain relationships. Step 2: we searched </w:t>
      </w:r>
      <w:proofErr w:type="spellStart"/>
      <w:r w:rsidRPr="00A11388">
        <w:rPr>
          <w:rFonts w:ascii="Times New Roman" w:eastAsia="宋体" w:hAnsi="Times New Roman" w:cs="Times New Roman"/>
          <w:sz w:val="24"/>
          <w:szCs w:val="24"/>
        </w:rPr>
        <w:t>DrugBank</w:t>
      </w:r>
      <w:proofErr w:type="spellEnd"/>
      <w:r w:rsidRPr="00A11388">
        <w:rPr>
          <w:rFonts w:ascii="Times New Roman" w:eastAsia="宋体" w:hAnsi="Times New Roman" w:cs="Times New Roman"/>
          <w:sz w:val="24"/>
          <w:szCs w:val="24"/>
        </w:rPr>
        <w:t xml:space="preserve"> database and PubChem database for the relationships between the approved </w:t>
      </w:r>
      <w:r w:rsidRPr="00A11388">
        <w:rPr>
          <w:rFonts w:ascii="Times New Roman" w:eastAsia="宋体" w:hAnsi="Times New Roman" w:cs="Times New Roman"/>
          <w:sz w:val="24"/>
          <w:szCs w:val="24"/>
        </w:rPr>
        <w:lastRenderedPageBreak/>
        <w:t>small molecule drugs and their substructures.</w:t>
      </w:r>
      <w:r w:rsidRPr="00A11388">
        <w:rPr>
          <w:rFonts w:ascii="Times New Roman" w:hAnsi="Times New Roman" w:cs="Times New Roman"/>
          <w:bCs/>
          <w:sz w:val="24"/>
          <w:szCs w:val="24"/>
        </w:rPr>
        <w:t xml:space="preserve"> </w:t>
      </w:r>
      <w:r w:rsidRPr="00A11388">
        <w:rPr>
          <w:rFonts w:ascii="Times New Roman" w:eastAsia="宋体" w:hAnsi="Times New Roman" w:cs="Times New Roman"/>
          <w:sz w:val="24"/>
          <w:szCs w:val="24"/>
        </w:rPr>
        <w:t xml:space="preserve">Step 3: </w:t>
      </w:r>
      <w:r w:rsidRPr="00A11388">
        <w:rPr>
          <w:rFonts w:ascii="Times New Roman" w:eastAsia="宋体" w:hAnsi="Times New Roman" w:cs="Times New Roman"/>
          <w:color w:val="000000"/>
          <w:sz w:val="24"/>
          <w:szCs w:val="24"/>
        </w:rPr>
        <w:t xml:space="preserve">drug-target interaction pairs from </w:t>
      </w:r>
      <w:proofErr w:type="spellStart"/>
      <w:r w:rsidRPr="00A11388">
        <w:rPr>
          <w:rFonts w:ascii="Times New Roman" w:eastAsia="宋体" w:hAnsi="Times New Roman" w:cs="Times New Roman"/>
          <w:color w:val="000000"/>
          <w:sz w:val="24"/>
          <w:szCs w:val="24"/>
        </w:rPr>
        <w:t>DrugBank</w:t>
      </w:r>
      <w:proofErr w:type="spellEnd"/>
      <w:r w:rsidRPr="00A11388">
        <w:rPr>
          <w:rFonts w:ascii="Times New Roman" w:eastAsia="宋体" w:hAnsi="Times New Roman" w:cs="Times New Roman"/>
          <w:color w:val="000000"/>
          <w:sz w:val="24"/>
          <w:szCs w:val="24"/>
        </w:rPr>
        <w:t xml:space="preserve"> database and “L1LOG, L1SVM” two methods provided in the literatures were used to predict the relationships between drug substructures and protein domains </w:t>
      </w:r>
      <w:r w:rsidRPr="00A11388">
        <w:rPr>
          <w:rFonts w:ascii="Times New Roman" w:eastAsia="宋体" w:hAnsi="Times New Roman" w:cs="Times New Roman"/>
          <w:color w:val="000000"/>
          <w:sz w:val="24"/>
          <w:szCs w:val="24"/>
        </w:rPr>
        <w:fldChar w:fldCharType="begin"/>
      </w:r>
      <w:r w:rsidR="008128B4">
        <w:rPr>
          <w:rFonts w:ascii="Times New Roman" w:eastAsia="宋体" w:hAnsi="Times New Roman" w:cs="Times New Roman"/>
          <w:color w:val="000000"/>
          <w:sz w:val="24"/>
          <w:szCs w:val="24"/>
        </w:rPr>
        <w:instrText xml:space="preserve"> ADDIN EN.CITE &lt;EndNote&gt;&lt;Cite&gt;&lt;Author&gt;Tabei&lt;/Author&gt;&lt;Year&gt;2012&lt;/Year&gt;&lt;RecNum&gt;150&lt;/RecNum&gt;&lt;DisplayText&gt;&lt;style face="superscript"&gt;1&lt;/style&gt;&lt;/DisplayText&gt;&lt;record&gt;&lt;rec-number&gt;150&lt;/rec-number&gt;&lt;foreign-keys&gt;&lt;key app="EN" db-id="d5r5dfzd2vep5eepr0b5s0ai99zsp0favxpx"&gt;150&lt;/key&gt;&lt;/foreign-keys&gt;&lt;ref-type name="Journal Article"&gt;17&lt;/ref-type&gt;&lt;contributors&gt;&lt;authors&gt;&lt;author&gt;Tabei, Yasuo&lt;/author&gt;&lt;author&gt;Pauwels, Edouard&lt;/author&gt;&lt;author&gt;Stoven, Véronique&lt;/author&gt;&lt;author&gt;Takemoto, Kazuhiro&lt;/author&gt;&lt;author&gt;Yamanishi, Yoshihiro&lt;/author&gt;&lt;/authors&gt;&lt;/contributors&gt;&lt;titles&gt;&lt;title&gt;Identification of chemogenomic features from drug–target interaction networks using interpretable classifiers&lt;/title&gt;&lt;secondary-title&gt;Bioinformatics&lt;/secondary-title&gt;&lt;/titles&gt;&lt;pages&gt;i487-i494&lt;/pages&gt;&lt;volume&gt;28&lt;/volume&gt;&lt;number&gt;18&lt;/number&gt;&lt;dates&gt;&lt;year&gt;2012&lt;/year&gt;&lt;/dates&gt;&lt;isbn&gt;1460-2059&lt;/isbn&gt;&lt;urls&gt;&lt;/urls&gt;&lt;/record&gt;&lt;/Cite&gt;&lt;/EndNote&gt;</w:instrText>
      </w:r>
      <w:r w:rsidRPr="00A11388">
        <w:rPr>
          <w:rFonts w:ascii="Times New Roman" w:eastAsia="宋体" w:hAnsi="Times New Roman" w:cs="Times New Roman"/>
          <w:color w:val="000000"/>
          <w:sz w:val="24"/>
          <w:szCs w:val="24"/>
        </w:rPr>
        <w:fldChar w:fldCharType="separate"/>
      </w:r>
      <w:r w:rsidR="008128B4" w:rsidRPr="008128B4">
        <w:rPr>
          <w:rFonts w:ascii="Times New Roman" w:eastAsia="宋体" w:hAnsi="Times New Roman" w:cs="Times New Roman"/>
          <w:noProof/>
          <w:color w:val="000000"/>
          <w:sz w:val="24"/>
          <w:szCs w:val="24"/>
          <w:vertAlign w:val="superscript"/>
        </w:rPr>
        <w:t>1</w:t>
      </w:r>
      <w:r w:rsidRPr="00A11388">
        <w:rPr>
          <w:rFonts w:ascii="Times New Roman" w:eastAsia="宋体" w:hAnsi="Times New Roman" w:cs="Times New Roman"/>
          <w:color w:val="000000"/>
          <w:sz w:val="24"/>
          <w:szCs w:val="24"/>
        </w:rPr>
        <w:fldChar w:fldCharType="end"/>
      </w:r>
      <w:r w:rsidRPr="00A11388">
        <w:rPr>
          <w:rFonts w:ascii="Times New Roman" w:eastAsia="宋体" w:hAnsi="Times New Roman" w:cs="Times New Roman"/>
          <w:color w:val="000000"/>
          <w:sz w:val="24"/>
          <w:szCs w:val="24"/>
        </w:rPr>
        <w:t>. Step 4: we integrated gene-domain pairs (</w:t>
      </w:r>
      <w:r w:rsidRPr="00A11388">
        <w:rPr>
          <w:rFonts w:ascii="Times New Roman" w:hAnsi="Times New Roman" w:cs="Times New Roman"/>
          <w:bCs/>
          <w:sz w:val="24"/>
          <w:szCs w:val="24"/>
        </w:rPr>
        <w:t>Step 1</w:t>
      </w:r>
      <w:r w:rsidRPr="00A11388">
        <w:rPr>
          <w:rFonts w:ascii="Times New Roman" w:eastAsia="宋体" w:hAnsi="Times New Roman" w:cs="Times New Roman"/>
          <w:color w:val="000000"/>
          <w:sz w:val="24"/>
          <w:szCs w:val="24"/>
        </w:rPr>
        <w:t>), domain-substructure pairs (</w:t>
      </w:r>
      <w:r w:rsidRPr="00A11388">
        <w:rPr>
          <w:rFonts w:ascii="Times New Roman" w:hAnsi="Times New Roman" w:cs="Times New Roman"/>
          <w:bCs/>
          <w:sz w:val="24"/>
          <w:szCs w:val="24"/>
        </w:rPr>
        <w:t>Step 2</w:t>
      </w:r>
      <w:r w:rsidRPr="00A11388">
        <w:rPr>
          <w:rFonts w:ascii="Times New Roman" w:eastAsia="宋体" w:hAnsi="Times New Roman" w:cs="Times New Roman"/>
          <w:color w:val="000000"/>
          <w:sz w:val="24"/>
          <w:szCs w:val="24"/>
        </w:rPr>
        <w:t>) and substructure-drug pairs (</w:t>
      </w:r>
      <w:r w:rsidRPr="00A11388">
        <w:rPr>
          <w:rFonts w:ascii="Times New Roman" w:hAnsi="Times New Roman" w:cs="Times New Roman"/>
          <w:bCs/>
          <w:sz w:val="24"/>
          <w:szCs w:val="24"/>
        </w:rPr>
        <w:t>Step 3</w:t>
      </w:r>
      <w:r w:rsidRPr="00A11388">
        <w:rPr>
          <w:rFonts w:ascii="Times New Roman" w:eastAsia="宋体" w:hAnsi="Times New Roman" w:cs="Times New Roman"/>
          <w:color w:val="000000"/>
          <w:sz w:val="24"/>
          <w:szCs w:val="24"/>
        </w:rPr>
        <w:t>) to obtain gene-domain-substructure-drugs relationships.</w:t>
      </w:r>
    </w:p>
    <w:p w14:paraId="426D9944" w14:textId="27EDE547" w:rsidR="00B41E16" w:rsidRDefault="00B71C1C" w:rsidP="00B41E16">
      <w:pPr>
        <w:autoSpaceDE w:val="0"/>
        <w:autoSpaceDN w:val="0"/>
        <w:adjustRightInd w:val="0"/>
        <w:spacing w:line="480" w:lineRule="auto"/>
        <w:ind w:firstLine="420"/>
        <w:rPr>
          <w:rFonts w:ascii="Times New Roman" w:eastAsia="宋体" w:hAnsi="Times New Roman" w:cs="Times New Roman"/>
          <w:sz w:val="24"/>
          <w:szCs w:val="24"/>
        </w:rPr>
      </w:pPr>
      <w:r>
        <w:rPr>
          <w:rFonts w:ascii="Times New Roman" w:hAnsi="Times New Roman" w:cs="Times New Roman"/>
          <w:b/>
          <w:bCs/>
          <w:sz w:val="24"/>
          <w:szCs w:val="24"/>
        </w:rPr>
        <w:t xml:space="preserve">Obtaining drugs with strong similarity </w:t>
      </w:r>
      <w:r w:rsidR="00B41E16" w:rsidRPr="00A11388">
        <w:rPr>
          <w:rFonts w:ascii="Times New Roman" w:eastAsia="宋体" w:hAnsi="Times New Roman" w:cs="Times New Roman"/>
          <w:sz w:val="24"/>
          <w:szCs w:val="24"/>
        </w:rPr>
        <w:t xml:space="preserve">In </w:t>
      </w:r>
      <w:proofErr w:type="spellStart"/>
      <w:r w:rsidR="00B41E16" w:rsidRPr="00A11388">
        <w:rPr>
          <w:rFonts w:ascii="Times New Roman" w:eastAsia="宋体" w:hAnsi="Times New Roman" w:cs="Times New Roman"/>
          <w:sz w:val="24"/>
          <w:szCs w:val="24"/>
        </w:rPr>
        <w:t>Mcode</w:t>
      </w:r>
      <w:proofErr w:type="spellEnd"/>
      <w:r w:rsidR="00B41E16" w:rsidRPr="00A11388">
        <w:rPr>
          <w:rFonts w:ascii="Times New Roman" w:eastAsia="宋体" w:hAnsi="Times New Roman" w:cs="Times New Roman"/>
          <w:sz w:val="24"/>
          <w:szCs w:val="24"/>
        </w:rPr>
        <w:t xml:space="preserve"> algorithm, the default parameters were set: Find Cluster: in whole network, Degree Cutoff: 2, Node Score Cutoff: 0.2, K-Core: 2, and Max. Depth: 100. In K-means clustering, we treated drugs as a 526-dimensional vector, which was defined as 1 if there was a direct association with gene, domain or substructure and was defined as 0 if there was no association. We replaced Euclidean distance method for calculating distance by default with the binary distance algorithm that is more suitable for 0-1 eigenvectors.</w:t>
      </w:r>
      <w:r w:rsidR="00B41E16" w:rsidRPr="00A11388">
        <w:rPr>
          <w:rFonts w:ascii="Times New Roman" w:hAnsi="Times New Roman" w:cs="Times New Roman"/>
          <w:sz w:val="24"/>
          <w:szCs w:val="24"/>
        </w:rPr>
        <w:t xml:space="preserve"> </w:t>
      </w:r>
      <w:r w:rsidR="00B41E16" w:rsidRPr="00A11388">
        <w:rPr>
          <w:rFonts w:ascii="Times New Roman" w:eastAsia="宋体" w:hAnsi="Times New Roman" w:cs="Times New Roman"/>
          <w:sz w:val="24"/>
          <w:szCs w:val="24"/>
        </w:rPr>
        <w:t>By Elbow method, we determined the number of clusters.</w:t>
      </w:r>
      <w:r w:rsidR="00B41E16">
        <w:rPr>
          <w:rFonts w:ascii="Times New Roman" w:eastAsia="宋体" w:hAnsi="Times New Roman" w:cs="Times New Roman"/>
          <w:sz w:val="24"/>
          <w:szCs w:val="24"/>
        </w:rPr>
        <w:t xml:space="preserve"> </w:t>
      </w:r>
      <w:r w:rsidR="00B41E16" w:rsidRPr="00A11388">
        <w:rPr>
          <w:rFonts w:ascii="Times New Roman" w:eastAsia="宋体" w:hAnsi="Times New Roman" w:cs="Times New Roman"/>
          <w:sz w:val="24"/>
          <w:szCs w:val="24"/>
        </w:rPr>
        <w:t xml:space="preserve">If two or more drugs are clustered into one class using </w:t>
      </w:r>
      <w:proofErr w:type="spellStart"/>
      <w:r w:rsidR="00B41E16" w:rsidRPr="00A11388">
        <w:rPr>
          <w:rFonts w:ascii="Times New Roman" w:eastAsia="宋体" w:hAnsi="Times New Roman" w:cs="Times New Roman"/>
          <w:sz w:val="24"/>
          <w:szCs w:val="24"/>
        </w:rPr>
        <w:t>Mcode</w:t>
      </w:r>
      <w:proofErr w:type="spellEnd"/>
      <w:r w:rsidR="00B41E16" w:rsidRPr="00A11388">
        <w:rPr>
          <w:rFonts w:ascii="Times New Roman" w:eastAsia="宋体" w:hAnsi="Times New Roman" w:cs="Times New Roman"/>
          <w:sz w:val="24"/>
          <w:szCs w:val="24"/>
        </w:rPr>
        <w:t xml:space="preserve"> algorithm and K-means clustering, these drugs </w:t>
      </w:r>
      <w:proofErr w:type="gramStart"/>
      <w:r w:rsidR="00B41E16" w:rsidRPr="00A11388">
        <w:rPr>
          <w:rFonts w:ascii="Times New Roman" w:eastAsia="宋体" w:hAnsi="Times New Roman" w:cs="Times New Roman"/>
          <w:sz w:val="24"/>
          <w:szCs w:val="24"/>
        </w:rPr>
        <w:t>are considered to be</w:t>
      </w:r>
      <w:proofErr w:type="gramEnd"/>
      <w:r w:rsidR="00B41E16" w:rsidRPr="00A11388">
        <w:rPr>
          <w:rFonts w:ascii="Times New Roman" w:eastAsia="宋体" w:hAnsi="Times New Roman" w:cs="Times New Roman"/>
          <w:sz w:val="24"/>
          <w:szCs w:val="24"/>
        </w:rPr>
        <w:t xml:space="preserve"> functionally similar. Finally, we obtained drugs</w:t>
      </w:r>
      <w:r w:rsidR="00B41E16" w:rsidRPr="00A11388">
        <w:rPr>
          <w:rFonts w:ascii="Times New Roman" w:hAnsi="Times New Roman" w:cs="Times New Roman"/>
          <w:sz w:val="24"/>
          <w:szCs w:val="24"/>
        </w:rPr>
        <w:t xml:space="preserve"> </w:t>
      </w:r>
      <w:r w:rsidR="00B41E16" w:rsidRPr="00A11388">
        <w:rPr>
          <w:rFonts w:ascii="Times New Roman" w:eastAsia="宋体" w:hAnsi="Times New Roman" w:cs="Times New Roman"/>
          <w:sz w:val="24"/>
          <w:szCs w:val="24"/>
        </w:rPr>
        <w:t>that were</w:t>
      </w:r>
      <w:r w:rsidR="00B41E16" w:rsidRPr="00A11388">
        <w:rPr>
          <w:rFonts w:ascii="Times New Roman" w:hAnsi="Times New Roman" w:cs="Times New Roman"/>
          <w:sz w:val="24"/>
          <w:szCs w:val="24"/>
        </w:rPr>
        <w:t xml:space="preserve"> </w:t>
      </w:r>
      <w:r w:rsidR="00B41E16" w:rsidRPr="00A11388">
        <w:rPr>
          <w:rFonts w:ascii="Times New Roman" w:eastAsia="宋体" w:hAnsi="Times New Roman" w:cs="Times New Roman"/>
          <w:sz w:val="24"/>
          <w:szCs w:val="24"/>
        </w:rPr>
        <w:t xml:space="preserve">clustered into the same class by two methods and </w:t>
      </w:r>
      <w:r w:rsidR="00B41E16" w:rsidRPr="00A11388">
        <w:rPr>
          <w:rFonts w:ascii="Times New Roman" w:eastAsia="宋体" w:hAnsi="Times New Roman" w:cs="Times New Roman"/>
          <w:color w:val="000000"/>
          <w:sz w:val="24"/>
          <w:szCs w:val="24"/>
        </w:rPr>
        <w:t>established the sub-networks</w:t>
      </w:r>
      <w:r w:rsidR="00B41E16" w:rsidRPr="00A11388">
        <w:rPr>
          <w:rFonts w:ascii="Times New Roman" w:eastAsia="宋体" w:hAnsi="Times New Roman" w:cs="Times New Roman"/>
          <w:sz w:val="24"/>
          <w:szCs w:val="24"/>
        </w:rPr>
        <w:t>.</w:t>
      </w:r>
    </w:p>
    <w:p w14:paraId="019D9B5A" w14:textId="77777777" w:rsidR="00B41E16" w:rsidRPr="00B41E16" w:rsidRDefault="00B41E16" w:rsidP="00B41E16">
      <w:pPr>
        <w:autoSpaceDE w:val="0"/>
        <w:autoSpaceDN w:val="0"/>
        <w:adjustRightInd w:val="0"/>
        <w:spacing w:line="480" w:lineRule="auto"/>
        <w:rPr>
          <w:rFonts w:ascii="Times New Roman" w:hAnsi="Times New Roman" w:cs="Times New Roman"/>
          <w:b/>
          <w:bCs/>
          <w:sz w:val="24"/>
          <w:szCs w:val="24"/>
        </w:rPr>
      </w:pPr>
      <w:r w:rsidRPr="00A11388">
        <w:rPr>
          <w:rFonts w:ascii="Times New Roman" w:hAnsi="Times New Roman" w:cs="Times New Roman"/>
          <w:b/>
          <w:bCs/>
          <w:sz w:val="24"/>
          <w:szCs w:val="24"/>
        </w:rPr>
        <w:t>Identification and quantification of the correlation between substructures and drug function</w:t>
      </w:r>
    </w:p>
    <w:p w14:paraId="165D706A" w14:textId="77777777" w:rsidR="00B41E16" w:rsidRPr="00B41E16" w:rsidRDefault="00B41E16" w:rsidP="00B41E16">
      <w:pPr>
        <w:autoSpaceDE w:val="0"/>
        <w:autoSpaceDN w:val="0"/>
        <w:adjustRightInd w:val="0"/>
        <w:spacing w:line="480" w:lineRule="auto"/>
        <w:ind w:firstLine="420"/>
        <w:rPr>
          <w:rFonts w:ascii="Times New Roman" w:hAnsi="Times New Roman" w:cs="Times New Roman"/>
          <w:b/>
          <w:kern w:val="0"/>
          <w:sz w:val="24"/>
          <w:szCs w:val="24"/>
        </w:rPr>
      </w:pPr>
      <w:r w:rsidRPr="00A11388">
        <w:rPr>
          <w:rFonts w:ascii="Times New Roman" w:eastAsia="宋体" w:hAnsi="Times New Roman" w:cs="Times New Roman"/>
          <w:sz w:val="24"/>
          <w:szCs w:val="24"/>
        </w:rPr>
        <w:t>Score3(S</w:t>
      </w:r>
      <w:r w:rsidRPr="00A11388">
        <w:rPr>
          <w:rFonts w:ascii="Times New Roman" w:eastAsia="宋体" w:hAnsi="Times New Roman" w:cs="Times New Roman"/>
          <w:i/>
          <w:sz w:val="24"/>
          <w:szCs w:val="24"/>
          <w:vertAlign w:val="subscript"/>
        </w:rPr>
        <w:t>i</w:t>
      </w:r>
      <w:r w:rsidRPr="00A11388">
        <w:rPr>
          <w:rFonts w:ascii="Times New Roman" w:eastAsia="宋体" w:hAnsi="Times New Roman" w:cs="Times New Roman"/>
          <w:sz w:val="24"/>
          <w:szCs w:val="24"/>
        </w:rPr>
        <w:t xml:space="preserve">) represents the proportion of drugs containing the </w:t>
      </w:r>
      <w:proofErr w:type="spellStart"/>
      <w:r w:rsidRPr="00A11388">
        <w:rPr>
          <w:rFonts w:ascii="Times New Roman" w:eastAsia="宋体" w:hAnsi="Times New Roman" w:cs="Times New Roman"/>
          <w:i/>
          <w:sz w:val="24"/>
          <w:szCs w:val="24"/>
        </w:rPr>
        <w:t>i</w:t>
      </w:r>
      <w:r w:rsidRPr="00A11388">
        <w:rPr>
          <w:rFonts w:ascii="Times New Roman" w:eastAsia="宋体" w:hAnsi="Times New Roman" w:cs="Times New Roman"/>
          <w:sz w:val="24"/>
          <w:szCs w:val="24"/>
        </w:rPr>
        <w:t>-th</w:t>
      </w:r>
      <w:proofErr w:type="spellEnd"/>
      <w:r w:rsidRPr="00A11388">
        <w:rPr>
          <w:rFonts w:ascii="Times New Roman" w:eastAsia="宋体" w:hAnsi="Times New Roman" w:cs="Times New Roman"/>
          <w:sz w:val="24"/>
          <w:szCs w:val="24"/>
        </w:rPr>
        <w:t xml:space="preserve"> substructure in all approved drugs. The higher the score is, the stronger the specificity of the substructure is. Score4(S</w:t>
      </w:r>
      <w:r w:rsidRPr="00A11388">
        <w:rPr>
          <w:rFonts w:ascii="Times New Roman" w:eastAsia="宋体" w:hAnsi="Times New Roman" w:cs="Times New Roman"/>
          <w:i/>
          <w:sz w:val="24"/>
          <w:szCs w:val="24"/>
          <w:vertAlign w:val="subscript"/>
        </w:rPr>
        <w:t>i</w:t>
      </w:r>
      <w:r w:rsidRPr="00A11388">
        <w:rPr>
          <w:rFonts w:ascii="Times New Roman" w:eastAsia="宋体" w:hAnsi="Times New Roman" w:cs="Times New Roman"/>
          <w:sz w:val="24"/>
          <w:szCs w:val="24"/>
        </w:rPr>
        <w:t xml:space="preserve">) represents the proportion of drugs containing the </w:t>
      </w:r>
      <w:proofErr w:type="spellStart"/>
      <w:r w:rsidRPr="00A11388">
        <w:rPr>
          <w:rFonts w:ascii="Times New Roman" w:eastAsia="宋体" w:hAnsi="Times New Roman" w:cs="Times New Roman"/>
          <w:i/>
          <w:sz w:val="24"/>
          <w:szCs w:val="24"/>
        </w:rPr>
        <w:t>i</w:t>
      </w:r>
      <w:r w:rsidRPr="00A11388">
        <w:rPr>
          <w:rFonts w:ascii="Times New Roman" w:eastAsia="宋体" w:hAnsi="Times New Roman" w:cs="Times New Roman"/>
          <w:sz w:val="24"/>
          <w:szCs w:val="24"/>
        </w:rPr>
        <w:t>-th</w:t>
      </w:r>
      <w:proofErr w:type="spellEnd"/>
      <w:r w:rsidRPr="00A11388">
        <w:rPr>
          <w:rFonts w:ascii="Times New Roman" w:eastAsia="宋体" w:hAnsi="Times New Roman" w:cs="Times New Roman"/>
          <w:sz w:val="24"/>
          <w:szCs w:val="24"/>
        </w:rPr>
        <w:t xml:space="preserve"> substructure in a </w:t>
      </w:r>
      <w:r w:rsidRPr="00A11388">
        <w:rPr>
          <w:rFonts w:ascii="Times New Roman" w:eastAsia="宋体" w:hAnsi="Times New Roman" w:cs="Times New Roman"/>
          <w:sz w:val="24"/>
          <w:szCs w:val="24"/>
        </w:rPr>
        <w:lastRenderedPageBreak/>
        <w:t>drug group with a specific function. The higher the score is, the stronger the commonality of the substructure is. In order to obtain the substructures whose score3(S</w:t>
      </w:r>
      <w:r w:rsidRPr="00A11388">
        <w:rPr>
          <w:rFonts w:ascii="Times New Roman" w:eastAsia="宋体" w:hAnsi="Times New Roman" w:cs="Times New Roman"/>
          <w:i/>
          <w:sz w:val="24"/>
          <w:szCs w:val="24"/>
          <w:vertAlign w:val="subscript"/>
        </w:rPr>
        <w:t>i</w:t>
      </w:r>
      <w:r w:rsidRPr="00A11388">
        <w:rPr>
          <w:rFonts w:ascii="Times New Roman" w:eastAsia="宋体" w:hAnsi="Times New Roman" w:cs="Times New Roman"/>
          <w:sz w:val="24"/>
          <w:szCs w:val="24"/>
        </w:rPr>
        <w:t>) and score4(S</w:t>
      </w:r>
      <w:r w:rsidRPr="00A11388">
        <w:rPr>
          <w:rFonts w:ascii="Times New Roman" w:eastAsia="宋体" w:hAnsi="Times New Roman" w:cs="Times New Roman"/>
          <w:i/>
          <w:sz w:val="24"/>
          <w:szCs w:val="24"/>
          <w:vertAlign w:val="subscript"/>
        </w:rPr>
        <w:t>i</w:t>
      </w:r>
      <w:r w:rsidRPr="00A11388">
        <w:rPr>
          <w:rFonts w:ascii="Times New Roman" w:eastAsia="宋体" w:hAnsi="Times New Roman" w:cs="Times New Roman"/>
          <w:sz w:val="24"/>
          <w:szCs w:val="24"/>
        </w:rPr>
        <w:t>) values are both high, we screened score3(S</w:t>
      </w:r>
      <w:r w:rsidRPr="00A11388">
        <w:rPr>
          <w:rFonts w:ascii="Times New Roman" w:eastAsia="宋体" w:hAnsi="Times New Roman" w:cs="Times New Roman"/>
          <w:i/>
          <w:sz w:val="24"/>
          <w:szCs w:val="24"/>
          <w:vertAlign w:val="subscript"/>
        </w:rPr>
        <w:t>i</w:t>
      </w:r>
      <w:r w:rsidRPr="00A11388">
        <w:rPr>
          <w:rFonts w:ascii="Times New Roman" w:eastAsia="宋体" w:hAnsi="Times New Roman" w:cs="Times New Roman"/>
          <w:sz w:val="24"/>
          <w:szCs w:val="24"/>
        </w:rPr>
        <w:t>) and score4(S</w:t>
      </w:r>
      <w:r w:rsidRPr="00A11388">
        <w:rPr>
          <w:rFonts w:ascii="Times New Roman" w:eastAsia="宋体" w:hAnsi="Times New Roman" w:cs="Times New Roman"/>
          <w:i/>
          <w:sz w:val="24"/>
          <w:szCs w:val="24"/>
          <w:vertAlign w:val="subscript"/>
        </w:rPr>
        <w:t>i</w:t>
      </w:r>
      <w:r w:rsidRPr="00A11388">
        <w:rPr>
          <w:rFonts w:ascii="Times New Roman" w:eastAsia="宋体" w:hAnsi="Times New Roman" w:cs="Times New Roman"/>
          <w:sz w:val="24"/>
          <w:szCs w:val="24"/>
        </w:rPr>
        <w:t>), respectively taking the top 60% of the substructures and taking the intersection. The screened substructure was further evaluated by score5(S</w:t>
      </w:r>
      <w:r w:rsidRPr="00A11388">
        <w:rPr>
          <w:rFonts w:ascii="Times New Roman" w:eastAsia="宋体" w:hAnsi="Times New Roman" w:cs="Times New Roman"/>
          <w:i/>
          <w:sz w:val="24"/>
          <w:szCs w:val="24"/>
          <w:vertAlign w:val="subscript"/>
        </w:rPr>
        <w:t>i</w:t>
      </w:r>
      <w:r w:rsidRPr="00A11388">
        <w:rPr>
          <w:rFonts w:ascii="Times New Roman" w:eastAsia="宋体" w:hAnsi="Times New Roman" w:cs="Times New Roman"/>
          <w:sz w:val="24"/>
          <w:szCs w:val="24"/>
        </w:rPr>
        <w:t>).</w:t>
      </w:r>
      <w:r w:rsidRPr="00B41E16">
        <w:rPr>
          <w:rFonts w:ascii="Times New Roman" w:eastAsia="宋体" w:hAnsi="Times New Roman" w:cs="Times New Roman"/>
          <w:sz w:val="24"/>
          <w:szCs w:val="24"/>
        </w:rPr>
        <w:t xml:space="preserve"> </w:t>
      </w:r>
      <w:r w:rsidRPr="00A11388">
        <w:rPr>
          <w:rFonts w:ascii="Times New Roman" w:eastAsia="宋体" w:hAnsi="Times New Roman" w:cs="Times New Roman"/>
          <w:sz w:val="24"/>
          <w:szCs w:val="24"/>
        </w:rPr>
        <w:t>Score5(S</w:t>
      </w:r>
      <w:r w:rsidRPr="00A11388">
        <w:rPr>
          <w:rFonts w:ascii="Times New Roman" w:eastAsia="宋体" w:hAnsi="Times New Roman" w:cs="Times New Roman"/>
          <w:i/>
          <w:sz w:val="24"/>
          <w:szCs w:val="24"/>
          <w:vertAlign w:val="subscript"/>
        </w:rPr>
        <w:t>i</w:t>
      </w:r>
      <w:r w:rsidRPr="00A11388">
        <w:rPr>
          <w:rFonts w:ascii="Times New Roman" w:eastAsia="宋体" w:hAnsi="Times New Roman" w:cs="Times New Roman"/>
          <w:sz w:val="24"/>
          <w:szCs w:val="24"/>
        </w:rPr>
        <w:t>)</w:t>
      </w:r>
      <w:r w:rsidRPr="00A11388">
        <w:rPr>
          <w:rFonts w:ascii="Times New Roman" w:hAnsi="Times New Roman" w:cs="Times New Roman"/>
          <w:sz w:val="24"/>
          <w:szCs w:val="24"/>
        </w:rPr>
        <w:t xml:space="preserve"> </w:t>
      </w:r>
      <w:r w:rsidRPr="00A11388">
        <w:rPr>
          <w:rFonts w:ascii="Times New Roman" w:eastAsia="宋体" w:hAnsi="Times New Roman" w:cs="Times New Roman"/>
          <w:sz w:val="24"/>
          <w:szCs w:val="24"/>
        </w:rPr>
        <w:t xml:space="preserve">is used to define the correlation intensity between the </w:t>
      </w:r>
      <w:proofErr w:type="spellStart"/>
      <w:r w:rsidRPr="00A11388">
        <w:rPr>
          <w:rFonts w:ascii="Times New Roman" w:eastAsia="宋体" w:hAnsi="Times New Roman" w:cs="Times New Roman"/>
          <w:i/>
          <w:sz w:val="24"/>
          <w:szCs w:val="24"/>
        </w:rPr>
        <w:t>i</w:t>
      </w:r>
      <w:r w:rsidRPr="00A11388">
        <w:rPr>
          <w:rFonts w:ascii="Times New Roman" w:eastAsia="宋体" w:hAnsi="Times New Roman" w:cs="Times New Roman"/>
          <w:sz w:val="24"/>
          <w:szCs w:val="24"/>
        </w:rPr>
        <w:t>-th</w:t>
      </w:r>
      <w:proofErr w:type="spellEnd"/>
      <w:r w:rsidRPr="00A11388">
        <w:rPr>
          <w:rFonts w:ascii="Times New Roman" w:eastAsia="宋体" w:hAnsi="Times New Roman" w:cs="Times New Roman"/>
          <w:sz w:val="24"/>
          <w:szCs w:val="24"/>
        </w:rPr>
        <w:t xml:space="preserve"> substructure and drug function. The higher the score is, the stronger the correlation intensity of the substructure is.</w:t>
      </w:r>
    </w:p>
    <w:p w14:paraId="7D35AC64" w14:textId="77777777" w:rsidR="004433DD" w:rsidRPr="00A11388" w:rsidRDefault="004433DD" w:rsidP="004433DD">
      <w:pPr>
        <w:spacing w:line="480" w:lineRule="auto"/>
        <w:rPr>
          <w:rFonts w:ascii="Times New Roman" w:eastAsia="宋体" w:hAnsi="Times New Roman" w:cs="Times New Roman"/>
          <w:b/>
          <w:sz w:val="24"/>
          <w:szCs w:val="24"/>
        </w:rPr>
      </w:pPr>
      <w:r w:rsidRPr="00A11388">
        <w:rPr>
          <w:rFonts w:ascii="Times New Roman" w:eastAsia="宋体" w:hAnsi="Times New Roman" w:cs="Times New Roman"/>
          <w:b/>
          <w:sz w:val="24"/>
          <w:szCs w:val="24"/>
        </w:rPr>
        <w:t>Results</w:t>
      </w:r>
    </w:p>
    <w:p w14:paraId="0F236487" w14:textId="77777777" w:rsidR="004433DD" w:rsidRPr="00A11388" w:rsidRDefault="004433DD" w:rsidP="004433DD">
      <w:pPr>
        <w:spacing w:line="480" w:lineRule="auto"/>
        <w:jc w:val="left"/>
        <w:rPr>
          <w:rFonts w:ascii="Times New Roman" w:hAnsi="Times New Roman" w:cs="Times New Roman"/>
          <w:b/>
          <w:bCs/>
          <w:sz w:val="24"/>
          <w:szCs w:val="24"/>
        </w:rPr>
      </w:pPr>
      <w:r w:rsidRPr="00A11388">
        <w:rPr>
          <w:rFonts w:ascii="Times New Roman" w:hAnsi="Times New Roman" w:cs="Times New Roman"/>
          <w:b/>
          <w:bCs/>
          <w:sz w:val="24"/>
          <w:szCs w:val="24"/>
        </w:rPr>
        <w:t>Identification of substructure-domain relationships</w:t>
      </w:r>
    </w:p>
    <w:p w14:paraId="5BD44D9B" w14:textId="77777777" w:rsidR="004433DD" w:rsidRPr="00A11388" w:rsidRDefault="004433DD" w:rsidP="004433DD">
      <w:pPr>
        <w:spacing w:line="480" w:lineRule="auto"/>
        <w:ind w:firstLine="420"/>
        <w:rPr>
          <w:rFonts w:ascii="Times New Roman" w:hAnsi="Times New Roman" w:cs="Times New Roman"/>
          <w:bCs/>
          <w:sz w:val="24"/>
          <w:szCs w:val="24"/>
        </w:rPr>
      </w:pPr>
      <w:r w:rsidRPr="00A11388">
        <w:rPr>
          <w:rFonts w:ascii="Times New Roman" w:hAnsi="Times New Roman" w:cs="Times New Roman"/>
          <w:bCs/>
          <w:sz w:val="24"/>
          <w:szCs w:val="24"/>
        </w:rPr>
        <w:t xml:space="preserve">Like our previous study, we used “L1LOG and L1SVM” two methods and </w:t>
      </w:r>
      <w:r w:rsidRPr="00A11388">
        <w:rPr>
          <w:rFonts w:ascii="Times New Roman" w:eastAsia="宋体" w:hAnsi="Times New Roman" w:cs="Times New Roman"/>
          <w:color w:val="000000"/>
          <w:sz w:val="24"/>
          <w:szCs w:val="24"/>
        </w:rPr>
        <w:t xml:space="preserve">drug-target interaction pairs from </w:t>
      </w:r>
      <w:proofErr w:type="spellStart"/>
      <w:r w:rsidRPr="00A11388">
        <w:rPr>
          <w:rFonts w:ascii="Times New Roman" w:eastAsia="宋体" w:hAnsi="Times New Roman" w:cs="Times New Roman"/>
          <w:color w:val="000000"/>
          <w:sz w:val="24"/>
          <w:szCs w:val="24"/>
        </w:rPr>
        <w:t>DrugBank</w:t>
      </w:r>
      <w:proofErr w:type="spellEnd"/>
      <w:r w:rsidRPr="00A11388">
        <w:rPr>
          <w:rFonts w:ascii="Times New Roman" w:eastAsia="宋体" w:hAnsi="Times New Roman" w:cs="Times New Roman"/>
          <w:color w:val="000000"/>
          <w:sz w:val="24"/>
          <w:szCs w:val="24"/>
        </w:rPr>
        <w:t xml:space="preserve"> database</w:t>
      </w:r>
      <w:r w:rsidRPr="00A11388">
        <w:rPr>
          <w:rFonts w:ascii="Times New Roman" w:hAnsi="Times New Roman" w:cs="Times New Roman"/>
          <w:bCs/>
          <w:sz w:val="24"/>
          <w:szCs w:val="24"/>
        </w:rPr>
        <w:t xml:space="preserve"> (3310 drug-target pairs) to extract the substructure-domain relationships. Using the 10-fold cross-validation, the corresponding best C values were obtained as the negative/positive set ratio changed (from 1:1 to 8:1). C values were screened from 1 to 1000 at 10-fold intervals. The AUC values were got by 10-fold cross-validation of each negative/positive set ratio and best C value combination. </w:t>
      </w:r>
      <w:r w:rsidRPr="00A11388">
        <w:rPr>
          <w:rFonts w:ascii="Times New Roman" w:hAnsi="Times New Roman" w:cs="Times New Roman"/>
          <w:bCs/>
          <w:color w:val="000000" w:themeColor="text1"/>
          <w:sz w:val="24"/>
          <w:szCs w:val="24"/>
        </w:rPr>
        <w:t xml:space="preserve">The AUC maximums of both methods are all greater than 0.86. </w:t>
      </w:r>
      <w:r w:rsidRPr="00A11388">
        <w:rPr>
          <w:rFonts w:ascii="Times New Roman" w:hAnsi="Times New Roman" w:cs="Times New Roman"/>
          <w:bCs/>
          <w:sz w:val="24"/>
          <w:szCs w:val="24"/>
        </w:rPr>
        <w:t>We identified 62400 substructure-domain features shared in two methods for the higher accuracy.</w:t>
      </w:r>
    </w:p>
    <w:p w14:paraId="7AB226D8" w14:textId="77777777" w:rsidR="00A4311A" w:rsidRDefault="004433DD" w:rsidP="004007EA">
      <w:pPr>
        <w:spacing w:line="480" w:lineRule="auto"/>
        <w:ind w:firstLine="418"/>
        <w:rPr>
          <w:rFonts w:ascii="Times New Roman" w:hAnsi="Times New Roman" w:cs="Times New Roman"/>
          <w:bCs/>
          <w:sz w:val="24"/>
          <w:szCs w:val="24"/>
        </w:rPr>
      </w:pPr>
      <w:r w:rsidRPr="00A11388">
        <w:rPr>
          <w:rFonts w:ascii="Times New Roman" w:hAnsi="Times New Roman" w:cs="Times New Roman"/>
          <w:bCs/>
          <w:sz w:val="24"/>
          <w:szCs w:val="24"/>
        </w:rPr>
        <w:t xml:space="preserve">In order to test the predictive accuracy of the shared substructure-domain </w:t>
      </w:r>
      <w:r w:rsidRPr="00A11388">
        <w:rPr>
          <w:rFonts w:ascii="Times New Roman" w:eastAsia="宋体" w:hAnsi="Times New Roman" w:cs="Times New Roman"/>
          <w:sz w:val="24"/>
          <w:szCs w:val="24"/>
        </w:rPr>
        <w:t>features</w:t>
      </w:r>
      <w:r w:rsidRPr="00A11388">
        <w:rPr>
          <w:rFonts w:ascii="Times New Roman" w:hAnsi="Times New Roman" w:cs="Times New Roman"/>
          <w:bCs/>
          <w:sz w:val="24"/>
          <w:szCs w:val="24"/>
        </w:rPr>
        <w:t xml:space="preserve"> by two methods, we reconstructed drug-target relationships as validation process. Based on 912 target proteins derived from the initial 3310 drug-target pairs and the shared domain-substructure features, we finally predicted target-domain-substructure-</w:t>
      </w:r>
      <w:r w:rsidRPr="00A11388">
        <w:rPr>
          <w:rFonts w:ascii="Times New Roman" w:hAnsi="Times New Roman" w:cs="Times New Roman"/>
          <w:bCs/>
          <w:sz w:val="24"/>
          <w:szCs w:val="24"/>
        </w:rPr>
        <w:lastRenderedPageBreak/>
        <w:t>drug relationships. The prediction efficiency was 100% because the predicted drugs completely covered 943 drugs derived from the initial 3310 drug-target pairs, indicating that the domain-substructure features shared in two methods can be used as a feature set for subsequent predictions.</w:t>
      </w:r>
    </w:p>
    <w:p w14:paraId="7F7F9DF0" w14:textId="77777777" w:rsidR="00355FF2" w:rsidRDefault="00A4311A" w:rsidP="00355FF2">
      <w:pPr>
        <w:pStyle w:val="EndNoteBibliography"/>
        <w:rPr>
          <w:rFonts w:ascii="Times New Roman" w:hAnsi="Times New Roman" w:cs="Times New Roman"/>
          <w:b/>
          <w:bCs/>
          <w:sz w:val="24"/>
          <w:szCs w:val="24"/>
        </w:rPr>
      </w:pPr>
      <w:r w:rsidRPr="00A4311A">
        <w:rPr>
          <w:rFonts w:ascii="Times New Roman" w:hAnsi="Times New Roman" w:cs="Times New Roman"/>
          <w:b/>
          <w:bCs/>
          <w:sz w:val="24"/>
          <w:szCs w:val="24"/>
        </w:rPr>
        <w:t>Reference</w:t>
      </w:r>
    </w:p>
    <w:p w14:paraId="77EB76AC" w14:textId="77777777" w:rsidR="008128B4" w:rsidRPr="008128B4" w:rsidRDefault="004433DD" w:rsidP="008128B4">
      <w:pPr>
        <w:pStyle w:val="EndNoteBibliography"/>
        <w:rPr>
          <w:noProof/>
        </w:rPr>
      </w:pPr>
      <w:r w:rsidRPr="00A11388">
        <w:rPr>
          <w:rFonts w:ascii="Times New Roman" w:eastAsia="宋体" w:hAnsi="Times New Roman" w:cs="Times New Roman"/>
          <w:b/>
          <w:sz w:val="24"/>
          <w:szCs w:val="24"/>
        </w:rPr>
        <w:fldChar w:fldCharType="begin"/>
      </w:r>
      <w:r w:rsidRPr="00A4311A">
        <w:rPr>
          <w:rFonts w:ascii="Times New Roman" w:eastAsia="宋体" w:hAnsi="Times New Roman" w:cs="Times New Roman"/>
          <w:b/>
          <w:sz w:val="24"/>
          <w:szCs w:val="24"/>
        </w:rPr>
        <w:instrText xml:space="preserve"> ADDIN EN.REFLIST </w:instrText>
      </w:r>
      <w:r w:rsidRPr="00A11388">
        <w:rPr>
          <w:rFonts w:ascii="Times New Roman" w:eastAsia="宋体" w:hAnsi="Times New Roman" w:cs="Times New Roman"/>
          <w:b/>
          <w:sz w:val="24"/>
          <w:szCs w:val="24"/>
        </w:rPr>
        <w:fldChar w:fldCharType="separate"/>
      </w:r>
      <w:r w:rsidR="008128B4" w:rsidRPr="008128B4">
        <w:rPr>
          <w:noProof/>
        </w:rPr>
        <w:t>1.</w:t>
      </w:r>
      <w:r w:rsidR="008128B4" w:rsidRPr="008128B4">
        <w:rPr>
          <w:noProof/>
        </w:rPr>
        <w:tab/>
        <w:t xml:space="preserve">Tabei, Y.;  Pauwels, E.;  Stoven, V.;  Takemoto, K.; Yamanishi, Y., Identification of chemogenomic features from drug–target interaction networks using interpretable classifiers. </w:t>
      </w:r>
      <w:r w:rsidR="008128B4" w:rsidRPr="008128B4">
        <w:rPr>
          <w:i/>
          <w:noProof/>
        </w:rPr>
        <w:t xml:space="preserve">Bioinformatics </w:t>
      </w:r>
      <w:r w:rsidR="008128B4" w:rsidRPr="008128B4">
        <w:rPr>
          <w:b/>
          <w:noProof/>
        </w:rPr>
        <w:t>2012,</w:t>
      </w:r>
      <w:r w:rsidR="008128B4" w:rsidRPr="008128B4">
        <w:rPr>
          <w:noProof/>
        </w:rPr>
        <w:t xml:space="preserve"> </w:t>
      </w:r>
      <w:r w:rsidR="008128B4" w:rsidRPr="008128B4">
        <w:rPr>
          <w:i/>
          <w:noProof/>
        </w:rPr>
        <w:t>28</w:t>
      </w:r>
      <w:r w:rsidR="008128B4" w:rsidRPr="008128B4">
        <w:rPr>
          <w:noProof/>
        </w:rPr>
        <w:t xml:space="preserve"> (18), i487-i494.</w:t>
      </w:r>
    </w:p>
    <w:p w14:paraId="40A93C8B" w14:textId="4133DFE9" w:rsidR="008128B4" w:rsidRDefault="004433DD" w:rsidP="00374BAE">
      <w:pPr>
        <w:pStyle w:val="EndNoteBibliography"/>
        <w:rPr>
          <w:rFonts w:ascii="Times New Roman" w:hAnsi="Times New Roman" w:cs="Times New Roman"/>
          <w:b/>
          <w:kern w:val="0"/>
          <w:sz w:val="24"/>
          <w:szCs w:val="24"/>
        </w:rPr>
      </w:pPr>
      <w:r w:rsidRPr="00A11388">
        <w:rPr>
          <w:rFonts w:ascii="Times New Roman" w:eastAsia="宋体" w:hAnsi="Times New Roman" w:cs="Times New Roman"/>
          <w:sz w:val="24"/>
          <w:szCs w:val="24"/>
        </w:rPr>
        <w:fldChar w:fldCharType="end"/>
      </w:r>
    </w:p>
    <w:p w14:paraId="5E117D4E" w14:textId="37846A3A" w:rsidR="004433DD" w:rsidRDefault="005B0D4C" w:rsidP="005B0D4C">
      <w:pPr>
        <w:autoSpaceDE w:val="0"/>
        <w:autoSpaceDN w:val="0"/>
        <w:adjustRightInd w:val="0"/>
        <w:spacing w:line="480" w:lineRule="auto"/>
        <w:rPr>
          <w:rFonts w:ascii="Times New Roman" w:hAnsi="Times New Roman" w:cs="Times New Roman"/>
          <w:b/>
          <w:kern w:val="0"/>
          <w:sz w:val="24"/>
          <w:szCs w:val="24"/>
        </w:rPr>
      </w:pPr>
      <w:r w:rsidRPr="005B0D4C">
        <w:rPr>
          <w:rFonts w:ascii="Times New Roman" w:hAnsi="Times New Roman" w:cs="Times New Roman" w:hint="eastAsia"/>
          <w:b/>
          <w:kern w:val="0"/>
          <w:sz w:val="24"/>
          <w:szCs w:val="24"/>
        </w:rPr>
        <w:t>Supp</w:t>
      </w:r>
      <w:r w:rsidRPr="005B0D4C">
        <w:rPr>
          <w:rFonts w:ascii="Times New Roman" w:hAnsi="Times New Roman" w:cs="Times New Roman"/>
          <w:b/>
          <w:kern w:val="0"/>
          <w:sz w:val="24"/>
          <w:szCs w:val="24"/>
        </w:rPr>
        <w:t xml:space="preserve">lementary </w:t>
      </w:r>
      <w:r w:rsidRPr="005B0D4C">
        <w:rPr>
          <w:rFonts w:ascii="Times New Roman" w:hAnsi="Times New Roman" w:cs="Times New Roman" w:hint="eastAsia"/>
          <w:b/>
          <w:kern w:val="0"/>
          <w:sz w:val="24"/>
          <w:szCs w:val="24"/>
        </w:rPr>
        <w:t>Figure</w:t>
      </w:r>
    </w:p>
    <w:p w14:paraId="52E50B84" w14:textId="68C01DF2" w:rsidR="005B0D4C" w:rsidRDefault="005B0D4C" w:rsidP="005B0D4C">
      <w:pPr>
        <w:autoSpaceDE w:val="0"/>
        <w:autoSpaceDN w:val="0"/>
        <w:adjustRightInd w:val="0"/>
        <w:spacing w:line="480" w:lineRule="auto"/>
        <w:rPr>
          <w:rFonts w:ascii="Times New Roman" w:hAnsi="Times New Roman" w:cs="Times New Roman"/>
          <w:b/>
          <w:kern w:val="0"/>
          <w:sz w:val="24"/>
          <w:szCs w:val="24"/>
        </w:rPr>
      </w:pPr>
      <w:r>
        <w:rPr>
          <w:rFonts w:ascii="Times New Roman" w:hAnsi="Times New Roman" w:cs="Times New Roman"/>
          <w:b/>
          <w:noProof/>
          <w:kern w:val="0"/>
          <w:sz w:val="24"/>
          <w:szCs w:val="24"/>
        </w:rPr>
        <w:drawing>
          <wp:inline distT="0" distB="0" distL="0" distR="0" wp14:anchorId="26F2F23F" wp14:editId="51128AC8">
            <wp:extent cx="5065014" cy="4433697"/>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65014" cy="4433697"/>
                    </a:xfrm>
                    <a:prstGeom prst="rect">
                      <a:avLst/>
                    </a:prstGeom>
                  </pic:spPr>
                </pic:pic>
              </a:graphicData>
            </a:graphic>
          </wp:inline>
        </w:drawing>
      </w:r>
    </w:p>
    <w:p w14:paraId="7ACE427E" w14:textId="77777777" w:rsidR="005B0D4C" w:rsidRDefault="005B0D4C" w:rsidP="005B0D4C">
      <w:pPr>
        <w:pStyle w:val="1"/>
        <w:shd w:val="clear" w:color="auto" w:fill="FFFFFF"/>
        <w:jc w:val="both"/>
        <w:textAlignment w:val="baseline"/>
        <w:rPr>
          <w:rFonts w:ascii="Times New Roman" w:hAnsi="Times New Roman" w:cs="Times New Roman"/>
          <w:b w:val="0"/>
          <w:sz w:val="24"/>
          <w:szCs w:val="24"/>
        </w:rPr>
      </w:pPr>
      <w:r w:rsidRPr="006274C8">
        <w:rPr>
          <w:rFonts w:ascii="Times New Roman" w:hAnsi="Times New Roman" w:cs="Times New Roman"/>
          <w:b w:val="0"/>
          <w:sz w:val="24"/>
          <w:szCs w:val="24"/>
        </w:rPr>
        <w:t>Supplementary Figure S1</w:t>
      </w:r>
      <w:r>
        <w:rPr>
          <w:rFonts w:ascii="Times New Roman" w:hAnsi="Times New Roman" w:cs="Times New Roman"/>
          <w:b w:val="0"/>
          <w:sz w:val="24"/>
          <w:szCs w:val="24"/>
        </w:rPr>
        <w:t>. Brain-protective gene-domain-substructure-drug network. It contains 22 genes, 24 domains, 480 substructures, and 2297 drugs. The red node represents the gene, the blue node represents the drug, and the green node represents the domain-substructure.</w:t>
      </w:r>
    </w:p>
    <w:p w14:paraId="2D49A974" w14:textId="49DDFD6E" w:rsidR="005B0D4C" w:rsidRDefault="005B0D4C" w:rsidP="005B0D4C">
      <w:pPr>
        <w:autoSpaceDE w:val="0"/>
        <w:autoSpaceDN w:val="0"/>
        <w:adjustRightInd w:val="0"/>
        <w:spacing w:line="480" w:lineRule="auto"/>
        <w:rPr>
          <w:rFonts w:ascii="Times New Roman" w:hAnsi="Times New Roman" w:cs="Times New Roman"/>
          <w:b/>
          <w:kern w:val="0"/>
          <w:sz w:val="24"/>
          <w:szCs w:val="24"/>
        </w:rPr>
      </w:pPr>
      <w:r>
        <w:rPr>
          <w:rFonts w:ascii="Times New Roman" w:hAnsi="Times New Roman" w:cs="Times New Roman" w:hint="eastAsia"/>
          <w:b/>
          <w:noProof/>
          <w:kern w:val="0"/>
          <w:sz w:val="24"/>
          <w:szCs w:val="24"/>
        </w:rPr>
        <w:lastRenderedPageBreak/>
        <w:drawing>
          <wp:inline distT="0" distB="0" distL="0" distR="0" wp14:anchorId="32DB3264" wp14:editId="5E756217">
            <wp:extent cx="4276344" cy="4279392"/>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6344" cy="4279392"/>
                    </a:xfrm>
                    <a:prstGeom prst="rect">
                      <a:avLst/>
                    </a:prstGeom>
                  </pic:spPr>
                </pic:pic>
              </a:graphicData>
            </a:graphic>
          </wp:inline>
        </w:drawing>
      </w:r>
    </w:p>
    <w:p w14:paraId="54F16912" w14:textId="77777777" w:rsidR="005B0D4C" w:rsidRDefault="005B0D4C" w:rsidP="005B0D4C">
      <w:pPr>
        <w:pStyle w:val="1"/>
        <w:shd w:val="clear" w:color="auto" w:fill="FFFFFF"/>
        <w:spacing w:before="0" w:beforeAutospacing="0" w:after="0" w:afterAutospacing="0"/>
        <w:jc w:val="both"/>
        <w:textAlignment w:val="baseline"/>
        <w:rPr>
          <w:rFonts w:ascii="Times New Roman" w:hAnsi="Times New Roman" w:cs="Times New Roman"/>
          <w:b w:val="0"/>
          <w:color w:val="222222"/>
          <w:sz w:val="24"/>
          <w:szCs w:val="24"/>
        </w:rPr>
      </w:pPr>
      <w:r>
        <w:rPr>
          <w:rFonts w:ascii="Times New Roman" w:hAnsi="Times New Roman" w:cs="Times New Roman"/>
          <w:b w:val="0"/>
          <w:color w:val="222222"/>
          <w:sz w:val="24"/>
          <w:szCs w:val="24"/>
        </w:rPr>
        <w:t>Supplementary Figure S2. Elbow method (clustering). This method is used to find the appropriate number of clusters in the brain-protective gene-domain-substructure-drug dataset of K-means clustering. According the “elbow criterion”, the number of clusters chosen should be 8. The "elbow" is indicated by the red dot. </w:t>
      </w:r>
    </w:p>
    <w:p w14:paraId="20D1EEC1" w14:textId="77777777" w:rsidR="005B0D4C" w:rsidRPr="005B0D4C" w:rsidRDefault="005B0D4C" w:rsidP="005B0D4C">
      <w:pPr>
        <w:autoSpaceDE w:val="0"/>
        <w:autoSpaceDN w:val="0"/>
        <w:adjustRightInd w:val="0"/>
        <w:spacing w:line="480" w:lineRule="auto"/>
        <w:rPr>
          <w:rFonts w:ascii="Times New Roman" w:hAnsi="Times New Roman" w:cs="Times New Roman"/>
          <w:b/>
          <w:kern w:val="0"/>
          <w:sz w:val="24"/>
          <w:szCs w:val="24"/>
        </w:rPr>
      </w:pPr>
    </w:p>
    <w:sectPr w:rsidR="005B0D4C" w:rsidRPr="005B0D4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0CE77" w14:textId="77777777" w:rsidR="0031691A" w:rsidRDefault="0031691A" w:rsidP="004433DD">
      <w:r>
        <w:separator/>
      </w:r>
    </w:p>
  </w:endnote>
  <w:endnote w:type="continuationSeparator" w:id="0">
    <w:p w14:paraId="3E44A362" w14:textId="77777777" w:rsidR="0031691A" w:rsidRDefault="0031691A" w:rsidP="00443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C65B3D" w14:textId="77777777" w:rsidR="0031691A" w:rsidRDefault="0031691A" w:rsidP="004433DD">
      <w:r>
        <w:separator/>
      </w:r>
    </w:p>
  </w:footnote>
  <w:footnote w:type="continuationSeparator" w:id="0">
    <w:p w14:paraId="2D8A9513" w14:textId="77777777" w:rsidR="0031691A" w:rsidRDefault="0031691A" w:rsidP="004433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8756073"/>
    <w:multiLevelType w:val="singleLevel"/>
    <w:tmpl w:val="C8756073"/>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A641F"/>
    <w:rsid w:val="000A641F"/>
    <w:rsid w:val="00164443"/>
    <w:rsid w:val="001B5FA9"/>
    <w:rsid w:val="00217FA4"/>
    <w:rsid w:val="0031691A"/>
    <w:rsid w:val="00355FF2"/>
    <w:rsid w:val="00374BAE"/>
    <w:rsid w:val="004007EA"/>
    <w:rsid w:val="004433DD"/>
    <w:rsid w:val="00482FD9"/>
    <w:rsid w:val="004F7982"/>
    <w:rsid w:val="005B0D4C"/>
    <w:rsid w:val="0067679D"/>
    <w:rsid w:val="006E69C3"/>
    <w:rsid w:val="0072670B"/>
    <w:rsid w:val="00774E24"/>
    <w:rsid w:val="008128B4"/>
    <w:rsid w:val="00852DD3"/>
    <w:rsid w:val="0092381D"/>
    <w:rsid w:val="00A4311A"/>
    <w:rsid w:val="00A51387"/>
    <w:rsid w:val="00B41E16"/>
    <w:rsid w:val="00B71C1C"/>
    <w:rsid w:val="00C27120"/>
    <w:rsid w:val="00DA532A"/>
    <w:rsid w:val="00E52D63"/>
    <w:rsid w:val="00E721BF"/>
    <w:rsid w:val="00E95BBC"/>
    <w:rsid w:val="00F26495"/>
    <w:rsid w:val="00F4292D"/>
    <w:rsid w:val="00F56BA8"/>
    <w:rsid w:val="00F604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8A9FF5"/>
  <w15:chartTrackingRefBased/>
  <w15:docId w15:val="{B2AC6428-29A7-4078-87B6-D88C5E932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B0D4C"/>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33D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433DD"/>
    <w:rPr>
      <w:sz w:val="18"/>
      <w:szCs w:val="18"/>
    </w:rPr>
  </w:style>
  <w:style w:type="paragraph" w:styleId="a5">
    <w:name w:val="footer"/>
    <w:basedOn w:val="a"/>
    <w:link w:val="a6"/>
    <w:uiPriority w:val="99"/>
    <w:unhideWhenUsed/>
    <w:rsid w:val="004433DD"/>
    <w:pPr>
      <w:tabs>
        <w:tab w:val="center" w:pos="4153"/>
        <w:tab w:val="right" w:pos="8306"/>
      </w:tabs>
      <w:snapToGrid w:val="0"/>
      <w:jc w:val="left"/>
    </w:pPr>
    <w:rPr>
      <w:sz w:val="18"/>
      <w:szCs w:val="18"/>
    </w:rPr>
  </w:style>
  <w:style w:type="character" w:customStyle="1" w:styleId="a6">
    <w:name w:val="页脚 字符"/>
    <w:basedOn w:val="a0"/>
    <w:link w:val="a5"/>
    <w:uiPriority w:val="99"/>
    <w:rsid w:val="004433DD"/>
    <w:rPr>
      <w:sz w:val="18"/>
      <w:szCs w:val="18"/>
    </w:rPr>
  </w:style>
  <w:style w:type="table" w:styleId="a7">
    <w:name w:val="Table Grid"/>
    <w:basedOn w:val="a1"/>
    <w:uiPriority w:val="39"/>
    <w:rsid w:val="004433DD"/>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4433DD"/>
    <w:rPr>
      <w:color w:val="0563C1" w:themeColor="hyperlink"/>
      <w:u w:val="single"/>
    </w:rPr>
  </w:style>
  <w:style w:type="paragraph" w:customStyle="1" w:styleId="Default">
    <w:name w:val="Default"/>
    <w:rsid w:val="004433DD"/>
    <w:pPr>
      <w:widowControl w:val="0"/>
      <w:autoSpaceDE w:val="0"/>
      <w:autoSpaceDN w:val="0"/>
      <w:adjustRightInd w:val="0"/>
    </w:pPr>
    <w:rPr>
      <w:rFonts w:ascii="Arial" w:hAnsi="Arial" w:cs="Arial"/>
      <w:color w:val="000000"/>
      <w:kern w:val="0"/>
      <w:sz w:val="24"/>
      <w:szCs w:val="24"/>
    </w:rPr>
  </w:style>
  <w:style w:type="paragraph" w:customStyle="1" w:styleId="EndNoteBibliography">
    <w:name w:val="EndNote Bibliography"/>
    <w:basedOn w:val="a"/>
    <w:link w:val="EndNoteBibliography0"/>
    <w:rsid w:val="004433DD"/>
    <w:rPr>
      <w:rFonts w:ascii="等线" w:eastAsia="等线" w:hAnsi="等线"/>
      <w:sz w:val="20"/>
    </w:rPr>
  </w:style>
  <w:style w:type="character" w:customStyle="1" w:styleId="EndNoteBibliography0">
    <w:name w:val="EndNote Bibliography 字符"/>
    <w:basedOn w:val="a0"/>
    <w:link w:val="EndNoteBibliography"/>
    <w:rsid w:val="004433DD"/>
    <w:rPr>
      <w:rFonts w:ascii="等线" w:eastAsia="等线" w:hAnsi="等线"/>
      <w:sz w:val="20"/>
    </w:rPr>
  </w:style>
  <w:style w:type="paragraph" w:customStyle="1" w:styleId="EndNoteBibliographyTitle">
    <w:name w:val="EndNote Bibliography Title"/>
    <w:basedOn w:val="a"/>
    <w:link w:val="EndNoteBibliographyTitle0"/>
    <w:rsid w:val="00E721B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E721BF"/>
    <w:rPr>
      <w:rFonts w:ascii="等线" w:eastAsia="等线" w:hAnsi="等线"/>
      <w:noProof/>
      <w:sz w:val="20"/>
    </w:rPr>
  </w:style>
  <w:style w:type="character" w:customStyle="1" w:styleId="10">
    <w:name w:val="标题 1 字符"/>
    <w:basedOn w:val="a0"/>
    <w:link w:val="1"/>
    <w:uiPriority w:val="9"/>
    <w:qFormat/>
    <w:rsid w:val="005B0D4C"/>
    <w:rPr>
      <w:rFonts w:ascii="宋体" w:eastAsia="宋体" w:hAnsi="宋体" w:cs="宋体"/>
      <w:b/>
      <w:bCs/>
      <w:kern w:val="36"/>
      <w:sz w:val="48"/>
      <w:szCs w:val="48"/>
    </w:rPr>
  </w:style>
  <w:style w:type="paragraph" w:styleId="a9">
    <w:name w:val="Balloon Text"/>
    <w:basedOn w:val="a"/>
    <w:link w:val="aa"/>
    <w:uiPriority w:val="99"/>
    <w:semiHidden/>
    <w:unhideWhenUsed/>
    <w:rsid w:val="00B71C1C"/>
    <w:rPr>
      <w:sz w:val="18"/>
      <w:szCs w:val="18"/>
    </w:rPr>
  </w:style>
  <w:style w:type="character" w:customStyle="1" w:styleId="aa">
    <w:name w:val="批注框文本 字符"/>
    <w:basedOn w:val="a0"/>
    <w:link w:val="a9"/>
    <w:uiPriority w:val="99"/>
    <w:semiHidden/>
    <w:rsid w:val="00B71C1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2AA71-5D90-4C48-AEA8-673708256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Pages>
  <Words>1001</Words>
  <Characters>5711</Characters>
  <Application>Microsoft Office Word</Application>
  <DocSecurity>0</DocSecurity>
  <Lines>47</Lines>
  <Paragraphs>13</Paragraphs>
  <ScaleCrop>false</ScaleCrop>
  <Company/>
  <LinksUpToDate>false</LinksUpToDate>
  <CharactersWithSpaces>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李</dc:creator>
  <cp:keywords/>
  <dc:description/>
  <cp:lastModifiedBy>杨 静泊</cp:lastModifiedBy>
  <cp:revision>16</cp:revision>
  <dcterms:created xsi:type="dcterms:W3CDTF">2020-08-17T13:23:00Z</dcterms:created>
  <dcterms:modified xsi:type="dcterms:W3CDTF">2021-01-10T04:01:00Z</dcterms:modified>
</cp:coreProperties>
</file>