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0812" w14:textId="3AF11A9B" w:rsidR="00F0122A" w:rsidRPr="0047704D" w:rsidRDefault="00F55F47" w:rsidP="00EE1A14">
      <w:pPr>
        <w:spacing w:before="0" w:after="80" w:line="240" w:lineRule="auto"/>
        <w:rPr>
          <w:rFonts w:ascii="Helvetica" w:hAnsi="Helvetica" w:cs="Helvetica"/>
          <w:b/>
          <w:bCs/>
          <w:sz w:val="16"/>
          <w:szCs w:val="16"/>
          <w:lang w:val="en-GB"/>
        </w:rPr>
      </w:pPr>
      <w:r w:rsidRPr="0047704D">
        <w:rPr>
          <w:rFonts w:ascii="Helvetica" w:hAnsi="Helvetica" w:cs="Helvetica"/>
          <w:b/>
          <w:bCs/>
          <w:sz w:val="16"/>
          <w:szCs w:val="16"/>
          <w:lang w:val="en-GB"/>
        </w:rPr>
        <w:t>S</w:t>
      </w:r>
      <w:r w:rsidR="00425FF6">
        <w:rPr>
          <w:rFonts w:ascii="Helvetica" w:hAnsi="Helvetica" w:cs="Helvetica"/>
          <w:b/>
          <w:bCs/>
          <w:sz w:val="16"/>
          <w:szCs w:val="16"/>
          <w:lang w:val="en-GB"/>
        </w:rPr>
        <w:t>upplementary</w:t>
      </w:r>
      <w:r w:rsidRPr="0047704D">
        <w:rPr>
          <w:rFonts w:ascii="Helvetica" w:hAnsi="Helvetica" w:cs="Helvetica"/>
          <w:b/>
          <w:bCs/>
          <w:sz w:val="16"/>
          <w:szCs w:val="16"/>
          <w:lang w:val="en-GB"/>
        </w:rPr>
        <w:t xml:space="preserve"> 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 xml:space="preserve">Table </w:t>
      </w:r>
      <w:r w:rsidR="00B44192" w:rsidRPr="0047704D">
        <w:rPr>
          <w:rFonts w:ascii="Helvetica" w:hAnsi="Helvetica" w:cs="Helvetica"/>
          <w:b/>
          <w:bCs/>
          <w:sz w:val="16"/>
          <w:szCs w:val="16"/>
          <w:lang w:val="en-GB"/>
        </w:rPr>
        <w:t>3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>. Demographics, Disease Characteristics</w:t>
      </w:r>
      <w:r w:rsidR="00974482">
        <w:rPr>
          <w:rFonts w:ascii="Helvetica" w:hAnsi="Helvetica" w:cs="Helvetica"/>
          <w:b/>
          <w:bCs/>
          <w:sz w:val="16"/>
          <w:szCs w:val="16"/>
          <w:lang w:val="en-GB"/>
        </w:rPr>
        <w:t>,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 xml:space="preserve"> and Medical History at Baseline for Patients Enrolled in EAMS </w:t>
      </w:r>
      <w:r w:rsidR="008E4787" w:rsidRPr="0047704D">
        <w:rPr>
          <w:rFonts w:ascii="Helvetica" w:hAnsi="Helvetica" w:cs="Helvetica"/>
          <w:b/>
          <w:bCs/>
          <w:sz w:val="16"/>
          <w:szCs w:val="16"/>
          <w:lang w:val="en-GB"/>
        </w:rPr>
        <w:t>W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 xml:space="preserve">ho Consented to EQ-5D-3L </w:t>
      </w:r>
      <w:r w:rsidRPr="0047704D">
        <w:rPr>
          <w:rFonts w:ascii="Helvetica" w:hAnsi="Helvetica" w:cs="Helvetica"/>
          <w:b/>
          <w:bCs/>
          <w:sz w:val="16"/>
          <w:szCs w:val="16"/>
          <w:lang w:val="en-GB"/>
        </w:rPr>
        <w:t>C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>ompletion and Returned a Questionnaire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122"/>
      </w:tblGrid>
      <w:tr w:rsidR="00F0122A" w:rsidRPr="0047704D" w14:paraId="7113FCC6" w14:textId="77777777" w:rsidTr="00047A5B">
        <w:trPr>
          <w:trHeight w:val="170"/>
          <w:tblHeader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CF69CF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DDCCB" w14:textId="77777777" w:rsidR="00600D62" w:rsidRDefault="00F0122A" w:rsidP="00974482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 xml:space="preserve">Patients Enrolled in EAMS who Consented to EQ-5D-3L </w:t>
            </w:r>
            <w:r w:rsidR="003D50E3"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C</w:t>
            </w: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ompletion and Returned a Questionnaire</w:t>
            </w:r>
            <w:r w:rsidR="00974482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 xml:space="preserve"> </w:t>
            </w:r>
          </w:p>
          <w:p w14:paraId="1F393787" w14:textId="121A3E1F" w:rsidR="00F0122A" w:rsidRPr="0047704D" w:rsidRDefault="00F0122A" w:rsidP="00974482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vertAlign w:val="superscript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(N=</w:t>
            </w:r>
            <w:proofErr w:type="gramStart"/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71)</w:t>
            </w:r>
            <w:r w:rsidRPr="0047704D">
              <w:rPr>
                <w:rFonts w:ascii="Helvetica" w:hAnsi="Helvetica" w:cs="Helvetica"/>
                <w:b/>
                <w:sz w:val="16"/>
                <w:szCs w:val="16"/>
                <w:vertAlign w:val="superscript"/>
                <w:lang w:val="en-GB"/>
              </w:rPr>
              <w:t>a</w:t>
            </w:r>
            <w:proofErr w:type="gramEnd"/>
          </w:p>
        </w:tc>
      </w:tr>
      <w:tr w:rsidR="00F0122A" w:rsidRPr="0047704D" w14:paraId="1E3F172F" w14:textId="77777777" w:rsidTr="00047A5B">
        <w:trPr>
          <w:trHeight w:val="170"/>
        </w:trPr>
        <w:tc>
          <w:tcPr>
            <w:tcW w:w="3332" w:type="pct"/>
            <w:tcBorders>
              <w:top w:val="single" w:sz="4" w:space="0" w:color="auto"/>
            </w:tcBorders>
            <w:vAlign w:val="center"/>
            <w:hideMark/>
          </w:tcPr>
          <w:p w14:paraId="26D523C1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Age at baseline, years</w:t>
            </w:r>
          </w:p>
        </w:tc>
        <w:tc>
          <w:tcPr>
            <w:tcW w:w="1668" w:type="pct"/>
            <w:tcBorders>
              <w:top w:val="single" w:sz="4" w:space="0" w:color="auto"/>
            </w:tcBorders>
            <w:vAlign w:val="center"/>
          </w:tcPr>
          <w:p w14:paraId="59C96546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N=71</w:t>
            </w:r>
          </w:p>
        </w:tc>
      </w:tr>
      <w:tr w:rsidR="00F0122A" w:rsidRPr="0047704D" w14:paraId="490FA54C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75691700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Median</w:t>
            </w:r>
          </w:p>
        </w:tc>
        <w:tc>
          <w:tcPr>
            <w:tcW w:w="1668" w:type="pct"/>
            <w:vAlign w:val="center"/>
          </w:tcPr>
          <w:p w14:paraId="5BA44C4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63</w:t>
            </w:r>
          </w:p>
        </w:tc>
      </w:tr>
      <w:tr w:rsidR="00F0122A" w:rsidRPr="0047704D" w14:paraId="4BAD45CC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78453C75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Range</w:t>
            </w:r>
          </w:p>
        </w:tc>
        <w:tc>
          <w:tcPr>
            <w:tcW w:w="1668" w:type="pct"/>
            <w:vAlign w:val="center"/>
          </w:tcPr>
          <w:p w14:paraId="132D4B45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32–87</w:t>
            </w:r>
          </w:p>
        </w:tc>
      </w:tr>
      <w:tr w:rsidR="00F0122A" w:rsidRPr="0047704D" w14:paraId="2EAD992E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515B71A2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Gender, n (%)</w:t>
            </w:r>
          </w:p>
        </w:tc>
        <w:tc>
          <w:tcPr>
            <w:tcW w:w="1668" w:type="pct"/>
            <w:vAlign w:val="center"/>
          </w:tcPr>
          <w:p w14:paraId="3C233B7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N=71</w:t>
            </w:r>
          </w:p>
        </w:tc>
      </w:tr>
      <w:tr w:rsidR="00F0122A" w:rsidRPr="0047704D" w14:paraId="4AA99F19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54DA35BA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Male</w:t>
            </w:r>
          </w:p>
        </w:tc>
        <w:tc>
          <w:tcPr>
            <w:tcW w:w="1668" w:type="pct"/>
            <w:vAlign w:val="center"/>
          </w:tcPr>
          <w:p w14:paraId="524C0D5E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55 (77.5)</w:t>
            </w:r>
          </w:p>
        </w:tc>
      </w:tr>
      <w:tr w:rsidR="00F0122A" w:rsidRPr="0047704D" w14:paraId="48B0D5C7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684954A7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668" w:type="pct"/>
            <w:vAlign w:val="center"/>
          </w:tcPr>
          <w:p w14:paraId="60416AF3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16 (22.5)</w:t>
            </w:r>
          </w:p>
        </w:tc>
      </w:tr>
      <w:tr w:rsidR="00F0122A" w:rsidRPr="0047704D" w14:paraId="40700491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4306038B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Race, n (%)</w:t>
            </w:r>
          </w:p>
        </w:tc>
        <w:tc>
          <w:tcPr>
            <w:tcW w:w="1668" w:type="pct"/>
            <w:vAlign w:val="center"/>
          </w:tcPr>
          <w:p w14:paraId="58C2B393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N=70</w:t>
            </w:r>
          </w:p>
        </w:tc>
      </w:tr>
      <w:tr w:rsidR="00F0122A" w:rsidRPr="0047704D" w14:paraId="3795A175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246BF350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1668" w:type="pct"/>
            <w:vAlign w:val="center"/>
          </w:tcPr>
          <w:p w14:paraId="5C620639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66 (94.3)</w:t>
            </w:r>
          </w:p>
        </w:tc>
      </w:tr>
      <w:tr w:rsidR="00F0122A" w:rsidRPr="0047704D" w14:paraId="304CD0B0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025FDCCD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Asian (Indian, Pakistani, Bangladeshi)</w:t>
            </w:r>
          </w:p>
        </w:tc>
        <w:tc>
          <w:tcPr>
            <w:tcW w:w="1668" w:type="pct"/>
            <w:vAlign w:val="center"/>
          </w:tcPr>
          <w:p w14:paraId="32A6490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 (1.4)</w:t>
            </w:r>
          </w:p>
        </w:tc>
      </w:tr>
      <w:tr w:rsidR="00F0122A" w:rsidRPr="0047704D" w14:paraId="3ECE7317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0DEEC86E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Asian (Chinese, Japanese, Korean, Taiwanese)</w:t>
            </w:r>
          </w:p>
        </w:tc>
        <w:tc>
          <w:tcPr>
            <w:tcW w:w="1668" w:type="pct"/>
            <w:vAlign w:val="center"/>
          </w:tcPr>
          <w:p w14:paraId="1C8BEB4C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 (1.4)</w:t>
            </w:r>
          </w:p>
        </w:tc>
      </w:tr>
      <w:tr w:rsidR="00F0122A" w:rsidRPr="0047704D" w14:paraId="34AC31EC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112200D7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668" w:type="pct"/>
            <w:vAlign w:val="center"/>
          </w:tcPr>
          <w:p w14:paraId="6086F685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2 (2.9)</w:t>
            </w:r>
          </w:p>
        </w:tc>
      </w:tr>
      <w:tr w:rsidR="00F0122A" w:rsidRPr="0047704D" w14:paraId="341E6A37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4D03E9E6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Number of prior or pre-existing comorbidities at therapy initiation, n (%)</w:t>
            </w:r>
          </w:p>
        </w:tc>
        <w:tc>
          <w:tcPr>
            <w:tcW w:w="1668" w:type="pct"/>
            <w:vAlign w:val="center"/>
          </w:tcPr>
          <w:p w14:paraId="2A30FB1E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N=70</w:t>
            </w:r>
          </w:p>
        </w:tc>
      </w:tr>
      <w:tr w:rsidR="00F0122A" w:rsidRPr="0047704D" w14:paraId="5E251A66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0DDDA24A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0</w:t>
            </w:r>
          </w:p>
        </w:tc>
        <w:tc>
          <w:tcPr>
            <w:tcW w:w="1668" w:type="pct"/>
            <w:vAlign w:val="center"/>
          </w:tcPr>
          <w:p w14:paraId="0AA7B05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31 (44.3)</w:t>
            </w:r>
          </w:p>
        </w:tc>
      </w:tr>
      <w:tr w:rsidR="00F0122A" w:rsidRPr="0047704D" w14:paraId="44591CD9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5072B39D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5B6171D7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21 (30.0)</w:t>
            </w:r>
          </w:p>
        </w:tc>
      </w:tr>
      <w:tr w:rsidR="00F0122A" w:rsidRPr="0047704D" w14:paraId="493520A6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29B47F35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2</w:t>
            </w:r>
          </w:p>
        </w:tc>
        <w:tc>
          <w:tcPr>
            <w:tcW w:w="1668" w:type="pct"/>
            <w:vAlign w:val="center"/>
          </w:tcPr>
          <w:p w14:paraId="0C80EDF2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8 (11.4)</w:t>
            </w:r>
          </w:p>
        </w:tc>
      </w:tr>
      <w:tr w:rsidR="00F0122A" w:rsidRPr="0047704D" w14:paraId="3720A98E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163261F0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3 or more</w:t>
            </w:r>
          </w:p>
        </w:tc>
        <w:tc>
          <w:tcPr>
            <w:tcW w:w="1668" w:type="pct"/>
            <w:vAlign w:val="center"/>
          </w:tcPr>
          <w:p w14:paraId="25E401A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10 (14.3)</w:t>
            </w:r>
          </w:p>
        </w:tc>
      </w:tr>
      <w:tr w:rsidR="00F0122A" w:rsidRPr="0047704D" w14:paraId="77DDC39A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7B157B68" w14:textId="7DDDEBC1" w:rsidR="00F0122A" w:rsidRPr="0047704D" w:rsidRDefault="00F0122A" w:rsidP="00425FF6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 xml:space="preserve">Most common prior or pre-existing comorbidities at therapy </w:t>
            </w:r>
            <w:proofErr w:type="spellStart"/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initiation</w:t>
            </w:r>
            <w:r w:rsidR="006C4CA1" w:rsidRPr="0047704D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668" w:type="pct"/>
            <w:vAlign w:val="center"/>
          </w:tcPr>
          <w:p w14:paraId="022C4849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N=70</w:t>
            </w:r>
          </w:p>
        </w:tc>
      </w:tr>
      <w:tr w:rsidR="00F0122A" w:rsidRPr="0047704D" w14:paraId="1E20B10A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11A5D5CC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Hypertension</w:t>
            </w:r>
          </w:p>
        </w:tc>
        <w:tc>
          <w:tcPr>
            <w:tcW w:w="1668" w:type="pct"/>
            <w:vAlign w:val="center"/>
          </w:tcPr>
          <w:p w14:paraId="2207BE6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11 (15.7)</w:t>
            </w:r>
          </w:p>
        </w:tc>
      </w:tr>
      <w:tr w:rsidR="00F0122A" w:rsidRPr="0047704D" w14:paraId="6625307F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67349FE0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‘Other’ cardiovascular</w:t>
            </w:r>
          </w:p>
        </w:tc>
        <w:tc>
          <w:tcPr>
            <w:tcW w:w="1668" w:type="pct"/>
            <w:vAlign w:val="center"/>
          </w:tcPr>
          <w:p w14:paraId="68E64D02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9 (12.9)</w:t>
            </w:r>
          </w:p>
        </w:tc>
      </w:tr>
      <w:tr w:rsidR="00F0122A" w:rsidRPr="0047704D" w14:paraId="0F71EF43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3BC2721F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Concomitant medications, n (%)</w:t>
            </w:r>
          </w:p>
        </w:tc>
        <w:tc>
          <w:tcPr>
            <w:tcW w:w="1668" w:type="pct"/>
            <w:vAlign w:val="center"/>
          </w:tcPr>
          <w:p w14:paraId="2DA0DE03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N=70</w:t>
            </w:r>
          </w:p>
        </w:tc>
      </w:tr>
      <w:tr w:rsidR="00F0122A" w:rsidRPr="0047704D" w14:paraId="69BF9050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20F48C79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Yes</w:t>
            </w:r>
          </w:p>
        </w:tc>
        <w:tc>
          <w:tcPr>
            <w:tcW w:w="1668" w:type="pct"/>
            <w:vAlign w:val="center"/>
          </w:tcPr>
          <w:p w14:paraId="60BDBB19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60 (85.7)</w:t>
            </w:r>
          </w:p>
        </w:tc>
      </w:tr>
      <w:tr w:rsidR="00F0122A" w:rsidRPr="0047704D" w14:paraId="120259FF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75102BEB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No</w:t>
            </w:r>
          </w:p>
        </w:tc>
        <w:tc>
          <w:tcPr>
            <w:tcW w:w="1668" w:type="pct"/>
            <w:vAlign w:val="center"/>
          </w:tcPr>
          <w:p w14:paraId="0871D4EE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10 (14.3)</w:t>
            </w:r>
          </w:p>
        </w:tc>
      </w:tr>
      <w:tr w:rsidR="00F0122A" w:rsidRPr="0047704D" w14:paraId="27F36FDF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7F435390" w14:textId="31771E38" w:rsidR="00F0122A" w:rsidRPr="0047704D" w:rsidRDefault="00F0122A" w:rsidP="00425FF6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 xml:space="preserve">Most common types of concomitant </w:t>
            </w:r>
            <w:proofErr w:type="spellStart"/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medications</w:t>
            </w:r>
            <w:r w:rsidR="006C4CA1" w:rsidRPr="0047704D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  <w:lang w:val="en-GB"/>
              </w:rPr>
              <w:t>b</w:t>
            </w:r>
            <w:proofErr w:type="spellEnd"/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668" w:type="pct"/>
            <w:vAlign w:val="center"/>
          </w:tcPr>
          <w:p w14:paraId="54E9C9E6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N=70</w:t>
            </w:r>
          </w:p>
        </w:tc>
      </w:tr>
      <w:tr w:rsidR="00F0122A" w:rsidRPr="0047704D" w14:paraId="0C065884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41178665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Proton pump inhibitors</w:t>
            </w:r>
          </w:p>
        </w:tc>
        <w:tc>
          <w:tcPr>
            <w:tcW w:w="1668" w:type="pct"/>
            <w:vAlign w:val="center"/>
          </w:tcPr>
          <w:p w14:paraId="3E8B9600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45 (64.3)</w:t>
            </w:r>
          </w:p>
        </w:tc>
      </w:tr>
      <w:tr w:rsidR="00F0122A" w:rsidRPr="0047704D" w14:paraId="1ED0BCA0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6A7E839C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Opioid analgesics</w:t>
            </w:r>
          </w:p>
        </w:tc>
        <w:tc>
          <w:tcPr>
            <w:tcW w:w="1668" w:type="pct"/>
            <w:vAlign w:val="center"/>
          </w:tcPr>
          <w:p w14:paraId="128BF8B4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21 (30.0)</w:t>
            </w:r>
          </w:p>
        </w:tc>
      </w:tr>
      <w:tr w:rsidR="00F0122A" w:rsidRPr="0047704D" w14:paraId="4A3E0DA2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48E1188C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Antiemetic drugs</w:t>
            </w:r>
          </w:p>
        </w:tc>
        <w:tc>
          <w:tcPr>
            <w:tcW w:w="1668" w:type="pct"/>
            <w:vAlign w:val="center"/>
          </w:tcPr>
          <w:p w14:paraId="7E778534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13 (18.6)</w:t>
            </w:r>
          </w:p>
        </w:tc>
      </w:tr>
      <w:tr w:rsidR="00F0122A" w:rsidRPr="0047704D" w14:paraId="7722E4B7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499DCF80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Non-opioid analgesics</w:t>
            </w:r>
          </w:p>
        </w:tc>
        <w:tc>
          <w:tcPr>
            <w:tcW w:w="1668" w:type="pct"/>
            <w:vAlign w:val="center"/>
          </w:tcPr>
          <w:p w14:paraId="462E3E90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15 (21.4)</w:t>
            </w:r>
          </w:p>
        </w:tc>
      </w:tr>
      <w:tr w:rsidR="00F0122A" w:rsidRPr="0047704D" w14:paraId="6156EE97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10AD287C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Antithrombotic drugs</w:t>
            </w:r>
          </w:p>
        </w:tc>
        <w:tc>
          <w:tcPr>
            <w:tcW w:w="1668" w:type="pct"/>
            <w:vAlign w:val="center"/>
          </w:tcPr>
          <w:p w14:paraId="5DF6D504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10 (14.3)</w:t>
            </w:r>
          </w:p>
        </w:tc>
      </w:tr>
      <w:tr w:rsidR="00F0122A" w:rsidRPr="0047704D" w14:paraId="162CF03D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5F0C0586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>Primary tumour location</w:t>
            </w: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668" w:type="pct"/>
            <w:vAlign w:val="center"/>
          </w:tcPr>
          <w:p w14:paraId="6B3CCA62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N-71</w:t>
            </w:r>
          </w:p>
        </w:tc>
      </w:tr>
      <w:tr w:rsidR="00F0122A" w:rsidRPr="0047704D" w14:paraId="787B93AC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55091785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Gastric adenocarcinoma</w:t>
            </w:r>
          </w:p>
        </w:tc>
        <w:tc>
          <w:tcPr>
            <w:tcW w:w="1668" w:type="pct"/>
            <w:vAlign w:val="center"/>
          </w:tcPr>
          <w:p w14:paraId="58D82E78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25 (35.2)</w:t>
            </w:r>
          </w:p>
        </w:tc>
      </w:tr>
      <w:tr w:rsidR="00F0122A" w:rsidRPr="0047704D" w14:paraId="40CD2313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37DD24C5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Gastroesophageal junction</w:t>
            </w:r>
          </w:p>
        </w:tc>
        <w:tc>
          <w:tcPr>
            <w:tcW w:w="1668" w:type="pct"/>
            <w:vAlign w:val="center"/>
          </w:tcPr>
          <w:p w14:paraId="39D87A00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46 (64.8)</w:t>
            </w:r>
          </w:p>
        </w:tc>
      </w:tr>
      <w:tr w:rsidR="00F0122A" w:rsidRPr="0047704D" w14:paraId="18C36714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18C757E9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>Tumour histology (adenocarcinoma)</w:t>
            </w: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668" w:type="pct"/>
            <w:vAlign w:val="center"/>
          </w:tcPr>
          <w:p w14:paraId="32844E7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N=71</w:t>
            </w:r>
          </w:p>
        </w:tc>
      </w:tr>
      <w:tr w:rsidR="00F0122A" w:rsidRPr="0047704D" w14:paraId="0DB22E2C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1B562C0E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Yes</w:t>
            </w:r>
          </w:p>
        </w:tc>
        <w:tc>
          <w:tcPr>
            <w:tcW w:w="1668" w:type="pct"/>
            <w:vAlign w:val="center"/>
          </w:tcPr>
          <w:p w14:paraId="53E4DAFE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71 (100.0)</w:t>
            </w:r>
          </w:p>
        </w:tc>
      </w:tr>
      <w:tr w:rsidR="00F0122A" w:rsidRPr="0047704D" w14:paraId="635CF108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07A2170B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>Number of organs with metastases</w:t>
            </w: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668" w:type="pct"/>
            <w:vAlign w:val="center"/>
          </w:tcPr>
          <w:p w14:paraId="705AB84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N=71</w:t>
            </w:r>
          </w:p>
        </w:tc>
      </w:tr>
      <w:tr w:rsidR="00F0122A" w:rsidRPr="0047704D" w14:paraId="3CEFA631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7F97AD5F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≤1</w:t>
            </w:r>
          </w:p>
        </w:tc>
        <w:tc>
          <w:tcPr>
            <w:tcW w:w="1668" w:type="pct"/>
            <w:vAlign w:val="center"/>
          </w:tcPr>
          <w:p w14:paraId="78E3242C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29 (40.8)</w:t>
            </w:r>
          </w:p>
        </w:tc>
      </w:tr>
      <w:tr w:rsidR="00F0122A" w:rsidRPr="0047704D" w14:paraId="575E7235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50C78988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≥2</w:t>
            </w:r>
          </w:p>
        </w:tc>
        <w:tc>
          <w:tcPr>
            <w:tcW w:w="1668" w:type="pct"/>
            <w:vAlign w:val="center"/>
          </w:tcPr>
          <w:p w14:paraId="11F3F72F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42 (59.2)</w:t>
            </w:r>
          </w:p>
        </w:tc>
      </w:tr>
      <w:tr w:rsidR="00F0122A" w:rsidRPr="0047704D" w14:paraId="61FC0F7B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5D503491" w14:textId="3EC0BDE2" w:rsidR="00F0122A" w:rsidRPr="0047704D" w:rsidRDefault="00F0122A" w:rsidP="00425FF6">
            <w:pPr>
              <w:spacing w:before="40" w:after="4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 xml:space="preserve">Sites of </w:t>
            </w:r>
            <w:proofErr w:type="spellStart"/>
            <w:r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>metastases</w:t>
            </w:r>
            <w:r w:rsidR="006C4CA1"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vertAlign w:val="superscript"/>
                <w:lang w:val="en-GB"/>
              </w:rPr>
              <w:t>c</w:t>
            </w:r>
            <w:proofErr w:type="spellEnd"/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668" w:type="pct"/>
            <w:vAlign w:val="center"/>
          </w:tcPr>
          <w:p w14:paraId="68FD8C4B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N=70</w:t>
            </w:r>
          </w:p>
        </w:tc>
      </w:tr>
      <w:tr w:rsidR="00F0122A" w:rsidRPr="0047704D" w14:paraId="5B1EE7E1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1DEAD3A7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Lymph node</w:t>
            </w:r>
          </w:p>
        </w:tc>
        <w:tc>
          <w:tcPr>
            <w:tcW w:w="1668" w:type="pct"/>
            <w:vAlign w:val="center"/>
          </w:tcPr>
          <w:p w14:paraId="54C66BB5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49 (70.0)</w:t>
            </w:r>
          </w:p>
        </w:tc>
      </w:tr>
      <w:tr w:rsidR="00F0122A" w:rsidRPr="0047704D" w14:paraId="7D161FEE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4BB27682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Liver</w:t>
            </w:r>
          </w:p>
        </w:tc>
        <w:tc>
          <w:tcPr>
            <w:tcW w:w="1668" w:type="pct"/>
            <w:vAlign w:val="center"/>
          </w:tcPr>
          <w:p w14:paraId="187935E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26 (37.1)</w:t>
            </w:r>
          </w:p>
        </w:tc>
      </w:tr>
      <w:tr w:rsidR="00F0122A" w:rsidRPr="0047704D" w14:paraId="5D55AE78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54D3EA11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Lung</w:t>
            </w:r>
          </w:p>
        </w:tc>
        <w:tc>
          <w:tcPr>
            <w:tcW w:w="1668" w:type="pct"/>
            <w:vAlign w:val="center"/>
          </w:tcPr>
          <w:p w14:paraId="60C76AB6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17 (24.3)</w:t>
            </w:r>
          </w:p>
        </w:tc>
      </w:tr>
      <w:tr w:rsidR="00F0122A" w:rsidRPr="0047704D" w14:paraId="2F181F40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3B131014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Peritoneum</w:t>
            </w:r>
          </w:p>
        </w:tc>
        <w:tc>
          <w:tcPr>
            <w:tcW w:w="1668" w:type="pct"/>
            <w:vAlign w:val="center"/>
          </w:tcPr>
          <w:p w14:paraId="655CAAF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18 (25.7)</w:t>
            </w:r>
          </w:p>
        </w:tc>
      </w:tr>
      <w:tr w:rsidR="00F0122A" w:rsidRPr="0047704D" w14:paraId="079942F8" w14:textId="77777777" w:rsidTr="00047A5B">
        <w:trPr>
          <w:trHeight w:val="170"/>
        </w:trPr>
        <w:tc>
          <w:tcPr>
            <w:tcW w:w="3332" w:type="pct"/>
            <w:vAlign w:val="center"/>
          </w:tcPr>
          <w:p w14:paraId="4B739957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Bone</w:t>
            </w:r>
          </w:p>
        </w:tc>
        <w:tc>
          <w:tcPr>
            <w:tcW w:w="1668" w:type="pct"/>
            <w:vAlign w:val="center"/>
          </w:tcPr>
          <w:p w14:paraId="2CCE7633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7 (10.0)</w:t>
            </w:r>
          </w:p>
        </w:tc>
      </w:tr>
      <w:tr w:rsidR="00F0122A" w:rsidRPr="0047704D" w14:paraId="77C144B2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1DAADFAA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668" w:type="pct"/>
            <w:vAlign w:val="center"/>
          </w:tcPr>
          <w:p w14:paraId="3F533FBE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6 (8.6)</w:t>
            </w:r>
          </w:p>
        </w:tc>
      </w:tr>
      <w:tr w:rsidR="00F0122A" w:rsidRPr="0047704D" w14:paraId="6D34F910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4C75575A" w14:textId="77777777" w:rsidR="00F0122A" w:rsidRPr="0047704D" w:rsidRDefault="00F0122A" w:rsidP="00425FF6">
            <w:pPr>
              <w:spacing w:before="40" w:after="4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>ECOG performance status</w:t>
            </w: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668" w:type="pct"/>
            <w:vAlign w:val="center"/>
          </w:tcPr>
          <w:p w14:paraId="4CA4E6BF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N=71</w:t>
            </w:r>
          </w:p>
        </w:tc>
      </w:tr>
      <w:tr w:rsidR="00F0122A" w:rsidRPr="0047704D" w14:paraId="23555948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2443C630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lastRenderedPageBreak/>
              <w:t>0</w:t>
            </w:r>
          </w:p>
        </w:tc>
        <w:tc>
          <w:tcPr>
            <w:tcW w:w="1668" w:type="pct"/>
            <w:vAlign w:val="center"/>
          </w:tcPr>
          <w:p w14:paraId="5716DE27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13 (18.3)</w:t>
            </w:r>
          </w:p>
        </w:tc>
      </w:tr>
      <w:tr w:rsidR="00F0122A" w:rsidRPr="0047704D" w14:paraId="0D50D717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1C4EF434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1BFB2897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54 (76.1)</w:t>
            </w:r>
          </w:p>
        </w:tc>
      </w:tr>
      <w:tr w:rsidR="00F0122A" w:rsidRPr="0047704D" w14:paraId="74150324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7158439A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2</w:t>
            </w:r>
          </w:p>
        </w:tc>
        <w:tc>
          <w:tcPr>
            <w:tcW w:w="1668" w:type="pct"/>
            <w:vAlign w:val="center"/>
          </w:tcPr>
          <w:p w14:paraId="62265844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4 (5.6)</w:t>
            </w:r>
          </w:p>
        </w:tc>
      </w:tr>
      <w:tr w:rsidR="00F0122A" w:rsidRPr="0047704D" w14:paraId="3B8C21AE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65265F22" w14:textId="790733E3" w:rsidR="00F0122A" w:rsidRPr="0047704D" w:rsidRDefault="00F0122A" w:rsidP="00425FF6">
            <w:pPr>
              <w:spacing w:before="40" w:after="4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>Number of prior systemic treatments for advanced gastric or GEJ</w:t>
            </w:r>
            <w:r w:rsidR="00AC10FF"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 xml:space="preserve"> cancer</w:t>
            </w: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668" w:type="pct"/>
            <w:vAlign w:val="center"/>
          </w:tcPr>
          <w:p w14:paraId="0C1C7A4A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N=69</w:t>
            </w:r>
          </w:p>
        </w:tc>
      </w:tr>
      <w:tr w:rsidR="00F0122A" w:rsidRPr="0047704D" w14:paraId="100FE7CC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09F4DDEA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2</w:t>
            </w:r>
          </w:p>
        </w:tc>
        <w:tc>
          <w:tcPr>
            <w:tcW w:w="1668" w:type="pct"/>
            <w:vAlign w:val="center"/>
          </w:tcPr>
          <w:p w14:paraId="11F21B59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61 (88.4)</w:t>
            </w:r>
          </w:p>
        </w:tc>
      </w:tr>
      <w:tr w:rsidR="00F0122A" w:rsidRPr="0047704D" w14:paraId="0219D833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4D3C3501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3</w:t>
            </w:r>
          </w:p>
        </w:tc>
        <w:tc>
          <w:tcPr>
            <w:tcW w:w="1668" w:type="pct"/>
            <w:vAlign w:val="center"/>
          </w:tcPr>
          <w:p w14:paraId="19CA5489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8 (11.6)</w:t>
            </w:r>
          </w:p>
        </w:tc>
      </w:tr>
      <w:tr w:rsidR="00F0122A" w:rsidRPr="0047704D" w14:paraId="5D489A5A" w14:textId="77777777" w:rsidTr="00757754">
        <w:trPr>
          <w:trHeight w:val="63"/>
        </w:trPr>
        <w:tc>
          <w:tcPr>
            <w:tcW w:w="3332" w:type="pct"/>
            <w:vAlign w:val="center"/>
            <w:hideMark/>
          </w:tcPr>
          <w:p w14:paraId="3487DA7E" w14:textId="63344282" w:rsidR="00F0122A" w:rsidRPr="0047704D" w:rsidRDefault="00F0122A" w:rsidP="00425FF6">
            <w:pPr>
              <w:spacing w:before="40" w:after="4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>Prior surgery for gastric or GEJ</w:t>
            </w:r>
            <w:r w:rsidR="00AC10FF" w:rsidRPr="0047704D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 xml:space="preserve"> cancer</w:t>
            </w:r>
            <w:r w:rsidRPr="0047704D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668" w:type="pct"/>
            <w:vAlign w:val="center"/>
          </w:tcPr>
          <w:p w14:paraId="5AD5F5EE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N=69</w:t>
            </w:r>
          </w:p>
        </w:tc>
      </w:tr>
      <w:tr w:rsidR="00F0122A" w:rsidRPr="0047704D" w14:paraId="69F70714" w14:textId="77777777" w:rsidTr="00047A5B">
        <w:trPr>
          <w:trHeight w:val="170"/>
        </w:trPr>
        <w:tc>
          <w:tcPr>
            <w:tcW w:w="3332" w:type="pct"/>
            <w:vAlign w:val="center"/>
            <w:hideMark/>
          </w:tcPr>
          <w:p w14:paraId="4556684E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Yes</w:t>
            </w:r>
          </w:p>
        </w:tc>
        <w:tc>
          <w:tcPr>
            <w:tcW w:w="1668" w:type="pct"/>
            <w:vAlign w:val="center"/>
          </w:tcPr>
          <w:p w14:paraId="1EEC4A9C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22 (31.9)</w:t>
            </w:r>
          </w:p>
        </w:tc>
      </w:tr>
      <w:tr w:rsidR="00F0122A" w:rsidRPr="0047704D" w14:paraId="6AFE882A" w14:textId="77777777" w:rsidTr="00047A5B">
        <w:trPr>
          <w:trHeight w:val="170"/>
        </w:trPr>
        <w:tc>
          <w:tcPr>
            <w:tcW w:w="3332" w:type="pct"/>
            <w:tcBorders>
              <w:bottom w:val="single" w:sz="4" w:space="0" w:color="auto"/>
            </w:tcBorders>
            <w:vAlign w:val="center"/>
            <w:hideMark/>
          </w:tcPr>
          <w:p w14:paraId="44D78440" w14:textId="77777777" w:rsidR="00F0122A" w:rsidRPr="0047704D" w:rsidRDefault="00F0122A" w:rsidP="00425FF6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No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14:paraId="1AF95A01" w14:textId="77777777" w:rsidR="00F0122A" w:rsidRPr="0047704D" w:rsidRDefault="00F0122A" w:rsidP="00425FF6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47704D">
              <w:rPr>
                <w:rFonts w:ascii="Helvetica" w:hAnsi="Helvetica" w:cs="Helvetica"/>
                <w:sz w:val="16"/>
                <w:szCs w:val="16"/>
                <w:lang w:val="en-GB"/>
              </w:rPr>
              <w:t>47 (68.1)</w:t>
            </w:r>
          </w:p>
        </w:tc>
      </w:tr>
    </w:tbl>
    <w:p w14:paraId="4918233A" w14:textId="4F8E6D99" w:rsidR="0009216D" w:rsidRDefault="00F0122A" w:rsidP="00773002">
      <w:pPr>
        <w:spacing w:before="80" w:after="0" w:line="240" w:lineRule="auto"/>
        <w:rPr>
          <w:rFonts w:ascii="Helvetica" w:hAnsi="Helvetica" w:cs="Helvetica"/>
          <w:sz w:val="16"/>
          <w:szCs w:val="16"/>
          <w:lang w:val="en-GB"/>
        </w:rPr>
      </w:pPr>
      <w:proofErr w:type="spellStart"/>
      <w:r w:rsidRPr="0047704D">
        <w:rPr>
          <w:rFonts w:ascii="Helvetica" w:hAnsi="Helvetica" w:cs="Helvetica"/>
          <w:sz w:val="16"/>
          <w:szCs w:val="16"/>
          <w:vertAlign w:val="superscript"/>
          <w:lang w:val="en-GB"/>
        </w:rPr>
        <w:t>a</w:t>
      </w:r>
      <w:proofErr w:type="spellEnd"/>
      <w:r w:rsidRPr="0047704D">
        <w:rPr>
          <w:rFonts w:ascii="Helvetica" w:hAnsi="Helvetica" w:cs="Helvetica"/>
          <w:sz w:val="16"/>
          <w:szCs w:val="16"/>
          <w:lang w:val="en-GB"/>
        </w:rPr>
        <w:t xml:space="preserve"> </w:t>
      </w:r>
      <w:proofErr w:type="gramStart"/>
      <w:r w:rsidRPr="0047704D">
        <w:rPr>
          <w:rFonts w:ascii="Helvetica" w:hAnsi="Helvetica" w:cs="Helvetica"/>
          <w:sz w:val="16"/>
          <w:szCs w:val="16"/>
          <w:lang w:val="en-GB"/>
        </w:rPr>
        <w:t>For</w:t>
      </w:r>
      <w:proofErr w:type="gramEnd"/>
      <w:r w:rsidRPr="0047704D">
        <w:rPr>
          <w:rFonts w:ascii="Helvetica" w:hAnsi="Helvetica" w:cs="Helvetica"/>
          <w:sz w:val="16"/>
          <w:szCs w:val="16"/>
          <w:lang w:val="en-GB"/>
        </w:rPr>
        <w:t xml:space="preserve"> one patient</w:t>
      </w:r>
      <w:r w:rsidR="0009216D" w:rsidRPr="0047704D">
        <w:rPr>
          <w:rFonts w:ascii="Helvetica" w:hAnsi="Helvetica" w:cs="Helvetica"/>
          <w:sz w:val="16"/>
          <w:szCs w:val="16"/>
          <w:lang w:val="en-GB"/>
        </w:rPr>
        <w:t>,</w:t>
      </w:r>
      <w:r w:rsidRPr="0047704D">
        <w:rPr>
          <w:rFonts w:ascii="Helvetica" w:hAnsi="Helvetica" w:cs="Helvetica"/>
          <w:sz w:val="16"/>
          <w:szCs w:val="16"/>
          <w:lang w:val="en-GB"/>
        </w:rPr>
        <w:t xml:space="preserve"> the </w:t>
      </w:r>
      <w:r w:rsidR="0009216D" w:rsidRPr="0047704D">
        <w:rPr>
          <w:rFonts w:ascii="Helvetica" w:hAnsi="Helvetica" w:cs="Helvetica"/>
          <w:sz w:val="16"/>
          <w:szCs w:val="16"/>
          <w:lang w:val="en-GB"/>
        </w:rPr>
        <w:t xml:space="preserve">identification </w:t>
      </w:r>
      <w:r w:rsidRPr="0047704D">
        <w:rPr>
          <w:rFonts w:ascii="Helvetica" w:hAnsi="Helvetica" w:cs="Helvetica"/>
          <w:sz w:val="16"/>
          <w:szCs w:val="16"/>
          <w:lang w:val="en-GB"/>
        </w:rPr>
        <w:t>number was missing</w:t>
      </w:r>
      <w:r w:rsidR="0009216D" w:rsidRPr="0047704D">
        <w:rPr>
          <w:rFonts w:ascii="Helvetica" w:hAnsi="Helvetica" w:cs="Helvetica"/>
          <w:sz w:val="16"/>
          <w:szCs w:val="16"/>
          <w:lang w:val="en-GB"/>
        </w:rPr>
        <w:t>,</w:t>
      </w:r>
      <w:r w:rsidRPr="0047704D">
        <w:rPr>
          <w:rFonts w:ascii="Helvetica" w:hAnsi="Helvetica" w:cs="Helvetica"/>
          <w:sz w:val="16"/>
          <w:szCs w:val="16"/>
          <w:lang w:val="en-GB"/>
        </w:rPr>
        <w:t xml:space="preserve"> and the EQ-5D questionnaire data could not be matched with the baseline data</w:t>
      </w:r>
    </w:p>
    <w:p w14:paraId="260F6E82" w14:textId="77777777" w:rsidR="00312BBB" w:rsidRPr="0047704D" w:rsidRDefault="00312BBB" w:rsidP="00B00E8E">
      <w:pPr>
        <w:spacing w:before="0" w:after="0" w:line="240" w:lineRule="auto"/>
        <w:rPr>
          <w:rFonts w:ascii="Helvetica" w:hAnsi="Helvetica" w:cs="Helvetica"/>
          <w:sz w:val="16"/>
          <w:szCs w:val="16"/>
          <w:lang w:val="en-GB"/>
        </w:rPr>
      </w:pPr>
    </w:p>
    <w:p w14:paraId="4354CECA" w14:textId="390F4898" w:rsidR="0009216D" w:rsidRDefault="006C4CA1" w:rsidP="00B00E8E">
      <w:pPr>
        <w:spacing w:before="0"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47704D">
        <w:rPr>
          <w:rFonts w:ascii="Helvetica" w:hAnsi="Helvetica" w:cs="Helvetica"/>
          <w:sz w:val="16"/>
          <w:szCs w:val="16"/>
          <w:vertAlign w:val="superscript"/>
          <w:lang w:val="en-GB"/>
        </w:rPr>
        <w:t>b</w:t>
      </w:r>
      <w:r w:rsidR="00F0122A" w:rsidRPr="0047704D">
        <w:rPr>
          <w:rFonts w:ascii="Helvetica" w:hAnsi="Helvetica" w:cs="Helvetica"/>
          <w:sz w:val="16"/>
          <w:szCs w:val="16"/>
          <w:lang w:val="en-GB"/>
        </w:rPr>
        <w:t xml:space="preserve"> ‘Most common’ reported comorbidities and concomitant medications are those that were reported in at least 10% of patients who consented to observational research. More than one comorbidity or concomitant medication may have been reported per patient</w:t>
      </w:r>
    </w:p>
    <w:p w14:paraId="1A60C11E" w14:textId="77777777" w:rsidR="00312BBB" w:rsidRPr="0047704D" w:rsidRDefault="00312BBB" w:rsidP="00B00E8E">
      <w:pPr>
        <w:spacing w:before="0" w:after="0" w:line="240" w:lineRule="auto"/>
        <w:rPr>
          <w:rFonts w:ascii="Helvetica" w:hAnsi="Helvetica" w:cs="Helvetica"/>
          <w:sz w:val="16"/>
          <w:szCs w:val="16"/>
          <w:lang w:val="en-GB"/>
        </w:rPr>
      </w:pPr>
    </w:p>
    <w:p w14:paraId="41BAAF1D" w14:textId="7ACF3BF1" w:rsidR="00F0122A" w:rsidRPr="0047704D" w:rsidRDefault="006C4CA1" w:rsidP="00B00E8E">
      <w:pPr>
        <w:spacing w:before="0"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47704D">
        <w:rPr>
          <w:rFonts w:ascii="Helvetica" w:hAnsi="Helvetica" w:cs="Helvetica"/>
          <w:sz w:val="16"/>
          <w:szCs w:val="16"/>
          <w:vertAlign w:val="superscript"/>
          <w:lang w:val="en-GB"/>
        </w:rPr>
        <w:t>c</w:t>
      </w:r>
      <w:r w:rsidR="00F0122A" w:rsidRPr="0047704D">
        <w:rPr>
          <w:rFonts w:ascii="Helvetica" w:hAnsi="Helvetica" w:cs="Helvetica"/>
          <w:sz w:val="16"/>
          <w:szCs w:val="16"/>
          <w:lang w:val="en-GB"/>
        </w:rPr>
        <w:t xml:space="preserve"> More than one site may have been reported per patient.</w:t>
      </w:r>
    </w:p>
    <w:p w14:paraId="23E8DECD" w14:textId="77777777" w:rsidR="003F6C42" w:rsidRDefault="003F6C42" w:rsidP="00B00E8E">
      <w:pPr>
        <w:spacing w:before="0" w:after="0" w:line="240" w:lineRule="auto"/>
        <w:rPr>
          <w:rFonts w:ascii="Helvetica" w:hAnsi="Helvetica" w:cs="Helvetica"/>
          <w:sz w:val="16"/>
          <w:szCs w:val="16"/>
          <w:lang w:val="en-GB"/>
        </w:rPr>
      </w:pPr>
    </w:p>
    <w:p w14:paraId="1C452B0A" w14:textId="4C5DF2AC" w:rsidR="00F0122A" w:rsidRPr="0047704D" w:rsidRDefault="00F0122A" w:rsidP="00B00E8E">
      <w:pPr>
        <w:spacing w:before="0" w:after="0" w:line="240" w:lineRule="auto"/>
        <w:rPr>
          <w:rFonts w:ascii="Helvetica" w:hAnsi="Helvetica" w:cs="Helvetica"/>
          <w:b/>
          <w:sz w:val="16"/>
          <w:szCs w:val="16"/>
          <w:lang w:val="en-GB"/>
        </w:rPr>
      </w:pPr>
      <w:r w:rsidRPr="0047704D">
        <w:rPr>
          <w:rFonts w:ascii="Helvetica" w:hAnsi="Helvetica" w:cs="Helvetica"/>
          <w:sz w:val="16"/>
          <w:szCs w:val="16"/>
          <w:lang w:val="en-GB"/>
        </w:rPr>
        <w:t xml:space="preserve">Abbreviations: EAMS = Early Access to Medicines Scheme; </w:t>
      </w:r>
      <w:r w:rsidR="0009216D" w:rsidRPr="0047704D">
        <w:rPr>
          <w:rFonts w:ascii="Helvetica" w:hAnsi="Helvetica" w:cs="Helvetica"/>
          <w:sz w:val="16"/>
          <w:szCs w:val="16"/>
          <w:lang w:val="en-GB"/>
        </w:rPr>
        <w:t xml:space="preserve">ECOG = Eastern Cooperative Oncology Group; EQ-5D-3L = </w:t>
      </w:r>
      <w:proofErr w:type="spellStart"/>
      <w:r w:rsidR="0009216D" w:rsidRPr="0047704D">
        <w:rPr>
          <w:rFonts w:ascii="Helvetica" w:hAnsi="Helvetica" w:cs="Helvetica"/>
          <w:sz w:val="16"/>
          <w:szCs w:val="16"/>
          <w:lang w:val="en-GB"/>
        </w:rPr>
        <w:t>EuroQoL</w:t>
      </w:r>
      <w:proofErr w:type="spellEnd"/>
      <w:r w:rsidR="0009216D" w:rsidRPr="0047704D">
        <w:rPr>
          <w:rFonts w:ascii="Helvetica" w:hAnsi="Helvetica" w:cs="Helvetica"/>
          <w:sz w:val="16"/>
          <w:szCs w:val="16"/>
          <w:lang w:val="en-GB"/>
        </w:rPr>
        <w:t xml:space="preserve"> Five Dimensions, Three Levels questionnaire; </w:t>
      </w:r>
      <w:r w:rsidRPr="0047704D">
        <w:rPr>
          <w:rFonts w:ascii="Helvetica" w:hAnsi="Helvetica" w:cs="Helvetica"/>
          <w:sz w:val="16"/>
          <w:szCs w:val="16"/>
          <w:lang w:val="en-GB"/>
        </w:rPr>
        <w:t>GEJ = gastroesophageal junction</w:t>
      </w:r>
    </w:p>
    <w:sectPr w:rsidR="00F0122A" w:rsidRPr="0047704D" w:rsidSect="00B7699C">
      <w:footerReference w:type="default" r:id="rId10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8401" w14:textId="77777777" w:rsidR="005C4FE2" w:rsidRDefault="005C4FE2">
      <w:pPr>
        <w:spacing w:after="0" w:line="240" w:lineRule="auto"/>
      </w:pPr>
      <w:r>
        <w:separator/>
      </w:r>
    </w:p>
  </w:endnote>
  <w:endnote w:type="continuationSeparator" w:id="0">
    <w:p w14:paraId="46008A13" w14:textId="77777777" w:rsidR="005C4FE2" w:rsidRDefault="005C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83394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F6A8A8A" w14:textId="3F8FDAD1" w:rsidR="00F55F47" w:rsidRPr="00F55F47" w:rsidRDefault="00F55F47" w:rsidP="00F55F47">
        <w:pPr>
          <w:pStyle w:val="Footer"/>
          <w:jc w:val="center"/>
          <w:rPr>
            <w:sz w:val="18"/>
            <w:szCs w:val="18"/>
          </w:rPr>
        </w:pPr>
        <w:r w:rsidRPr="00F55F47">
          <w:rPr>
            <w:sz w:val="18"/>
            <w:szCs w:val="18"/>
          </w:rPr>
          <w:fldChar w:fldCharType="begin"/>
        </w:r>
        <w:r w:rsidRPr="00F55F47">
          <w:rPr>
            <w:sz w:val="18"/>
            <w:szCs w:val="18"/>
          </w:rPr>
          <w:instrText xml:space="preserve"> PAGE   \* MERGEFORMAT </w:instrText>
        </w:r>
        <w:r w:rsidRPr="00F55F47">
          <w:rPr>
            <w:sz w:val="18"/>
            <w:szCs w:val="18"/>
          </w:rPr>
          <w:fldChar w:fldCharType="separate"/>
        </w:r>
        <w:r w:rsidR="00971644">
          <w:rPr>
            <w:noProof/>
            <w:sz w:val="18"/>
            <w:szCs w:val="18"/>
          </w:rPr>
          <w:t>1</w:t>
        </w:r>
        <w:r w:rsidRPr="00F55F4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005D" w14:textId="77777777" w:rsidR="005C4FE2" w:rsidRDefault="005C4FE2">
      <w:pPr>
        <w:spacing w:after="0" w:line="240" w:lineRule="auto"/>
      </w:pPr>
      <w:r>
        <w:separator/>
      </w:r>
    </w:p>
  </w:footnote>
  <w:footnote w:type="continuationSeparator" w:id="0">
    <w:p w14:paraId="54B87FED" w14:textId="77777777" w:rsidR="005C4FE2" w:rsidRDefault="005C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14F"/>
    <w:multiLevelType w:val="hybridMultilevel"/>
    <w:tmpl w:val="DAB4D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B23A6"/>
    <w:multiLevelType w:val="hybridMultilevel"/>
    <w:tmpl w:val="8D405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0E"/>
    <w:rsid w:val="00003B1A"/>
    <w:rsid w:val="00004C7D"/>
    <w:rsid w:val="00043847"/>
    <w:rsid w:val="00047A5B"/>
    <w:rsid w:val="00073ED9"/>
    <w:rsid w:val="0009216D"/>
    <w:rsid w:val="000A15AE"/>
    <w:rsid w:val="000A26D6"/>
    <w:rsid w:val="000C4CBF"/>
    <w:rsid w:val="00101639"/>
    <w:rsid w:val="001D3158"/>
    <w:rsid w:val="00236370"/>
    <w:rsid w:val="00264394"/>
    <w:rsid w:val="00274579"/>
    <w:rsid w:val="00276C5B"/>
    <w:rsid w:val="002B4C98"/>
    <w:rsid w:val="002E1D36"/>
    <w:rsid w:val="00312BBB"/>
    <w:rsid w:val="003771AC"/>
    <w:rsid w:val="003D50E3"/>
    <w:rsid w:val="003F6C42"/>
    <w:rsid w:val="00417060"/>
    <w:rsid w:val="00425FF6"/>
    <w:rsid w:val="00431ED3"/>
    <w:rsid w:val="00434AD2"/>
    <w:rsid w:val="0047704D"/>
    <w:rsid w:val="004C3F25"/>
    <w:rsid w:val="004F36CE"/>
    <w:rsid w:val="005C4FE2"/>
    <w:rsid w:val="00600D62"/>
    <w:rsid w:val="006169A8"/>
    <w:rsid w:val="006A078C"/>
    <w:rsid w:val="006C4CA1"/>
    <w:rsid w:val="00757754"/>
    <w:rsid w:val="0077129A"/>
    <w:rsid w:val="00773002"/>
    <w:rsid w:val="00785E19"/>
    <w:rsid w:val="00786FB8"/>
    <w:rsid w:val="007A4529"/>
    <w:rsid w:val="007D4BC2"/>
    <w:rsid w:val="008B1C68"/>
    <w:rsid w:val="008E4787"/>
    <w:rsid w:val="008F563E"/>
    <w:rsid w:val="00944E91"/>
    <w:rsid w:val="00964C85"/>
    <w:rsid w:val="00971644"/>
    <w:rsid w:val="00974482"/>
    <w:rsid w:val="009957E3"/>
    <w:rsid w:val="009A49B3"/>
    <w:rsid w:val="009D240E"/>
    <w:rsid w:val="00A321B3"/>
    <w:rsid w:val="00A439E4"/>
    <w:rsid w:val="00A53D66"/>
    <w:rsid w:val="00A86774"/>
    <w:rsid w:val="00AC10FF"/>
    <w:rsid w:val="00B00E8E"/>
    <w:rsid w:val="00B44192"/>
    <w:rsid w:val="00B7699C"/>
    <w:rsid w:val="00B81D68"/>
    <w:rsid w:val="00C45950"/>
    <w:rsid w:val="00CC6625"/>
    <w:rsid w:val="00D0193D"/>
    <w:rsid w:val="00DA0095"/>
    <w:rsid w:val="00DC5418"/>
    <w:rsid w:val="00EB4572"/>
    <w:rsid w:val="00EE1A14"/>
    <w:rsid w:val="00EF1AF7"/>
    <w:rsid w:val="00F0122A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C3EB"/>
  <w15:chartTrackingRefBased/>
  <w15:docId w15:val="{EFF78CAD-69C9-4C4E-AD50-3D550B8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F47"/>
    <w:pPr>
      <w:spacing w:before="60" w:after="180"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F47"/>
    <w:pPr>
      <w:keepNext/>
      <w:keepLines/>
      <w:spacing w:before="120" w:after="12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2A"/>
  </w:style>
  <w:style w:type="paragraph" w:styleId="BalloonText">
    <w:name w:val="Balloon Text"/>
    <w:basedOn w:val="Normal"/>
    <w:link w:val="BalloonTextChar"/>
    <w:uiPriority w:val="99"/>
    <w:semiHidden/>
    <w:unhideWhenUsed/>
    <w:rsid w:val="00B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1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F47"/>
    <w:rPr>
      <w:rFonts w:ascii="Times New Roman" w:eastAsiaTheme="majorEastAsia" w:hAnsi="Times New Roman" w:cstheme="majorBidi"/>
      <w:b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F55F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47"/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F55F47"/>
  </w:style>
  <w:style w:type="character" w:styleId="CommentReference">
    <w:name w:val="annotation reference"/>
    <w:basedOn w:val="DefaultParagraphFont"/>
    <w:uiPriority w:val="99"/>
    <w:semiHidden/>
    <w:unhideWhenUsed/>
    <w:rsid w:val="00DC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1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1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DFD43B7A951468B72940DFFBF105D" ma:contentTypeVersion="13" ma:contentTypeDescription="Create a new document." ma:contentTypeScope="" ma:versionID="381cb38d47ca8eda8de8d5225a49c500">
  <xsd:schema xmlns:xsd="http://www.w3.org/2001/XMLSchema" xmlns:xs="http://www.w3.org/2001/XMLSchema" xmlns:p="http://schemas.microsoft.com/office/2006/metadata/properties" xmlns:ns3="749e8a65-2f61-4f75-96cf-5f43686c95bf" xmlns:ns4="d10cf747-a67c-4999-a500-c9df170e8fc6" targetNamespace="http://schemas.microsoft.com/office/2006/metadata/properties" ma:root="true" ma:fieldsID="bb6b91cbb57d0a7342a84cda89e802ae" ns3:_="" ns4:_="">
    <xsd:import namespace="749e8a65-2f61-4f75-96cf-5f43686c95bf"/>
    <xsd:import namespace="d10cf747-a67c-4999-a500-c9df170e8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8a65-2f61-4f75-96cf-5f43686c9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f747-a67c-4999-a500-c9df170e8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5C545-07F5-43C2-8C3E-8671470FA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8a65-2f61-4f75-96cf-5f43686c95bf"/>
    <ds:schemaRef ds:uri="d10cf747-a67c-4999-a500-c9df170e8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ECC90-91E7-4678-985A-048F408D5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55665-9D63-4E41-8AC9-0B76BD16F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Soni</dc:creator>
  <cp:keywords/>
  <dc:description/>
  <cp:lastModifiedBy>Nishal Mohanlal</cp:lastModifiedBy>
  <cp:revision>4</cp:revision>
  <dcterms:created xsi:type="dcterms:W3CDTF">2021-05-13T11:32:00Z</dcterms:created>
  <dcterms:modified xsi:type="dcterms:W3CDTF">2021-06-08T08:21:00Z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0x010100D22DFD43B7A951468B72940DFFBF105D</vt:lpwstr>
  </property>
</Properties>
</file>