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01F7B" w14:textId="77777777" w:rsidR="001C045D" w:rsidRPr="001C045D" w:rsidRDefault="001C045D">
      <w:pPr>
        <w:jc w:val="both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1C045D">
        <w:rPr>
          <w:rFonts w:asciiTheme="majorBidi" w:hAnsiTheme="majorBidi" w:cstheme="majorBidi"/>
          <w:b/>
          <w:sz w:val="28"/>
          <w:szCs w:val="28"/>
        </w:rPr>
        <w:t>Supplementary data 1</w:t>
      </w:r>
    </w:p>
    <w:p w14:paraId="1BF48F46" w14:textId="77777777" w:rsidR="00C532A5" w:rsidRPr="001C045D" w:rsidRDefault="0077022A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1C045D">
        <w:rPr>
          <w:rFonts w:asciiTheme="majorBidi" w:hAnsiTheme="majorBidi" w:cstheme="majorBidi"/>
          <w:b/>
          <w:sz w:val="24"/>
          <w:szCs w:val="24"/>
        </w:rPr>
        <w:t>Validation of the analytical technique</w:t>
      </w:r>
    </w:p>
    <w:p w14:paraId="10291EE3" w14:textId="77777777" w:rsidR="00C532A5" w:rsidRPr="001C045D" w:rsidRDefault="0077022A" w:rsidP="00482582">
      <w:pPr>
        <w:jc w:val="both"/>
        <w:rPr>
          <w:rFonts w:asciiTheme="majorBidi" w:hAnsiTheme="majorBidi" w:cstheme="majorBidi"/>
          <w:sz w:val="24"/>
          <w:szCs w:val="24"/>
        </w:rPr>
      </w:pPr>
      <w:r w:rsidRPr="001C045D">
        <w:rPr>
          <w:rFonts w:asciiTheme="majorBidi" w:hAnsiTheme="majorBidi" w:cstheme="majorBidi"/>
          <w:sz w:val="24"/>
          <w:szCs w:val="24"/>
        </w:rPr>
        <w:t>The analytical method was validated according to the FDA</w:t>
      </w:r>
      <w:r w:rsidRPr="001C045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C045D">
        <w:rPr>
          <w:rFonts w:asciiTheme="majorBidi" w:hAnsiTheme="majorBidi" w:cstheme="majorBidi"/>
          <w:sz w:val="24"/>
          <w:szCs w:val="24"/>
        </w:rPr>
        <w:t xml:space="preserve">guidelines for the quantification of galantamine in 3 different biological matrices: rat plasma, cerebrospinal fluid (CSF) and brain homogenate. The obtained results met the required FDA limits. The linearity was acceptable for all </w:t>
      </w:r>
      <w:r w:rsidR="001C045D" w:rsidRPr="001C045D">
        <w:rPr>
          <w:rFonts w:asciiTheme="majorBidi" w:hAnsiTheme="majorBidi" w:cstheme="majorBidi"/>
          <w:sz w:val="24"/>
          <w:szCs w:val="24"/>
        </w:rPr>
        <w:t>analyzed</w:t>
      </w:r>
      <w:r w:rsidRPr="001C045D">
        <w:rPr>
          <w:rFonts w:asciiTheme="majorBidi" w:hAnsiTheme="majorBidi" w:cstheme="majorBidi"/>
          <w:sz w:val="24"/>
          <w:szCs w:val="24"/>
        </w:rPr>
        <w:t xml:space="preserve"> biological matrices with </w:t>
      </w:r>
      <w:r w:rsidR="00482582">
        <w:rPr>
          <w:rFonts w:asciiTheme="majorBidi" w:hAnsiTheme="majorBidi" w:cstheme="majorBidi"/>
          <w:sz w:val="24"/>
          <w:szCs w:val="24"/>
        </w:rPr>
        <w:t xml:space="preserve">acceptable </w:t>
      </w:r>
      <w:r w:rsidRPr="001C045D">
        <w:rPr>
          <w:rFonts w:asciiTheme="majorBidi" w:hAnsiTheme="majorBidi" w:cstheme="majorBidi"/>
          <w:sz w:val="24"/>
          <w:szCs w:val="24"/>
        </w:rPr>
        <w:t>correlation coefficient values. The results were accepted at four quality control levels.</w:t>
      </w:r>
      <w:r w:rsidR="00482582">
        <w:rPr>
          <w:rFonts w:asciiTheme="majorBidi" w:hAnsiTheme="majorBidi" w:cstheme="majorBidi"/>
          <w:sz w:val="24"/>
          <w:szCs w:val="24"/>
        </w:rPr>
        <w:t xml:space="preserve"> </w:t>
      </w:r>
      <w:r w:rsidRPr="001C045D">
        <w:rPr>
          <w:rFonts w:asciiTheme="majorBidi" w:hAnsiTheme="majorBidi" w:cstheme="majorBidi"/>
          <w:sz w:val="24"/>
          <w:szCs w:val="24"/>
        </w:rPr>
        <w:t>The specificity was performed using pooled samples from the three matrices and showed no significant interferences at the retention times of galantamine and nalbuphine.</w:t>
      </w:r>
      <w:r w:rsidR="001C045D" w:rsidRPr="001C045D">
        <w:rPr>
          <w:rFonts w:asciiTheme="majorBidi" w:hAnsiTheme="majorBidi" w:cstheme="majorBidi"/>
          <w:sz w:val="24"/>
          <w:szCs w:val="24"/>
        </w:rPr>
        <w:t xml:space="preserve"> </w:t>
      </w:r>
      <w:r w:rsidRPr="001C045D">
        <w:rPr>
          <w:rFonts w:asciiTheme="majorBidi" w:hAnsiTheme="majorBidi" w:cstheme="majorBidi"/>
          <w:b/>
          <w:sz w:val="24"/>
          <w:szCs w:val="24"/>
        </w:rPr>
        <w:t xml:space="preserve">Figure </w:t>
      </w:r>
      <w:r w:rsidR="00482582">
        <w:rPr>
          <w:rFonts w:asciiTheme="majorBidi" w:hAnsiTheme="majorBidi" w:cstheme="majorBidi"/>
          <w:b/>
          <w:sz w:val="24"/>
          <w:szCs w:val="24"/>
        </w:rPr>
        <w:t>1</w:t>
      </w:r>
      <w:r w:rsidR="001C045D" w:rsidRPr="001C045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C045D">
        <w:rPr>
          <w:rFonts w:asciiTheme="majorBidi" w:hAnsiTheme="majorBidi" w:cstheme="majorBidi"/>
          <w:sz w:val="24"/>
          <w:szCs w:val="24"/>
        </w:rPr>
        <w:t>demonstrates exemplary chromatograms from rat plasma and brain homogenate.</w:t>
      </w:r>
    </w:p>
    <w:p w14:paraId="1492B59F" w14:textId="77777777" w:rsidR="00C532A5" w:rsidRPr="001C045D" w:rsidRDefault="00C532A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B4E4F5B" w14:textId="77777777" w:rsidR="00C532A5" w:rsidRPr="001C045D" w:rsidRDefault="0077022A">
      <w:pPr>
        <w:jc w:val="both"/>
        <w:rPr>
          <w:rFonts w:asciiTheme="majorBidi" w:hAnsiTheme="majorBidi" w:cstheme="majorBidi"/>
          <w:sz w:val="24"/>
          <w:szCs w:val="24"/>
        </w:rPr>
      </w:pPr>
      <w:r w:rsidRPr="001C045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4449961" wp14:editId="66BD100D">
            <wp:extent cx="5486400" cy="3220720"/>
            <wp:effectExtent l="0" t="0" r="0" b="0"/>
            <wp:docPr id="4" name="image4.pn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hart, line ch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7318B" w14:textId="77777777" w:rsidR="00C532A5" w:rsidRPr="001C045D" w:rsidRDefault="0077022A" w:rsidP="00482582">
      <w:pPr>
        <w:jc w:val="lowKashida"/>
        <w:rPr>
          <w:rFonts w:asciiTheme="majorBidi" w:hAnsiTheme="majorBidi" w:cstheme="majorBidi"/>
          <w:sz w:val="24"/>
          <w:szCs w:val="24"/>
        </w:rPr>
      </w:pPr>
      <w:r w:rsidRPr="001C045D">
        <w:rPr>
          <w:rFonts w:asciiTheme="majorBidi" w:hAnsiTheme="majorBidi" w:cstheme="majorBidi"/>
          <w:b/>
          <w:sz w:val="24"/>
          <w:szCs w:val="24"/>
        </w:rPr>
        <w:t xml:space="preserve">Figure </w:t>
      </w:r>
      <w:r w:rsidR="00482582">
        <w:rPr>
          <w:rFonts w:asciiTheme="majorBidi" w:hAnsiTheme="majorBidi" w:cstheme="majorBidi"/>
          <w:b/>
          <w:sz w:val="24"/>
          <w:szCs w:val="24"/>
        </w:rPr>
        <w:t>1</w:t>
      </w:r>
      <w:r w:rsidRPr="001C045D">
        <w:rPr>
          <w:rFonts w:asciiTheme="majorBidi" w:hAnsiTheme="majorBidi" w:cstheme="majorBidi"/>
          <w:b/>
          <w:sz w:val="24"/>
          <w:szCs w:val="24"/>
        </w:rPr>
        <w:t>:</w:t>
      </w:r>
      <w:r w:rsidRPr="001C045D">
        <w:rPr>
          <w:rFonts w:asciiTheme="majorBidi" w:hAnsiTheme="majorBidi" w:cstheme="majorBidi"/>
          <w:sz w:val="24"/>
          <w:szCs w:val="24"/>
        </w:rPr>
        <w:t xml:space="preserve"> Chromatograms of galantamine in plasma and brain homogenate samples collected from rats 0.5 h following a single intranasal administration of G-NP equivalent to 3 mg/kg body weight and spiked with nalbuphine (internal standard)</w:t>
      </w:r>
    </w:p>
    <w:sectPr w:rsidR="00C532A5" w:rsidRPr="001C045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D8EF" w14:textId="77777777" w:rsidR="00371518" w:rsidRDefault="00371518">
      <w:pPr>
        <w:spacing w:after="0" w:line="240" w:lineRule="auto"/>
      </w:pPr>
      <w:r>
        <w:separator/>
      </w:r>
    </w:p>
  </w:endnote>
  <w:endnote w:type="continuationSeparator" w:id="0">
    <w:p w14:paraId="6B8156A1" w14:textId="77777777" w:rsidR="00371518" w:rsidRDefault="0037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12BA" w14:textId="77777777" w:rsidR="00C532A5" w:rsidRDefault="00C532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C7BA" w14:textId="77777777" w:rsidR="00371518" w:rsidRDefault="00371518">
      <w:pPr>
        <w:spacing w:after="0" w:line="240" w:lineRule="auto"/>
      </w:pPr>
      <w:r>
        <w:separator/>
      </w:r>
    </w:p>
  </w:footnote>
  <w:footnote w:type="continuationSeparator" w:id="0">
    <w:p w14:paraId="548FEF40" w14:textId="77777777" w:rsidR="00371518" w:rsidRDefault="0037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15D7D" w14:textId="77777777" w:rsidR="00C532A5" w:rsidRDefault="00C53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A5"/>
    <w:rsid w:val="000D08BE"/>
    <w:rsid w:val="001C045D"/>
    <w:rsid w:val="00371518"/>
    <w:rsid w:val="003B6F12"/>
    <w:rsid w:val="00482582"/>
    <w:rsid w:val="006D256B"/>
    <w:rsid w:val="0077022A"/>
    <w:rsid w:val="00BB1B59"/>
    <w:rsid w:val="00C22CB6"/>
    <w:rsid w:val="00C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B7E5"/>
  <w15:docId w15:val="{ECEE366F-8A9A-4625-812F-1C2F5073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2021-03-17T19:19:00Z</cp:lastPrinted>
  <dcterms:created xsi:type="dcterms:W3CDTF">2021-03-18T17:19:00Z</dcterms:created>
  <dcterms:modified xsi:type="dcterms:W3CDTF">2021-03-18T17:19:00Z</dcterms:modified>
</cp:coreProperties>
</file>